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jc w:val="both"/>
        <w:rPr>
          <w:rFonts w:ascii="方正黑体_GBK" w:eastAsia="方正黑体_GBK" w:hAnsiTheme="majorEastAsia"/>
          <w:sz w:val="32"/>
          <w:szCs w:val="32"/>
        </w:rPr>
      </w:pPr>
      <w:r>
        <w:rPr>
          <w:rFonts w:hint="eastAsia" w:ascii="方正黑体_GBK" w:eastAsia="方正黑体_GBK" w:hAnsiTheme="majorEastAsia"/>
          <w:sz w:val="32"/>
          <w:szCs w:val="32"/>
        </w:rPr>
        <w:t>附件：</w:t>
      </w:r>
    </w:p>
    <w:p>
      <w:pPr>
        <w:pStyle w:val="3"/>
        <w:shd w:val="clear" w:color="auto" w:fill="FFFFFF"/>
        <w:spacing w:before="0" w:beforeAutospacing="0" w:after="0" w:afterAutospacing="0"/>
        <w:ind w:firstLine="480"/>
        <w:jc w:val="center"/>
        <w:rPr>
          <w:rFonts w:ascii="方正小标宋_GBK" w:eastAsia="方正小标宋_GBK" w:hAnsiTheme="majorEastAsia"/>
          <w:sz w:val="44"/>
          <w:szCs w:val="44"/>
        </w:rPr>
      </w:pPr>
      <w:r>
        <w:rPr>
          <w:rFonts w:hint="eastAsia" w:ascii="方正小标宋_GBK" w:eastAsia="方正小标宋_GBK" w:hAnsiTheme="majorEastAsia"/>
          <w:sz w:val="44"/>
          <w:szCs w:val="44"/>
        </w:rPr>
        <w:t>重庆市南岸区202</w:t>
      </w:r>
      <w:r>
        <w:rPr>
          <w:rFonts w:hint="eastAsia" w:ascii="方正小标宋_GBK" w:eastAsia="方正小标宋_GBK" w:hAnsiTheme="majorEastAsia"/>
          <w:sz w:val="44"/>
          <w:szCs w:val="44"/>
          <w:lang w:val="en-US" w:eastAsia="zh-CN"/>
        </w:rPr>
        <w:t>4</w:t>
      </w:r>
      <w:r>
        <w:rPr>
          <w:rFonts w:hint="eastAsia" w:ascii="方正小标宋_GBK" w:eastAsia="方正小标宋_GBK" w:hAnsiTheme="majorEastAsia"/>
          <w:sz w:val="44"/>
          <w:szCs w:val="44"/>
        </w:rPr>
        <w:t>年第</w:t>
      </w:r>
      <w:r>
        <w:rPr>
          <w:rFonts w:hint="eastAsia" w:ascii="方正小标宋_GBK" w:eastAsia="方正小标宋_GBK" w:hAnsiTheme="majorEastAsia"/>
          <w:sz w:val="44"/>
          <w:szCs w:val="44"/>
          <w:lang w:val="en-US" w:eastAsia="zh-CN"/>
        </w:rPr>
        <w:t>二</w:t>
      </w:r>
      <w:r>
        <w:rPr>
          <w:rFonts w:hint="eastAsia" w:ascii="方正小标宋_GBK" w:eastAsia="方正小标宋_GBK" w:hAnsiTheme="majorEastAsia"/>
          <w:sz w:val="44"/>
          <w:szCs w:val="44"/>
        </w:rPr>
        <w:t>批青年就业见习基地公示表</w:t>
      </w:r>
    </w:p>
    <w:tbl>
      <w:tblPr>
        <w:tblStyle w:val="5"/>
        <w:tblpPr w:leftFromText="180" w:rightFromText="180" w:vertAnchor="text" w:horzAnchor="page" w:tblpX="1688" w:tblpY="511"/>
        <w:tblOverlap w:val="never"/>
        <w:tblW w:w="13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024"/>
        <w:gridCol w:w="1560"/>
        <w:gridCol w:w="1440"/>
        <w:gridCol w:w="1391"/>
        <w:gridCol w:w="6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6" w:type="dxa"/>
            <w:vAlign w:val="center"/>
          </w:tcPr>
          <w:p>
            <w:pPr>
              <w:pStyle w:val="3"/>
              <w:spacing w:before="0" w:beforeAutospacing="0" w:after="0" w:afterAutospacing="0" w:line="240" w:lineRule="exact"/>
              <w:jc w:val="center"/>
              <w:rPr>
                <w:rFonts w:ascii="方正仿宋_GBK" w:eastAsia="方正仿宋_GBK" w:hAnsiTheme="majorEastAsia"/>
                <w:b/>
                <w:sz w:val="21"/>
                <w:szCs w:val="21"/>
              </w:rPr>
            </w:pPr>
            <w:r>
              <w:rPr>
                <w:rFonts w:hint="eastAsia" w:ascii="方正仿宋_GBK" w:eastAsia="方正仿宋_GBK" w:hAnsiTheme="majorEastAsia"/>
                <w:b/>
                <w:sz w:val="21"/>
                <w:szCs w:val="21"/>
              </w:rPr>
              <w:t>序号</w:t>
            </w:r>
          </w:p>
        </w:tc>
        <w:tc>
          <w:tcPr>
            <w:tcW w:w="2024" w:type="dxa"/>
            <w:vAlign w:val="center"/>
          </w:tcPr>
          <w:p>
            <w:pPr>
              <w:pStyle w:val="3"/>
              <w:spacing w:before="0" w:beforeAutospacing="0" w:after="0" w:afterAutospacing="0" w:line="240" w:lineRule="exact"/>
              <w:jc w:val="center"/>
              <w:rPr>
                <w:rFonts w:ascii="方正仿宋_GBK" w:eastAsia="方正仿宋_GBK" w:hAnsiTheme="majorEastAsia"/>
                <w:b/>
                <w:sz w:val="21"/>
                <w:szCs w:val="21"/>
              </w:rPr>
            </w:pPr>
            <w:r>
              <w:rPr>
                <w:rFonts w:hint="eastAsia" w:ascii="方正仿宋_GBK" w:eastAsia="方正仿宋_GBK" w:hAnsiTheme="majorEastAsia"/>
                <w:b/>
                <w:sz w:val="21"/>
                <w:szCs w:val="21"/>
              </w:rPr>
              <w:t>单位名称</w:t>
            </w:r>
          </w:p>
        </w:tc>
        <w:tc>
          <w:tcPr>
            <w:tcW w:w="1560" w:type="dxa"/>
            <w:vAlign w:val="center"/>
          </w:tcPr>
          <w:p>
            <w:pPr>
              <w:pStyle w:val="3"/>
              <w:spacing w:before="0" w:beforeAutospacing="0" w:after="0" w:afterAutospacing="0" w:line="240" w:lineRule="exact"/>
              <w:jc w:val="center"/>
              <w:rPr>
                <w:rFonts w:ascii="方正仿宋_GBK" w:eastAsia="方正仿宋_GBK" w:hAnsiTheme="majorEastAsia"/>
                <w:b/>
                <w:sz w:val="21"/>
                <w:szCs w:val="21"/>
              </w:rPr>
            </w:pPr>
            <w:r>
              <w:rPr>
                <w:rFonts w:hint="eastAsia" w:ascii="方正仿宋_GBK" w:eastAsia="方正仿宋_GBK" w:hAnsiTheme="majorEastAsia"/>
                <w:b/>
                <w:sz w:val="21"/>
                <w:szCs w:val="21"/>
              </w:rPr>
              <w:t>单位性质</w:t>
            </w:r>
          </w:p>
        </w:tc>
        <w:tc>
          <w:tcPr>
            <w:tcW w:w="1440" w:type="dxa"/>
            <w:vAlign w:val="center"/>
          </w:tcPr>
          <w:p>
            <w:pPr>
              <w:pStyle w:val="3"/>
              <w:spacing w:before="0" w:beforeAutospacing="0" w:after="0" w:afterAutospacing="0" w:line="240" w:lineRule="exact"/>
              <w:jc w:val="center"/>
              <w:rPr>
                <w:rFonts w:ascii="方正仿宋_GBK" w:eastAsia="方正仿宋_GBK" w:hAnsiTheme="majorEastAsia"/>
                <w:b/>
                <w:sz w:val="21"/>
                <w:szCs w:val="21"/>
              </w:rPr>
            </w:pPr>
            <w:r>
              <w:rPr>
                <w:rFonts w:hint="eastAsia" w:ascii="方正仿宋_GBK" w:eastAsia="方正仿宋_GBK" w:hAnsiTheme="majorEastAsia"/>
                <w:b/>
                <w:sz w:val="21"/>
                <w:szCs w:val="21"/>
              </w:rPr>
              <w:t>所属行业</w:t>
            </w:r>
          </w:p>
        </w:tc>
        <w:tc>
          <w:tcPr>
            <w:tcW w:w="1391" w:type="dxa"/>
            <w:vAlign w:val="center"/>
          </w:tcPr>
          <w:p>
            <w:pPr>
              <w:pStyle w:val="3"/>
              <w:spacing w:before="0" w:beforeAutospacing="0" w:after="0" w:afterAutospacing="0" w:line="240" w:lineRule="exact"/>
              <w:jc w:val="center"/>
              <w:rPr>
                <w:rFonts w:ascii="方正仿宋_GBK" w:eastAsia="方正仿宋_GBK" w:hAnsiTheme="majorEastAsia"/>
                <w:b/>
                <w:sz w:val="21"/>
                <w:szCs w:val="21"/>
              </w:rPr>
            </w:pPr>
            <w:r>
              <w:rPr>
                <w:rFonts w:hint="eastAsia" w:ascii="方正仿宋_GBK" w:eastAsia="方正仿宋_GBK" w:hAnsiTheme="majorEastAsia"/>
                <w:b/>
                <w:sz w:val="21"/>
                <w:szCs w:val="21"/>
              </w:rPr>
              <w:t>地址</w:t>
            </w:r>
          </w:p>
        </w:tc>
        <w:tc>
          <w:tcPr>
            <w:tcW w:w="6624" w:type="dxa"/>
            <w:vAlign w:val="center"/>
          </w:tcPr>
          <w:p>
            <w:pPr>
              <w:pStyle w:val="3"/>
              <w:spacing w:before="0" w:beforeAutospacing="0" w:after="0" w:afterAutospacing="0" w:line="240" w:lineRule="exact"/>
              <w:jc w:val="center"/>
              <w:rPr>
                <w:rFonts w:ascii="方正仿宋_GBK" w:eastAsia="方正仿宋_GBK" w:hAnsiTheme="majorEastAsia"/>
                <w:b/>
                <w:sz w:val="21"/>
                <w:szCs w:val="21"/>
              </w:rPr>
            </w:pPr>
            <w:r>
              <w:rPr>
                <w:rFonts w:hint="eastAsia" w:ascii="方正仿宋_GBK" w:eastAsia="方正仿宋_GBK" w:hAnsiTheme="majorEastAsia"/>
                <w:b/>
                <w:sz w:val="21"/>
                <w:szCs w:val="21"/>
              </w:rPr>
              <w:t>单位简介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8" w:hRule="atLeast"/>
        </w:trPr>
        <w:tc>
          <w:tcPr>
            <w:tcW w:w="756" w:type="dxa"/>
            <w:vAlign w:val="center"/>
          </w:tcPr>
          <w:p>
            <w:pPr>
              <w:pStyle w:val="3"/>
              <w:spacing w:before="0" w:beforeAutospacing="0" w:after="0" w:afterAutospacing="0" w:line="240" w:lineRule="exact"/>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w:t>
            </w:r>
          </w:p>
        </w:tc>
        <w:tc>
          <w:tcPr>
            <w:tcW w:w="2024" w:type="dxa"/>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灯神(重庆)文化创意有限公司</w:t>
            </w:r>
          </w:p>
        </w:tc>
        <w:tc>
          <w:tcPr>
            <w:tcW w:w="1560" w:type="dxa"/>
            <w:vAlign w:val="center"/>
          </w:tcPr>
          <w:p>
            <w:pPr>
              <w:jc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有限责任公司</w:t>
            </w:r>
          </w:p>
        </w:tc>
        <w:tc>
          <w:tcPr>
            <w:tcW w:w="1440" w:type="dxa"/>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计算机/互联网</w:t>
            </w:r>
          </w:p>
        </w:tc>
        <w:tc>
          <w:tcPr>
            <w:tcW w:w="1391" w:type="dxa"/>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重庆市经开区长生桥镇江峡路1号11幢1-4-1</w:t>
            </w:r>
          </w:p>
        </w:tc>
        <w:tc>
          <w:tcPr>
            <w:tcW w:w="6624" w:type="dxa"/>
            <w:vAlign w:val="center"/>
          </w:tcPr>
          <w:p>
            <w:pPr>
              <w:keepNext w:val="0"/>
              <w:keepLines w:val="0"/>
              <w:widowControl/>
              <w:suppressLineNumbers w:val="0"/>
              <w:jc w:val="left"/>
              <w:textAlignment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灯神(重庆)文化创意有限公司是一家集自媒体短视频、影视动画于一体的美术自研创意公司。经营范围:一般项目:组织文化艺术交流活动，数字内容制作服务(不含出版发行):企业形象策划，平面设计，动漫游戏开发，专业设计服务，其他文化艺术经纪代理数字文化创意软件开发，软件开发，企业管理咨询、信息咨询服务(不含许可类信息咨询服务):会议及展览服务;数字创意产品展览展示服务、文艺创作，工艺美术品及收藏品批发(象牙及其制品除外)，咨询策划服务，广告设计、代理、信息技术咨询服务:技术服务，技术开发，技术咨询、技术交流，技术转让、技术推广(除依法须经批准的项目外，凭营业执照依法自主开展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75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2024" w:type="dxa"/>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重庆中邦保安服务有限公司</w:t>
            </w:r>
          </w:p>
        </w:tc>
        <w:tc>
          <w:tcPr>
            <w:tcW w:w="1560"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sz w:val="21"/>
                <w:szCs w:val="21"/>
                <w:lang w:val="en-US" w:eastAsia="zh-CN"/>
              </w:rPr>
              <w:t>有限责任公司</w:t>
            </w:r>
          </w:p>
        </w:tc>
        <w:tc>
          <w:tcPr>
            <w:tcW w:w="1440" w:type="dxa"/>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专业服务/教育/培训</w:t>
            </w:r>
          </w:p>
        </w:tc>
        <w:tc>
          <w:tcPr>
            <w:tcW w:w="1391" w:type="dxa"/>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重庆市南岸区南城大道199号正联大厦1401</w:t>
            </w:r>
          </w:p>
        </w:tc>
        <w:tc>
          <w:tcPr>
            <w:tcW w:w="6624" w:type="dxa"/>
            <w:vAlign w:val="center"/>
          </w:tcPr>
          <w:p>
            <w:pPr>
              <w:keepNext w:val="0"/>
              <w:keepLines w:val="0"/>
              <w:widowControl/>
              <w:suppressLineNumbers w:val="0"/>
              <w:jc w:val="left"/>
              <w:textAlignment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重庆中邦保安服务有限公司，成立于2018年6月8日，是由国家工商行政管理部门批准登记注册，经重庆市公安局批准颁发《保安服务许可证》的专业从事安保服务的公司。我司主要经营人力安全防范、技术安全防范、特种安全防范、人力资源服务、物业管理服务、专业保洁等服务。此外，还为各种文化传播、 演艺会展、体育赛事等大型活动，提供从安全方案策划到实施的全方位保安咨询服务的专业化解决方案。公司秉承“诚实守信，客户至上，以人为本，致精致诚”的服务理念，为客户提供高品质、全方位、专业化的安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trPr>
        <w:tc>
          <w:tcPr>
            <w:tcW w:w="75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2024" w:type="dxa"/>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上药控股渝南（重庆）医药有限公司</w:t>
            </w:r>
          </w:p>
        </w:tc>
        <w:tc>
          <w:tcPr>
            <w:tcW w:w="1560"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sz w:val="21"/>
                <w:szCs w:val="21"/>
                <w:lang w:val="en-US" w:eastAsia="zh-CN"/>
              </w:rPr>
              <w:t>有限责任公司</w:t>
            </w:r>
          </w:p>
        </w:tc>
        <w:tc>
          <w:tcPr>
            <w:tcW w:w="1440" w:type="dxa"/>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贸易/消费</w:t>
            </w:r>
          </w:p>
        </w:tc>
        <w:tc>
          <w:tcPr>
            <w:tcW w:w="1391" w:type="dxa"/>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长生桥镇玉马路18号A6幢3-2、3-1</w:t>
            </w:r>
          </w:p>
        </w:tc>
        <w:tc>
          <w:tcPr>
            <w:tcW w:w="6624" w:type="dxa"/>
            <w:vAlign w:val="center"/>
          </w:tcPr>
          <w:p>
            <w:pPr>
              <w:keepNext w:val="0"/>
              <w:keepLines w:val="0"/>
              <w:widowControl/>
              <w:suppressLineNumbers w:val="0"/>
              <w:jc w:val="left"/>
              <w:textAlignment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上药控股渝南(重庆)医药有限公司是上药康德乐（重庆）医药有限公司的子公司。公司成立于2021年6月18日，注册资金2000万元，位于重庆市经开区长生桥镇玉马路18号A6幢3-2、3-1。公司内设七个部门，现有员工46人，主营化学原料药及其制剂、抗生素原料药及其制剂、中成药、生化药品、生物制品、中药饮片、蛋白同化制剂、肽类激素、第一类、第二类、第三类医疗器械。公司具备现代化办公设备、办公场所以及完善的仓库管理系统，秉承“质量为本，规范管理，诚信服务，持续改进”的质量方针和“创新、合作、包容、责任、激情”的企业文化，拥有灵活的经营机制和完善的管理体系，高标引领推动业务持续稳健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5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2024" w:type="dxa"/>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重庆市博大人力资源有限公司</w:t>
            </w:r>
          </w:p>
        </w:tc>
        <w:tc>
          <w:tcPr>
            <w:tcW w:w="1560"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sz w:val="21"/>
                <w:szCs w:val="21"/>
                <w:lang w:val="en-US" w:eastAsia="zh-CN"/>
              </w:rPr>
              <w:t>有限责任公司</w:t>
            </w:r>
          </w:p>
        </w:tc>
        <w:tc>
          <w:tcPr>
            <w:tcW w:w="1440" w:type="dxa"/>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专业服务/教育/培训</w:t>
            </w:r>
          </w:p>
        </w:tc>
        <w:tc>
          <w:tcPr>
            <w:tcW w:w="1391" w:type="dxa"/>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广福大道13号2-5</w:t>
            </w:r>
          </w:p>
        </w:tc>
        <w:tc>
          <w:tcPr>
            <w:tcW w:w="6624" w:type="dxa"/>
            <w:vAlign w:val="center"/>
          </w:tcPr>
          <w:p>
            <w:pPr>
              <w:keepNext w:val="0"/>
              <w:keepLines w:val="0"/>
              <w:widowControl/>
              <w:suppressLineNumbers w:val="0"/>
              <w:jc w:val="left"/>
              <w:textAlignment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本公司注册资金1000万元整，主要为国内企业提供劳务派遣服务；搬运装卸服务；电子产品代加工服务；人力资源供求信息的收集、整理、储存、发布和咨询；应聘人员推荐；职业指导与咨询；人力资源信息网络及媒体服务；人力资源培训；人力资源测评；企业人力资源研发咨询和规划设计；高级人才寻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trPr>
        <w:tc>
          <w:tcPr>
            <w:tcW w:w="75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5</w:t>
            </w:r>
          </w:p>
        </w:tc>
        <w:tc>
          <w:tcPr>
            <w:tcW w:w="2024" w:type="dxa"/>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重庆鲁本律师事务所</w:t>
            </w:r>
          </w:p>
        </w:tc>
        <w:tc>
          <w:tcPr>
            <w:tcW w:w="1560"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sz w:val="21"/>
                <w:szCs w:val="21"/>
                <w:lang w:val="en-US" w:eastAsia="zh-CN"/>
              </w:rPr>
              <w:t>有限责任公司</w:t>
            </w:r>
          </w:p>
        </w:tc>
        <w:tc>
          <w:tcPr>
            <w:tcW w:w="1440" w:type="dxa"/>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专业服务/教育/培训</w:t>
            </w:r>
          </w:p>
        </w:tc>
        <w:tc>
          <w:tcPr>
            <w:tcW w:w="1391" w:type="dxa"/>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南兴路64号万凯新都会B栋21-2</w:t>
            </w:r>
          </w:p>
        </w:tc>
        <w:tc>
          <w:tcPr>
            <w:tcW w:w="6624" w:type="dxa"/>
            <w:vAlign w:val="center"/>
          </w:tcPr>
          <w:p>
            <w:pPr>
              <w:keepNext w:val="0"/>
              <w:keepLines w:val="0"/>
              <w:widowControl/>
              <w:suppressLineNumbers w:val="0"/>
              <w:jc w:val="left"/>
              <w:textAlignment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重庆鲁本律师事务所现有在册执业律师二十余名，具有丰富的执业经验，并长期为政府、企业、事业单位等提供法律服务。本所在担任重庆电视台新闻频道法律顾问团以来，尊重聘用单位的意见，并结合实际情况，充分运用法律知识，为聘用单位提供了及时、准确、优质的法律服务，获得聘用单位的好评。且重庆鲁本律师事务所聘请了西南政法大学和西南大学资深法学专家为顾问团，为向客户提供优质的法律服务提供了坚实后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4" w:hRule="atLeast"/>
        </w:trPr>
        <w:tc>
          <w:tcPr>
            <w:tcW w:w="75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6</w:t>
            </w:r>
          </w:p>
        </w:tc>
        <w:tc>
          <w:tcPr>
            <w:tcW w:w="2024" w:type="dxa"/>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重庆旱獭信息技术有限公司</w:t>
            </w:r>
          </w:p>
        </w:tc>
        <w:tc>
          <w:tcPr>
            <w:tcW w:w="1560"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有限责任公司</w:t>
            </w:r>
          </w:p>
        </w:tc>
        <w:tc>
          <w:tcPr>
            <w:tcW w:w="1440" w:type="dxa"/>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计算机/互联网</w:t>
            </w:r>
          </w:p>
        </w:tc>
        <w:tc>
          <w:tcPr>
            <w:tcW w:w="1391" w:type="dxa"/>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茶园玉马路8号物联网研究院</w:t>
            </w:r>
          </w:p>
        </w:tc>
        <w:tc>
          <w:tcPr>
            <w:tcW w:w="6624" w:type="dxa"/>
            <w:vAlign w:val="center"/>
          </w:tcPr>
          <w:p>
            <w:pPr>
              <w:keepNext w:val="0"/>
              <w:keepLines w:val="0"/>
              <w:widowControl/>
              <w:suppressLineNumbers w:val="0"/>
              <w:jc w:val="left"/>
              <w:textAlignment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重庆旱獭信息技术有限公司是行业应用系统、物联网方案提供商，研发的JetLinks物联网基础平台是一个开箱即用，可二次开发的企业级物联网基础平台，在Github上获得极高评价，同时获得GVP-Gitee最有价值开源项目。JetLinks作为开放系统，可以结合多种行业和应用场景，开放对接不同企业的感知层楼控设备，智能硬件等，可以实现生态系统的资源互惠共享，形成相应的市场产品，以技术创新、产品部署及生态市场发展将旱獭打造为信息技术产业的主力企业以及行业领先的信息化与智能化综合方案的服务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trPr>
        <w:tc>
          <w:tcPr>
            <w:tcW w:w="75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7</w:t>
            </w:r>
          </w:p>
        </w:tc>
        <w:tc>
          <w:tcPr>
            <w:tcW w:w="2024" w:type="dxa"/>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天合智控科技（重庆）有限公司</w:t>
            </w:r>
          </w:p>
        </w:tc>
        <w:tc>
          <w:tcPr>
            <w:tcW w:w="1560"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sz w:val="21"/>
                <w:szCs w:val="21"/>
                <w:lang w:val="en-US" w:eastAsia="zh-CN"/>
              </w:rPr>
              <w:t>有限责任公司</w:t>
            </w:r>
          </w:p>
        </w:tc>
        <w:tc>
          <w:tcPr>
            <w:tcW w:w="1440" w:type="dxa"/>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通信/电子</w:t>
            </w:r>
          </w:p>
        </w:tc>
        <w:tc>
          <w:tcPr>
            <w:tcW w:w="1391" w:type="dxa"/>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重庆软件园A区B11栋2单元502</w:t>
            </w:r>
          </w:p>
        </w:tc>
        <w:tc>
          <w:tcPr>
            <w:tcW w:w="6624" w:type="dxa"/>
            <w:vAlign w:val="center"/>
          </w:tcPr>
          <w:p>
            <w:pPr>
              <w:keepNext w:val="0"/>
              <w:keepLines w:val="0"/>
              <w:widowControl/>
              <w:suppressLineNumbers w:val="0"/>
              <w:jc w:val="left"/>
              <w:textAlignment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天合智控聚焦智能网联汽车关键部件细分市场，基于自主核心算法、系统架构与测试验证体系，自研自产应用于车端系统等高精度卫星定位模组，卫惯组合导航模组、定位终端系统、高性能惯性组件（IMU）、多频卫导天线等产品，已形成具备工业级/车规级标准的产品体系。公司一直致力于将本领域的先进技术和工程经验融合到汽车产业链，构建了匹配OEM、Tier1汽车智能化架构的解决方案与工程交付体系，业务覆盖车载数字娱乐终端、DA（Display Audio）、智能座舱、智驾系统、域控制器、导航天线等行业客户。公司正在将高精度定位与运动感知技术融合到更广泛的应用领域，赋能客户的科技创新与产业升级。</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2MDhkZDc5ZjllOWQzMmI1ZTA4MDY5MWE5NjQwM2YifQ=="/>
  </w:docVars>
  <w:rsids>
    <w:rsidRoot w:val="4B75203B"/>
    <w:rsid w:val="4B752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560" w:lineRule="exact"/>
    </w:pPr>
    <w:rPr>
      <w:rFonts w:ascii="华文中宋" w:eastAsia="华文中宋"/>
      <w:b/>
      <w:bCs/>
      <w:sz w:val="44"/>
      <w:szCs w:val="32"/>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2024-01-24T08:59:00Z</dcterms:created>
  <dc:creator>sc</dc:creator>
  <cp:lastModifiedBy>sc</cp:lastModifiedBy>
  <dcterms:modified xsi:type="dcterms:W3CDTF">2024-01-24T09:00:10Z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D9D00888650D41809BF3B9B8E0F7AA31_11</vt:lpwstr>
  </property>
</Properties>
</file>