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hd w:val="clear" w:color="auto" w:fill="FFFFFF"/>
        <w:spacing w:beforeAutospacing="0" w:afterAutospacing="0" w:line="560" w:lineRule="exact"/>
        <w:ind w:firstLine="880" w:firstLineChars="200"/>
        <w:jc w:val="both"/>
        <w:rPr>
          <w:rFonts w:hint="default" w:ascii="方正小标宋_GBK" w:hAnsi="方正小标宋_GBK" w:eastAsia="方正小标宋_GBK" w:cs="方正小标宋_GBK"/>
          <w:sz w:val="44"/>
          <w:szCs w:val="44"/>
          <w:shd w:val="clear" w:color="auto" w:fill="FFFFFF"/>
        </w:rPr>
      </w:pPr>
      <w:r>
        <w:rPr>
          <w:rFonts w:ascii="方正小标宋_GBK" w:hAnsi="方正小标宋_GBK" w:eastAsia="方正小标宋_GBK" w:cs="方正小标宋_GBK"/>
          <w:sz w:val="44"/>
          <w:szCs w:val="44"/>
          <w:shd w:val="clear" w:color="auto" w:fill="FFFFFF"/>
        </w:rPr>
        <w:t>重庆市南岸区微型企业发展办公室</w:t>
      </w:r>
    </w:p>
    <w:p>
      <w:pPr>
        <w:pStyle w:val="8"/>
        <w:shd w:val="clear" w:color="auto" w:fill="FFFFFF"/>
        <w:spacing w:before="0" w:beforeAutospacing="0" w:after="0" w:afterAutospacing="0" w:line="560" w:lineRule="exact"/>
        <w:ind w:firstLine="1760" w:firstLineChars="400"/>
        <w:jc w:val="both"/>
        <w:outlineLvl w:val="0"/>
        <w:rPr>
          <w:rFonts w:ascii="方正小标宋_GBK" w:eastAsia="方正小标宋_GBK"/>
          <w:sz w:val="44"/>
          <w:szCs w:val="44"/>
        </w:rPr>
      </w:pPr>
      <w:r>
        <w:rPr>
          <w:rFonts w:hint="eastAsia" w:ascii="方正小标宋_GBK" w:eastAsia="方正小标宋_GBK"/>
          <w:sz w:val="44"/>
          <w:szCs w:val="44"/>
        </w:rPr>
        <w:t>2020年度部门决算情况说明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880" w:firstLineChars="200"/>
        <w:jc w:val="both"/>
        <w:textAlignment w:val="auto"/>
        <w:rPr>
          <w:rFonts w:ascii="方正小标宋_GBK" w:eastAsia="方正小标宋_GBK"/>
          <w:sz w:val="44"/>
          <w:szCs w:val="44"/>
        </w:rPr>
      </w:pP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outlineLvl w:val="0"/>
        <w:rPr>
          <w:rStyle w:val="11"/>
          <w:rFonts w:ascii="方正黑体_GBK" w:eastAsia="方正黑体_GBK"/>
          <w:b w:val="0"/>
          <w:sz w:val="32"/>
          <w:szCs w:val="32"/>
        </w:rPr>
      </w:pPr>
      <w:r>
        <w:rPr>
          <w:rStyle w:val="11"/>
          <w:rFonts w:hint="eastAsia" w:ascii="方正黑体_GBK" w:eastAsia="方正黑体_GBK"/>
          <w:b w:val="0"/>
          <w:sz w:val="32"/>
          <w:szCs w:val="32"/>
        </w:rPr>
        <w:t>一、部门基本情况</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588" w:firstLineChars="183"/>
        <w:jc w:val="both"/>
        <w:textAlignment w:val="auto"/>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b/>
          <w:sz w:val="32"/>
          <w:szCs w:val="32"/>
          <w:shd w:val="clear" w:color="auto" w:fill="FFFFFF"/>
        </w:rPr>
        <w:t>（一）职能职责。</w:t>
      </w:r>
      <w:r>
        <w:rPr>
          <w:rFonts w:hint="eastAsia" w:ascii="方正仿宋_GBK" w:hAnsi="方正仿宋_GBK" w:eastAsia="方正仿宋_GBK" w:cs="方正仿宋_GBK"/>
          <w:sz w:val="32"/>
          <w:szCs w:val="32"/>
          <w:shd w:val="clear" w:color="auto" w:fill="FFFFFF"/>
          <w:lang w:eastAsia="zh-CN"/>
        </w:rPr>
        <w:t>本部门</w:t>
      </w:r>
      <w:r>
        <w:rPr>
          <w:rFonts w:hint="eastAsia" w:ascii="方正仿宋_GBK" w:hAnsi="方正仿宋_GBK" w:eastAsia="方正仿宋_GBK" w:cs="方正仿宋_GBK"/>
          <w:sz w:val="32"/>
          <w:szCs w:val="32"/>
          <w:shd w:val="clear" w:color="auto" w:fill="FFFFFF"/>
        </w:rPr>
        <w:t>属全额拨款公益一类事业单位。主要职责：负责组织协调促进微型企业发展的各项具体工作；</w:t>
      </w:r>
      <w:r>
        <w:rPr>
          <w:rFonts w:hint="eastAsia" w:ascii="方正仿宋_GBK" w:hAnsi="方正仿宋_GBK" w:eastAsia="方正仿宋_GBK" w:cs="方正仿宋_GBK"/>
          <w:sz w:val="32"/>
          <w:szCs w:val="32"/>
          <w:shd w:val="clear" w:color="auto" w:fill="FFFFFF"/>
          <w:lang w:eastAsia="zh-CN"/>
        </w:rPr>
        <w:t>发展</w:t>
      </w:r>
      <w:r>
        <w:rPr>
          <w:rFonts w:hint="eastAsia" w:ascii="方正仿宋_GBK" w:hAnsi="方正仿宋_GBK" w:eastAsia="方正仿宋_GBK" w:cs="方正仿宋_GBK"/>
          <w:sz w:val="32"/>
          <w:szCs w:val="32"/>
          <w:shd w:val="clear" w:color="auto" w:fill="FFFFFF"/>
        </w:rPr>
        <w:t>微型企业</w:t>
      </w:r>
      <w:r>
        <w:rPr>
          <w:rFonts w:hint="eastAsia" w:ascii="方正仿宋_GBK" w:hAnsi="方正仿宋_GBK" w:eastAsia="方正仿宋_GBK" w:cs="方正仿宋_GBK"/>
          <w:sz w:val="32"/>
          <w:szCs w:val="32"/>
          <w:shd w:val="clear" w:color="auto" w:fill="FFFFFF"/>
          <w:lang w:eastAsia="zh-CN"/>
        </w:rPr>
        <w:t>发展相关</w:t>
      </w:r>
      <w:r>
        <w:rPr>
          <w:rFonts w:hint="eastAsia" w:ascii="方正仿宋_GBK" w:hAnsi="方正仿宋_GBK" w:eastAsia="方正仿宋_GBK" w:cs="方正仿宋_GBK"/>
          <w:sz w:val="32"/>
          <w:szCs w:val="32"/>
          <w:shd w:val="clear" w:color="auto" w:fill="FFFFFF"/>
        </w:rPr>
        <w:t>规则制度的健全完善和检查落实；负责申诉受理、信息公开、统计上报等工作；完成区微型企业发展领导小组交办的各项任务。</w:t>
      </w:r>
    </w:p>
    <w:p>
      <w:pPr>
        <w:pStyle w:val="18"/>
        <w:keepNext w:val="0"/>
        <w:keepLines w:val="0"/>
        <w:pageBreakBefore w:val="0"/>
        <w:shd w:val="clear" w:color="auto" w:fill="FFFFFF"/>
        <w:kinsoku/>
        <w:wordWrap/>
        <w:overflowPunct/>
        <w:topLinePunct w:val="0"/>
        <w:autoSpaceDE w:val="0"/>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方正仿宋_GBK"/>
          <w:sz w:val="32"/>
          <w:szCs w:val="32"/>
          <w:shd w:val="clear" w:color="auto" w:fill="FFFFFF"/>
        </w:rPr>
      </w:pPr>
      <w:r>
        <w:rPr>
          <w:rFonts w:ascii="方正仿宋_GBK" w:hAnsi="方正仿宋_GBK" w:eastAsia="方正仿宋_GBK" w:cs="方正仿宋_GBK"/>
          <w:b/>
          <w:sz w:val="32"/>
          <w:szCs w:val="32"/>
          <w:shd w:val="clear" w:color="auto" w:fill="FFFFFF"/>
        </w:rPr>
        <w:t>（二）机构设置。</w:t>
      </w:r>
      <w:r>
        <w:rPr>
          <w:rFonts w:ascii="方正仿宋_GBK" w:hAnsi="方正仿宋_GBK" w:eastAsia="方正仿宋_GBK" w:cs="方正仿宋_GBK"/>
          <w:sz w:val="32"/>
          <w:szCs w:val="32"/>
          <w:shd w:val="clear" w:color="auto" w:fill="FFFFFF"/>
        </w:rPr>
        <w:t>下设综合管理部、招商部、企业服务部和产业发展部等四个部门。配备公务用车1辆。事业编制20名（其中：处级领导1正2副，科级领导4名），2020年末实有人数12人。</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1"/>
        <w:rPr>
          <w:rFonts w:ascii="方正仿宋_GBK" w:eastAsia="方正仿宋_GBK"/>
          <w:sz w:val="32"/>
          <w:szCs w:val="32"/>
        </w:rPr>
      </w:pPr>
      <w:r>
        <w:rPr>
          <w:rFonts w:hint="eastAsia" w:ascii="方正仿宋_GBK" w:eastAsia="方正仿宋_GBK"/>
          <w:b/>
          <w:sz w:val="32"/>
          <w:szCs w:val="32"/>
        </w:rPr>
        <w:t>（三）单位构成。</w:t>
      </w:r>
      <w:r>
        <w:rPr>
          <w:rFonts w:hint="eastAsia" w:ascii="方正仿宋_GBK" w:eastAsia="方正仿宋_GBK"/>
          <w:sz w:val="32"/>
          <w:szCs w:val="32"/>
        </w:rPr>
        <w:t>从预算单位构成看，纳入本部门2020年度决算编制的预算单位为重庆市南岸区微型企业发展办公室，本</w:t>
      </w:r>
      <w:r>
        <w:rPr>
          <w:rFonts w:hint="eastAsia" w:ascii="方正仿宋_GBK" w:eastAsia="方正仿宋_GBK"/>
          <w:sz w:val="32"/>
          <w:szCs w:val="32"/>
          <w:lang w:eastAsia="zh-CN"/>
        </w:rPr>
        <w:t>单位</w:t>
      </w:r>
      <w:r>
        <w:rPr>
          <w:rFonts w:hint="eastAsia" w:ascii="方正仿宋_GBK" w:eastAsia="方正仿宋_GBK"/>
          <w:sz w:val="32"/>
          <w:szCs w:val="32"/>
        </w:rPr>
        <w:t>无下级预算单位。</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outlineLvl w:val="0"/>
        <w:rPr>
          <w:rStyle w:val="11"/>
          <w:rFonts w:ascii="Times New Roman" w:hAnsi="Times New Roman" w:eastAsia="方正仿宋_GBK"/>
          <w:b w:val="0"/>
          <w:bCs w:val="0"/>
          <w:color w:val="FF0000"/>
          <w:sz w:val="32"/>
          <w:szCs w:val="32"/>
        </w:rPr>
      </w:pPr>
      <w:r>
        <w:rPr>
          <w:rStyle w:val="11"/>
          <w:rFonts w:hint="eastAsia" w:ascii="方正黑体_GBK" w:eastAsia="方正黑体_GBK"/>
          <w:b w:val="0"/>
          <w:sz w:val="32"/>
          <w:szCs w:val="32"/>
        </w:rPr>
        <w:t>二、部门决算情况说明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0"/>
        <w:rPr>
          <w:rFonts w:ascii="方正仿宋_GBK" w:eastAsia="方正仿宋_GBK"/>
          <w:sz w:val="32"/>
          <w:szCs w:val="32"/>
        </w:rPr>
      </w:pPr>
      <w:r>
        <w:rPr>
          <w:rStyle w:val="11"/>
          <w:rFonts w:hint="eastAsia" w:ascii="方正仿宋_GBK" w:eastAsia="方正仿宋_GBK"/>
          <w:sz w:val="32"/>
          <w:szCs w:val="32"/>
        </w:rPr>
        <w:t>（一）收入支出决算总体情况说明</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eastAsia="方正仿宋_GBK"/>
          <w:sz w:val="32"/>
          <w:szCs w:val="32"/>
        </w:rPr>
      </w:pPr>
      <w:r>
        <w:rPr>
          <w:rFonts w:hint="eastAsia" w:ascii="方正仿宋_GBK" w:eastAsia="方正仿宋_GBK"/>
          <w:b/>
          <w:sz w:val="32"/>
          <w:szCs w:val="32"/>
        </w:rPr>
        <w:t>1.总体情况。</w:t>
      </w:r>
      <w:r>
        <w:rPr>
          <w:rFonts w:hint="eastAsia" w:ascii="方正仿宋_GBK" w:eastAsia="方正仿宋_GBK"/>
          <w:sz w:val="32"/>
          <w:szCs w:val="32"/>
        </w:rPr>
        <w:t>2020年度收入总计336.43万元，支出总计336.43万元。收支较上年决算数增加33.76万元，增长11.</w:t>
      </w:r>
      <w:r>
        <w:rPr>
          <w:rFonts w:hint="eastAsia" w:ascii="方正仿宋_GBK" w:eastAsia="方正仿宋_GBK"/>
          <w:sz w:val="32"/>
          <w:szCs w:val="32"/>
          <w:lang w:val="en-US" w:eastAsia="zh-CN"/>
        </w:rPr>
        <w:t>15</w:t>
      </w:r>
      <w:r>
        <w:rPr>
          <w:rFonts w:hint="eastAsia" w:ascii="方正仿宋_GBK" w:eastAsia="方正仿宋_GBK"/>
          <w:sz w:val="32"/>
          <w:szCs w:val="32"/>
        </w:rPr>
        <w:t>%，主要原因是</w:t>
      </w:r>
      <w:r>
        <w:rPr>
          <w:rFonts w:hint="eastAsia" w:ascii="仿宋_GB2312" w:hAnsi="仿宋" w:eastAsia="仿宋_GB2312" w:cs="仿宋"/>
          <w:color w:val="000000"/>
          <w:sz w:val="32"/>
          <w:szCs w:val="32"/>
        </w:rPr>
        <w:t>本年</w:t>
      </w:r>
      <w:r>
        <w:rPr>
          <w:rFonts w:hint="eastAsia" w:ascii="仿宋_GB2312" w:hAnsi="仿宋" w:eastAsia="仿宋_GB2312" w:cs="仿宋"/>
          <w:color w:val="000000"/>
          <w:sz w:val="32"/>
          <w:szCs w:val="32"/>
          <w:lang w:eastAsia="zh-CN"/>
        </w:rPr>
        <w:t>项目支出增加</w:t>
      </w:r>
      <w:r>
        <w:rPr>
          <w:rFonts w:hint="eastAsia" w:ascii="仿宋_GB2312" w:hAnsi="仿宋" w:eastAsia="仿宋_GB2312" w:cs="仿宋"/>
          <w:color w:val="000000"/>
          <w:sz w:val="32"/>
          <w:szCs w:val="32"/>
        </w:rPr>
        <w:t>招商引资及</w:t>
      </w:r>
      <w:r>
        <w:rPr>
          <w:rFonts w:hint="eastAsia" w:ascii="仿宋_GB2312" w:hAnsi="仿宋" w:eastAsia="仿宋_GB2312" w:cs="仿宋"/>
          <w:color w:val="000000"/>
          <w:sz w:val="32"/>
          <w:szCs w:val="32"/>
          <w:lang w:eastAsia="zh-CN"/>
        </w:rPr>
        <w:t>解决</w:t>
      </w:r>
      <w:r>
        <w:rPr>
          <w:rFonts w:hint="eastAsia" w:ascii="仿宋_GB2312" w:hAnsi="仿宋" w:eastAsia="仿宋_GB2312" w:cs="仿宋"/>
          <w:color w:val="000000"/>
          <w:sz w:val="32"/>
          <w:szCs w:val="32"/>
        </w:rPr>
        <w:t>房屋租赁遗留问题</w:t>
      </w:r>
      <w:r>
        <w:rPr>
          <w:rFonts w:hint="eastAsia" w:ascii="仿宋_GB2312" w:hAnsi="仿宋" w:eastAsia="仿宋_GB2312" w:cs="仿宋"/>
          <w:color w:val="000000"/>
          <w:sz w:val="32"/>
          <w:szCs w:val="32"/>
          <w:lang w:eastAsia="zh-CN"/>
        </w:rPr>
        <w:t>等经费</w:t>
      </w:r>
      <w:r>
        <w:rPr>
          <w:rFonts w:hint="eastAsia" w:ascii="方正仿宋_GBK" w:eastAsia="方正仿宋_GBK"/>
          <w:sz w:val="32"/>
          <w:szCs w:val="32"/>
        </w:rPr>
        <w:t>47.22万元，</w:t>
      </w:r>
      <w:r>
        <w:rPr>
          <w:rFonts w:hint="eastAsia" w:ascii="方正仿宋_GBK" w:eastAsia="方正仿宋_GBK"/>
          <w:sz w:val="32"/>
          <w:szCs w:val="32"/>
          <w:lang w:eastAsia="zh-CN"/>
        </w:rPr>
        <w:t>基本支出中</w:t>
      </w:r>
      <w:r>
        <w:rPr>
          <w:rFonts w:hint="eastAsia" w:ascii="方正仿宋_GBK" w:eastAsia="方正仿宋_GBK"/>
          <w:sz w:val="32"/>
          <w:szCs w:val="32"/>
        </w:rPr>
        <w:t>人员经费减少</w:t>
      </w:r>
      <w:r>
        <w:rPr>
          <w:rFonts w:hint="eastAsia" w:ascii="方正仿宋_GBK" w:eastAsia="方正仿宋_GBK"/>
          <w:sz w:val="32"/>
          <w:szCs w:val="32"/>
          <w:lang w:eastAsia="zh-CN"/>
        </w:rPr>
        <w:t>与</w:t>
      </w:r>
      <w:r>
        <w:rPr>
          <w:rFonts w:hint="eastAsia" w:ascii="方正仿宋_GBK" w:eastAsia="方正仿宋_GBK"/>
          <w:sz w:val="32"/>
          <w:szCs w:val="32"/>
        </w:rPr>
        <w:t>公用经费增加</w:t>
      </w:r>
      <w:r>
        <w:rPr>
          <w:rFonts w:hint="eastAsia" w:ascii="方正仿宋_GBK" w:eastAsia="方正仿宋_GBK"/>
          <w:sz w:val="32"/>
          <w:szCs w:val="32"/>
          <w:lang w:eastAsia="zh-CN"/>
        </w:rPr>
        <w:t>品迭后减少</w:t>
      </w:r>
      <w:r>
        <w:rPr>
          <w:rFonts w:hint="eastAsia" w:ascii="方正仿宋_GBK" w:eastAsia="方正仿宋_GBK"/>
          <w:sz w:val="32"/>
          <w:szCs w:val="32"/>
          <w:lang w:val="en-US" w:eastAsia="zh-CN"/>
        </w:rPr>
        <w:t>13.46万元</w:t>
      </w:r>
      <w:r>
        <w:rPr>
          <w:rFonts w:hint="eastAsia" w:ascii="方正仿宋_GBK" w:eastAsia="方正仿宋_GBK"/>
          <w:sz w:val="32"/>
          <w:szCs w:val="32"/>
        </w:rPr>
        <w:t>。</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eastAsia="方正仿宋_GBK"/>
          <w:sz w:val="32"/>
          <w:szCs w:val="32"/>
        </w:rPr>
      </w:pPr>
      <w:r>
        <w:rPr>
          <w:rFonts w:hint="eastAsia" w:ascii="方正仿宋_GBK" w:eastAsia="方正仿宋_GBK"/>
          <w:b/>
          <w:sz w:val="32"/>
          <w:szCs w:val="32"/>
        </w:rPr>
        <w:t>2.收入情况。</w:t>
      </w:r>
      <w:r>
        <w:rPr>
          <w:rFonts w:hint="eastAsia" w:ascii="方正仿宋_GBK" w:eastAsia="方正仿宋_GBK"/>
          <w:sz w:val="32"/>
          <w:szCs w:val="32"/>
        </w:rPr>
        <w:t>2020年度收入合计336.43万元，较上年决算数增加37.34万元，增长12.</w:t>
      </w:r>
      <w:r>
        <w:rPr>
          <w:rFonts w:hint="eastAsia" w:ascii="方正仿宋_GBK" w:eastAsia="方正仿宋_GBK"/>
          <w:sz w:val="32"/>
          <w:szCs w:val="32"/>
          <w:lang w:val="en-US" w:eastAsia="zh-CN"/>
        </w:rPr>
        <w:t>48</w:t>
      </w:r>
      <w:r>
        <w:rPr>
          <w:rFonts w:hint="eastAsia" w:ascii="方正仿宋_GBK" w:eastAsia="方正仿宋_GBK"/>
          <w:sz w:val="32"/>
          <w:szCs w:val="32"/>
        </w:rPr>
        <w:t>%，主要原因是本年</w:t>
      </w:r>
      <w:r>
        <w:rPr>
          <w:rFonts w:hint="eastAsia" w:ascii="方正仿宋_GBK" w:eastAsia="方正仿宋_GBK"/>
          <w:sz w:val="32"/>
          <w:szCs w:val="32"/>
          <w:lang w:eastAsia="zh-CN"/>
        </w:rPr>
        <w:t>项目支出中增加</w:t>
      </w:r>
      <w:r>
        <w:rPr>
          <w:rFonts w:hint="eastAsia" w:ascii="方正仿宋_GBK" w:eastAsia="方正仿宋_GBK"/>
          <w:sz w:val="32"/>
          <w:szCs w:val="32"/>
        </w:rPr>
        <w:t>招商引资及</w:t>
      </w:r>
      <w:r>
        <w:rPr>
          <w:rFonts w:hint="eastAsia" w:ascii="方正仿宋_GBK" w:eastAsia="方正仿宋_GBK"/>
          <w:sz w:val="32"/>
          <w:szCs w:val="32"/>
          <w:lang w:eastAsia="zh-CN"/>
        </w:rPr>
        <w:t>解决</w:t>
      </w:r>
      <w:r>
        <w:rPr>
          <w:rFonts w:hint="eastAsia" w:ascii="方正仿宋_GBK" w:eastAsia="方正仿宋_GBK"/>
          <w:sz w:val="32"/>
          <w:szCs w:val="32"/>
        </w:rPr>
        <w:t>房屋租赁遗留问题</w:t>
      </w:r>
      <w:r>
        <w:rPr>
          <w:rFonts w:hint="eastAsia" w:ascii="方正仿宋_GBK" w:eastAsia="方正仿宋_GBK"/>
          <w:sz w:val="32"/>
          <w:szCs w:val="32"/>
          <w:lang w:eastAsia="zh-CN"/>
        </w:rPr>
        <w:t>等经费</w:t>
      </w:r>
      <w:r>
        <w:rPr>
          <w:rFonts w:hint="eastAsia" w:ascii="方正仿宋_GBK" w:eastAsia="方正仿宋_GBK"/>
          <w:sz w:val="32"/>
          <w:szCs w:val="32"/>
        </w:rPr>
        <w:t>47.22万元，</w:t>
      </w:r>
      <w:r>
        <w:rPr>
          <w:rFonts w:hint="eastAsia" w:ascii="方正仿宋_GBK" w:eastAsia="方正仿宋_GBK"/>
          <w:sz w:val="32"/>
          <w:szCs w:val="32"/>
          <w:lang w:eastAsia="zh-CN"/>
        </w:rPr>
        <w:t>基本支出中</w:t>
      </w:r>
      <w:r>
        <w:rPr>
          <w:rFonts w:hint="eastAsia" w:ascii="方正仿宋_GBK" w:eastAsia="方正仿宋_GBK"/>
          <w:sz w:val="32"/>
          <w:szCs w:val="32"/>
        </w:rPr>
        <w:t>人员经费减少</w:t>
      </w:r>
      <w:r>
        <w:rPr>
          <w:rFonts w:hint="eastAsia" w:ascii="方正仿宋_GBK" w:eastAsia="方正仿宋_GBK"/>
          <w:sz w:val="32"/>
          <w:szCs w:val="32"/>
          <w:lang w:eastAsia="zh-CN"/>
        </w:rPr>
        <w:t>与</w:t>
      </w:r>
      <w:r>
        <w:rPr>
          <w:rFonts w:hint="eastAsia" w:ascii="方正仿宋_GBK" w:eastAsia="方正仿宋_GBK"/>
          <w:sz w:val="32"/>
          <w:szCs w:val="32"/>
        </w:rPr>
        <w:t>公用经费增加</w:t>
      </w:r>
      <w:r>
        <w:rPr>
          <w:rFonts w:hint="eastAsia" w:ascii="方正仿宋_GBK" w:eastAsia="方正仿宋_GBK"/>
          <w:sz w:val="32"/>
          <w:szCs w:val="32"/>
          <w:lang w:eastAsia="zh-CN"/>
        </w:rPr>
        <w:t>品迭后减少</w:t>
      </w:r>
      <w:r>
        <w:rPr>
          <w:rFonts w:hint="eastAsia" w:ascii="方正仿宋_GBK" w:eastAsia="方正仿宋_GBK"/>
          <w:sz w:val="32"/>
          <w:szCs w:val="32"/>
          <w:lang w:val="en-US" w:eastAsia="zh-CN"/>
        </w:rPr>
        <w:t>9.88万元。</w:t>
      </w:r>
      <w:r>
        <w:rPr>
          <w:rFonts w:hint="eastAsia" w:ascii="方正仿宋_GBK" w:eastAsia="方正仿宋_GBK"/>
          <w:sz w:val="32"/>
          <w:szCs w:val="32"/>
        </w:rPr>
        <w:t>其中：财政拨款收入336.34万元，占100%。</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eastAsia="方正仿宋_GBK"/>
          <w:sz w:val="32"/>
          <w:szCs w:val="32"/>
        </w:rPr>
      </w:pPr>
      <w:r>
        <w:rPr>
          <w:rFonts w:hint="eastAsia" w:ascii="方正仿宋_GBK" w:eastAsia="方正仿宋_GBK"/>
          <w:b/>
          <w:sz w:val="32"/>
          <w:szCs w:val="32"/>
        </w:rPr>
        <w:t>3.支出情况。</w:t>
      </w:r>
      <w:r>
        <w:rPr>
          <w:rFonts w:hint="eastAsia" w:ascii="方正仿宋_GBK" w:eastAsia="方正仿宋_GBK"/>
          <w:sz w:val="32"/>
          <w:szCs w:val="32"/>
        </w:rPr>
        <w:t>2020年度支出合计335.01万元，较上年决算数增加32.34万元，增长10.</w:t>
      </w:r>
      <w:r>
        <w:rPr>
          <w:rFonts w:hint="eastAsia" w:ascii="方正仿宋_GBK" w:eastAsia="方正仿宋_GBK"/>
          <w:sz w:val="32"/>
          <w:szCs w:val="32"/>
          <w:lang w:val="en-US" w:eastAsia="zh-CN"/>
        </w:rPr>
        <w:t>68</w:t>
      </w:r>
      <w:r>
        <w:rPr>
          <w:rFonts w:hint="eastAsia" w:ascii="方正仿宋_GBK" w:eastAsia="方正仿宋_GBK"/>
          <w:sz w:val="32"/>
          <w:szCs w:val="32"/>
        </w:rPr>
        <w:t>%，主要原因是本年</w:t>
      </w:r>
      <w:r>
        <w:rPr>
          <w:rFonts w:hint="eastAsia" w:ascii="方正仿宋_GBK" w:eastAsia="方正仿宋_GBK"/>
          <w:sz w:val="32"/>
          <w:szCs w:val="32"/>
          <w:lang w:eastAsia="zh-CN"/>
        </w:rPr>
        <w:t>项目支出中增加</w:t>
      </w:r>
      <w:r>
        <w:rPr>
          <w:rFonts w:hint="eastAsia" w:ascii="方正仿宋_GBK" w:eastAsia="方正仿宋_GBK"/>
          <w:sz w:val="32"/>
          <w:szCs w:val="32"/>
        </w:rPr>
        <w:t>招商引资及</w:t>
      </w:r>
      <w:r>
        <w:rPr>
          <w:rFonts w:hint="eastAsia" w:ascii="方正仿宋_GBK" w:eastAsia="方正仿宋_GBK"/>
          <w:sz w:val="32"/>
          <w:szCs w:val="32"/>
          <w:lang w:eastAsia="zh-CN"/>
        </w:rPr>
        <w:t>解决</w:t>
      </w:r>
      <w:r>
        <w:rPr>
          <w:rFonts w:hint="eastAsia" w:ascii="方正仿宋_GBK" w:eastAsia="方正仿宋_GBK"/>
          <w:sz w:val="32"/>
          <w:szCs w:val="32"/>
        </w:rPr>
        <w:t>房屋租赁遗留问题</w:t>
      </w:r>
      <w:r>
        <w:rPr>
          <w:rFonts w:hint="eastAsia" w:ascii="方正仿宋_GBK" w:eastAsia="方正仿宋_GBK"/>
          <w:sz w:val="32"/>
          <w:szCs w:val="32"/>
          <w:lang w:eastAsia="zh-CN"/>
        </w:rPr>
        <w:t>等经费</w:t>
      </w:r>
      <w:r>
        <w:rPr>
          <w:rFonts w:hint="eastAsia" w:ascii="方正仿宋_GBK" w:eastAsia="方正仿宋_GBK"/>
          <w:sz w:val="32"/>
          <w:szCs w:val="32"/>
        </w:rPr>
        <w:t>47.22万元，</w:t>
      </w:r>
      <w:r>
        <w:rPr>
          <w:rFonts w:hint="eastAsia" w:ascii="方正仿宋_GBK" w:eastAsia="方正仿宋_GBK"/>
          <w:sz w:val="32"/>
          <w:szCs w:val="32"/>
          <w:lang w:eastAsia="zh-CN"/>
        </w:rPr>
        <w:t>基本支出中</w:t>
      </w:r>
      <w:r>
        <w:rPr>
          <w:rFonts w:hint="eastAsia" w:ascii="方正仿宋_GBK" w:eastAsia="方正仿宋_GBK"/>
          <w:sz w:val="32"/>
          <w:szCs w:val="32"/>
        </w:rPr>
        <w:t>人员经费减少</w:t>
      </w:r>
      <w:r>
        <w:rPr>
          <w:rFonts w:hint="eastAsia" w:ascii="方正仿宋_GBK" w:eastAsia="方正仿宋_GBK"/>
          <w:sz w:val="32"/>
          <w:szCs w:val="32"/>
          <w:lang w:eastAsia="zh-CN"/>
        </w:rPr>
        <w:t>与</w:t>
      </w:r>
      <w:r>
        <w:rPr>
          <w:rFonts w:hint="eastAsia" w:ascii="方正仿宋_GBK" w:eastAsia="方正仿宋_GBK"/>
          <w:sz w:val="32"/>
          <w:szCs w:val="32"/>
        </w:rPr>
        <w:t>公用经费增加</w:t>
      </w:r>
      <w:r>
        <w:rPr>
          <w:rFonts w:hint="eastAsia" w:ascii="方正仿宋_GBK" w:eastAsia="方正仿宋_GBK"/>
          <w:sz w:val="32"/>
          <w:szCs w:val="32"/>
          <w:lang w:eastAsia="zh-CN"/>
        </w:rPr>
        <w:t>品迭后减少</w:t>
      </w:r>
      <w:r>
        <w:rPr>
          <w:rFonts w:hint="eastAsia" w:ascii="方正仿宋_GBK" w:eastAsia="方正仿宋_GBK"/>
          <w:sz w:val="32"/>
          <w:szCs w:val="32"/>
          <w:lang w:val="en-US" w:eastAsia="zh-CN"/>
        </w:rPr>
        <w:t>14.88万元</w:t>
      </w:r>
      <w:r>
        <w:rPr>
          <w:rFonts w:hint="eastAsia" w:ascii="方正仿宋_GBK" w:eastAsia="方正仿宋_GBK"/>
          <w:sz w:val="32"/>
          <w:szCs w:val="32"/>
        </w:rPr>
        <w:t>。其中：基本支出287.79万元，占85.9%；项目支出47.22万元，占14.1%；此外，结余分配0万元。</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sz w:val="32"/>
          <w:szCs w:val="32"/>
        </w:rPr>
        <w:t>4.结转结余情况。</w:t>
      </w:r>
      <w:r>
        <w:rPr>
          <w:rFonts w:hint="eastAsia" w:ascii="方正仿宋_GBK" w:hAnsi="宋体" w:eastAsia="方正仿宋_GBK" w:cs="宋体"/>
          <w:sz w:val="32"/>
          <w:szCs w:val="32"/>
          <w:lang w:val="en-US" w:eastAsia="zh-CN" w:bidi="ar-SA"/>
        </w:rPr>
        <w:t>2020年度年末结转和结余1.42万元，较上年决算数增加1.42万元，增长100%，主要原因是上年度无年末结转和结余。</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0"/>
        <w:rPr>
          <w:rStyle w:val="11"/>
          <w:rFonts w:ascii="方正仿宋_GBK" w:eastAsia="方正仿宋_GBK"/>
          <w:sz w:val="32"/>
          <w:szCs w:val="32"/>
        </w:rPr>
      </w:pPr>
      <w:r>
        <w:rPr>
          <w:rStyle w:val="11"/>
          <w:rFonts w:hint="eastAsia" w:ascii="方正仿宋_GBK" w:eastAsia="方正仿宋_GBK"/>
          <w:sz w:val="32"/>
          <w:szCs w:val="32"/>
        </w:rPr>
        <w:t>（二）财政拨款收入支出决算总体情况说明</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sz w:val="32"/>
          <w:szCs w:val="32"/>
          <w:lang w:val="en-US" w:eastAsia="zh-CN"/>
        </w:rPr>
        <w:t>1.收入情况：</w:t>
      </w:r>
      <w:r>
        <w:rPr>
          <w:rFonts w:hint="eastAsia" w:ascii="方正仿宋_GBK" w:hAnsi="宋体" w:eastAsia="方正仿宋_GBK" w:cs="宋体"/>
          <w:sz w:val="32"/>
          <w:szCs w:val="32"/>
          <w:lang w:val="en-US" w:eastAsia="zh-CN" w:bidi="ar-SA"/>
        </w:rPr>
        <w:t>2020年度财政拨款收入336.43万元，较上年决算数增加33.76万元，增长11.15%，主要原因是本年项目支出增加招商引资及解决房屋租赁遗留问题等经费47.22万元，基本支出中人员经费减少与公用经费增加品迭后减少13.46万元。</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hAnsi="宋体" w:eastAsia="方正仿宋_GBK" w:cs="宋体"/>
          <w:sz w:val="32"/>
          <w:szCs w:val="32"/>
          <w:lang w:val="en-US" w:eastAsia="zh-CN" w:bidi="ar-SA"/>
        </w:rPr>
      </w:pPr>
      <w:r>
        <w:rPr>
          <w:rStyle w:val="11"/>
          <w:rFonts w:hint="eastAsia" w:ascii="方正仿宋_GBK" w:hAnsi="Times New Roman" w:eastAsia="方正仿宋_GBK" w:cs="Times New Roman"/>
          <w:color w:val="auto"/>
          <w:sz w:val="32"/>
          <w:szCs w:val="32"/>
          <w:lang w:val="en-US" w:eastAsia="zh-CN"/>
        </w:rPr>
        <w:t>2.支出情况：</w:t>
      </w:r>
      <w:r>
        <w:rPr>
          <w:rFonts w:hint="eastAsia" w:ascii="方正仿宋_GBK" w:hAnsi="宋体" w:eastAsia="方正仿宋_GBK" w:cs="宋体"/>
          <w:sz w:val="32"/>
          <w:szCs w:val="32"/>
          <w:lang w:val="en-US" w:eastAsia="zh-CN" w:bidi="ar-SA"/>
        </w:rPr>
        <w:t>2020年度财政拨款支出336.43万元，较上年决算数增加33.76万元，增长11.15%，主要原因是本年项目支出增加招商引资及解决房屋租赁遗留问题等经费47.22万元，基本支出中人员经费减少与公用经费增加品迭后减少13.46万元。</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0"/>
        <w:rPr>
          <w:rStyle w:val="11"/>
        </w:rPr>
      </w:pPr>
      <w:r>
        <w:rPr>
          <w:rStyle w:val="11"/>
          <w:rFonts w:hint="eastAsia" w:ascii="方正仿宋_GBK" w:eastAsia="方正仿宋_GBK"/>
          <w:sz w:val="32"/>
          <w:szCs w:val="32"/>
        </w:rPr>
        <w:t>（三）一般公共预算财政拨款支出决算情况说明</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sz w:val="32"/>
          <w:szCs w:val="32"/>
        </w:rPr>
        <w:t>1.收入情况。</w:t>
      </w:r>
      <w:r>
        <w:rPr>
          <w:rFonts w:hint="eastAsia" w:ascii="方正仿宋_GBK" w:hAnsi="宋体" w:eastAsia="方正仿宋_GBK" w:cs="宋体"/>
          <w:sz w:val="32"/>
          <w:szCs w:val="32"/>
          <w:lang w:val="en-US" w:eastAsia="zh-CN" w:bidi="ar-SA"/>
        </w:rPr>
        <w:t>2020年度一般公共预算财政拨款收入336.43万元，较上年决算数增加37.34万元，增长12.48%，主要原因本年项目支出中增加招商引资及解决房屋租赁遗留问题等经费47.22万元，基本支出中人员经费减少与公用经费增加品迭后减少9.88万元。较年初预算数减少27.12万元，下降7.5%。主要原因是年初预算招商引资及房屋租赁遗留问题项目经费60万元，调整预算后实际收入47.22万元；年初预算基本支出经费303.55万元，调整预算后实际收入289.21万元。此外，年初财政拨款结转和结余0万元。</w:t>
      </w:r>
    </w:p>
    <w:p>
      <w:pPr>
        <w:keepNext w:val="0"/>
        <w:keepLines w:val="0"/>
        <w:pageBreakBefore w:val="0"/>
        <w:kinsoku/>
        <w:wordWrap/>
        <w:overflowPunct/>
        <w:topLinePunct w:val="0"/>
        <w:autoSpaceDN/>
        <w:bidi w:val="0"/>
        <w:spacing w:line="560" w:lineRule="exact"/>
        <w:ind w:firstLine="640"/>
        <w:jc w:val="both"/>
        <w:textAlignment w:val="auto"/>
        <w:rPr>
          <w:rFonts w:hint="eastAsia" w:ascii="方正仿宋_GBK" w:eastAsia="方正仿宋_GBK"/>
          <w:b w:val="0"/>
          <w:bCs/>
          <w:sz w:val="32"/>
          <w:szCs w:val="32"/>
        </w:rPr>
      </w:pPr>
      <w:r>
        <w:rPr>
          <w:rFonts w:hint="eastAsia" w:ascii="方正仿宋_GBK" w:hAnsi="宋体" w:eastAsia="方正仿宋_GBK" w:cs="宋体"/>
          <w:b/>
          <w:bCs/>
          <w:sz w:val="32"/>
          <w:szCs w:val="32"/>
          <w:lang w:val="en-US" w:eastAsia="zh-CN" w:bidi="ar-SA"/>
        </w:rPr>
        <w:t>2.支出情况。</w:t>
      </w:r>
      <w:r>
        <w:rPr>
          <w:rFonts w:hint="eastAsia" w:ascii="方正仿宋_GBK" w:hAnsi="宋体" w:eastAsia="方正仿宋_GBK" w:cs="宋体"/>
          <w:sz w:val="32"/>
          <w:szCs w:val="32"/>
          <w:lang w:val="en-US" w:eastAsia="zh-CN" w:bidi="ar-SA"/>
        </w:rPr>
        <w:t>2020年度一般公共预算财政拨款支出335.01万元，较上年决算数增加32.34万元，增长10.68%，主要原因是本年项目支出</w:t>
      </w:r>
      <w:r>
        <w:rPr>
          <w:rFonts w:hint="eastAsia" w:ascii="方正仿宋_GBK" w:eastAsia="方正仿宋_GBK"/>
          <w:b w:val="0"/>
          <w:bCs/>
          <w:sz w:val="32"/>
          <w:szCs w:val="32"/>
          <w:lang w:eastAsia="zh-CN"/>
        </w:rPr>
        <w:t>中增加</w:t>
      </w:r>
      <w:r>
        <w:rPr>
          <w:rFonts w:hint="eastAsia" w:ascii="方正仿宋_GBK" w:eastAsia="方正仿宋_GBK"/>
          <w:b w:val="0"/>
          <w:bCs/>
          <w:sz w:val="32"/>
          <w:szCs w:val="32"/>
        </w:rPr>
        <w:t>招商引资及</w:t>
      </w:r>
      <w:r>
        <w:rPr>
          <w:rFonts w:hint="eastAsia" w:ascii="方正仿宋_GBK" w:eastAsia="方正仿宋_GBK"/>
          <w:b w:val="0"/>
          <w:bCs/>
          <w:sz w:val="32"/>
          <w:szCs w:val="32"/>
          <w:lang w:eastAsia="zh-CN"/>
        </w:rPr>
        <w:t>解决</w:t>
      </w:r>
      <w:r>
        <w:rPr>
          <w:rFonts w:hint="eastAsia" w:ascii="方正仿宋_GBK" w:eastAsia="方正仿宋_GBK"/>
          <w:b w:val="0"/>
          <w:bCs/>
          <w:sz w:val="32"/>
          <w:szCs w:val="32"/>
        </w:rPr>
        <w:t>房屋租赁遗留问题</w:t>
      </w:r>
      <w:r>
        <w:rPr>
          <w:rFonts w:hint="eastAsia" w:ascii="方正仿宋_GBK" w:eastAsia="方正仿宋_GBK"/>
          <w:b w:val="0"/>
          <w:bCs/>
          <w:sz w:val="32"/>
          <w:szCs w:val="32"/>
          <w:lang w:eastAsia="zh-CN"/>
        </w:rPr>
        <w:t>等经费</w:t>
      </w:r>
      <w:r>
        <w:rPr>
          <w:rFonts w:hint="eastAsia" w:ascii="方正仿宋_GBK" w:eastAsia="方正仿宋_GBK"/>
          <w:b w:val="0"/>
          <w:bCs/>
          <w:sz w:val="32"/>
          <w:szCs w:val="32"/>
        </w:rPr>
        <w:t>47.22万元，</w:t>
      </w:r>
      <w:r>
        <w:rPr>
          <w:rFonts w:hint="eastAsia" w:ascii="方正仿宋_GBK" w:eastAsia="方正仿宋_GBK"/>
          <w:b w:val="0"/>
          <w:bCs/>
          <w:sz w:val="32"/>
          <w:szCs w:val="32"/>
          <w:lang w:eastAsia="zh-CN"/>
        </w:rPr>
        <w:t>由于</w:t>
      </w:r>
      <w:r>
        <w:rPr>
          <w:rFonts w:hint="eastAsia" w:ascii="方正仿宋_GBK" w:eastAsia="方正仿宋_GBK"/>
          <w:b w:val="0"/>
          <w:bCs/>
          <w:sz w:val="32"/>
          <w:szCs w:val="32"/>
        </w:rPr>
        <w:t>人员</w:t>
      </w:r>
      <w:r>
        <w:rPr>
          <w:rFonts w:hint="eastAsia" w:ascii="方正仿宋_GBK" w:eastAsia="方正仿宋_GBK"/>
          <w:b w:val="0"/>
          <w:bCs/>
          <w:sz w:val="32"/>
          <w:szCs w:val="32"/>
          <w:lang w:eastAsia="zh-CN"/>
        </w:rPr>
        <w:t>变动和厉行节约减少基本支出</w:t>
      </w:r>
      <w:r>
        <w:rPr>
          <w:rFonts w:hint="eastAsia" w:ascii="方正仿宋_GBK" w:eastAsia="方正仿宋_GBK"/>
          <w:b w:val="0"/>
          <w:bCs/>
          <w:sz w:val="32"/>
          <w:szCs w:val="32"/>
          <w:lang w:val="en-US" w:eastAsia="zh-CN"/>
        </w:rPr>
        <w:t>14.88万元</w:t>
      </w:r>
      <w:r>
        <w:rPr>
          <w:rFonts w:hint="eastAsia" w:ascii="方正仿宋_GBK" w:eastAsia="方正仿宋_GBK"/>
          <w:b w:val="0"/>
          <w:bCs/>
          <w:sz w:val="32"/>
          <w:szCs w:val="32"/>
        </w:rPr>
        <w:t>。较年初预算数减少28.54万元</w:t>
      </w:r>
      <w:r>
        <w:rPr>
          <w:rFonts w:hint="eastAsia" w:ascii="方正仿宋_GBK" w:eastAsia="方正仿宋_GBK"/>
          <w:b w:val="0"/>
          <w:bCs/>
          <w:sz w:val="32"/>
          <w:szCs w:val="32"/>
          <w:lang w:eastAsia="zh-CN"/>
        </w:rPr>
        <w:t>，</w:t>
      </w:r>
      <w:r>
        <w:rPr>
          <w:rFonts w:hint="eastAsia" w:ascii="方正仿宋_GBK" w:eastAsia="方正仿宋_GBK"/>
          <w:b w:val="0"/>
          <w:bCs/>
          <w:sz w:val="32"/>
          <w:szCs w:val="32"/>
        </w:rPr>
        <w:t>下降7.</w:t>
      </w:r>
      <w:r>
        <w:rPr>
          <w:rFonts w:hint="eastAsia" w:ascii="方正仿宋_GBK" w:eastAsia="方正仿宋_GBK"/>
          <w:b w:val="0"/>
          <w:bCs/>
          <w:sz w:val="32"/>
          <w:szCs w:val="32"/>
          <w:lang w:val="en-US" w:eastAsia="zh-CN"/>
        </w:rPr>
        <w:t>85</w:t>
      </w:r>
      <w:r>
        <w:rPr>
          <w:rFonts w:hint="eastAsia" w:ascii="方正仿宋_GBK" w:eastAsia="方正仿宋_GBK"/>
          <w:b w:val="0"/>
          <w:bCs/>
          <w:sz w:val="32"/>
          <w:szCs w:val="32"/>
        </w:rPr>
        <w:t>%。主要原因</w:t>
      </w:r>
      <w:r>
        <w:rPr>
          <w:rFonts w:hint="eastAsia" w:ascii="方正仿宋_GBK" w:eastAsia="方正仿宋_GBK"/>
          <w:b w:val="0"/>
          <w:bCs/>
          <w:sz w:val="32"/>
          <w:szCs w:val="32"/>
          <w:lang w:eastAsia="zh-CN"/>
        </w:rPr>
        <w:t>一</w:t>
      </w:r>
      <w:r>
        <w:rPr>
          <w:rFonts w:hint="eastAsia" w:ascii="方正仿宋_GBK" w:eastAsia="方正仿宋_GBK"/>
          <w:b w:val="0"/>
          <w:bCs/>
          <w:sz w:val="32"/>
          <w:szCs w:val="32"/>
        </w:rPr>
        <w:t>是</w:t>
      </w:r>
      <w:r>
        <w:rPr>
          <w:rFonts w:hint="eastAsia" w:ascii="方正仿宋_GBK" w:eastAsia="方正仿宋_GBK"/>
          <w:b w:val="0"/>
          <w:bCs/>
          <w:sz w:val="32"/>
          <w:szCs w:val="32"/>
          <w:lang w:eastAsia="zh-CN"/>
        </w:rPr>
        <w:t>受疫情影响，减少外出招商洽谈，</w:t>
      </w:r>
      <w:r>
        <w:rPr>
          <w:rFonts w:hint="eastAsia" w:ascii="方正仿宋_GBK" w:eastAsia="方正仿宋_GBK"/>
          <w:b w:val="0"/>
          <w:bCs/>
          <w:sz w:val="32"/>
          <w:szCs w:val="32"/>
        </w:rPr>
        <w:t>年初预算招商引资项目经费</w:t>
      </w:r>
      <w:r>
        <w:rPr>
          <w:rFonts w:hint="eastAsia" w:ascii="方正仿宋_GBK" w:eastAsia="方正仿宋_GBK"/>
          <w:b w:val="0"/>
          <w:bCs/>
          <w:sz w:val="32"/>
          <w:szCs w:val="32"/>
          <w:lang w:val="en-US" w:eastAsia="zh-CN"/>
        </w:rPr>
        <w:t>47.78</w:t>
      </w:r>
      <w:r>
        <w:rPr>
          <w:rFonts w:hint="eastAsia" w:ascii="方正仿宋_GBK" w:eastAsia="方正仿宋_GBK"/>
          <w:b w:val="0"/>
          <w:bCs/>
          <w:sz w:val="32"/>
          <w:szCs w:val="32"/>
        </w:rPr>
        <w:t>万元，实际支付</w:t>
      </w:r>
      <w:r>
        <w:rPr>
          <w:rFonts w:hint="eastAsia" w:ascii="方正仿宋_GBK" w:eastAsia="方正仿宋_GBK"/>
          <w:b w:val="0"/>
          <w:bCs/>
          <w:sz w:val="32"/>
          <w:szCs w:val="32"/>
          <w:lang w:val="en-US" w:eastAsia="zh-CN"/>
        </w:rPr>
        <w:t>35</w:t>
      </w:r>
      <w:r>
        <w:rPr>
          <w:rFonts w:hint="eastAsia" w:ascii="方正仿宋_GBK" w:eastAsia="方正仿宋_GBK"/>
          <w:b w:val="0"/>
          <w:bCs/>
          <w:sz w:val="32"/>
          <w:szCs w:val="32"/>
        </w:rPr>
        <w:t>万元；</w:t>
      </w:r>
      <w:r>
        <w:rPr>
          <w:rFonts w:hint="eastAsia" w:ascii="方正仿宋_GBK" w:eastAsia="方正仿宋_GBK"/>
          <w:b w:val="0"/>
          <w:bCs/>
          <w:sz w:val="32"/>
          <w:szCs w:val="32"/>
          <w:lang w:eastAsia="zh-CN"/>
        </w:rPr>
        <w:t>二是</w:t>
      </w:r>
      <w:r>
        <w:rPr>
          <w:rFonts w:hint="eastAsia" w:ascii="方正仿宋_GBK" w:eastAsia="方正仿宋_GBK"/>
          <w:b w:val="0"/>
          <w:bCs/>
          <w:sz w:val="32"/>
          <w:szCs w:val="32"/>
        </w:rPr>
        <w:t>人员</w:t>
      </w:r>
      <w:r>
        <w:rPr>
          <w:rFonts w:hint="eastAsia" w:ascii="方正仿宋_GBK" w:eastAsia="方正仿宋_GBK"/>
          <w:b w:val="0"/>
          <w:bCs/>
          <w:sz w:val="32"/>
          <w:szCs w:val="32"/>
          <w:lang w:eastAsia="zh-CN"/>
        </w:rPr>
        <w:t>变动和厉行节约，</w:t>
      </w:r>
      <w:r>
        <w:rPr>
          <w:rFonts w:hint="eastAsia" w:ascii="方正仿宋_GBK" w:eastAsia="方正仿宋_GBK"/>
          <w:b w:val="0"/>
          <w:bCs/>
          <w:sz w:val="32"/>
          <w:szCs w:val="32"/>
        </w:rPr>
        <w:t>年初</w:t>
      </w:r>
      <w:r>
        <w:rPr>
          <w:rFonts w:hint="eastAsia" w:ascii="方正仿宋_GBK" w:eastAsia="方正仿宋_GBK"/>
          <w:b w:val="0"/>
          <w:bCs/>
          <w:sz w:val="32"/>
          <w:szCs w:val="32"/>
          <w:lang w:eastAsia="zh-CN"/>
        </w:rPr>
        <w:t>基本支出预算</w:t>
      </w:r>
      <w:r>
        <w:rPr>
          <w:rFonts w:hint="eastAsia" w:ascii="方正仿宋_GBK" w:eastAsia="方正仿宋_GBK"/>
          <w:b w:val="0"/>
          <w:bCs/>
          <w:sz w:val="32"/>
          <w:szCs w:val="32"/>
        </w:rPr>
        <w:t>303.55万元，实际支出287.79万元。</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sz w:val="32"/>
          <w:szCs w:val="32"/>
        </w:rPr>
        <w:t>3.结转结余情况。</w:t>
      </w:r>
      <w:r>
        <w:rPr>
          <w:rFonts w:hint="eastAsia" w:ascii="方正仿宋_GBK" w:hAnsi="宋体" w:eastAsia="方正仿宋_GBK" w:cs="宋体"/>
          <w:sz w:val="32"/>
          <w:szCs w:val="32"/>
          <w:lang w:val="en-US" w:eastAsia="zh-CN" w:bidi="ar-SA"/>
        </w:rPr>
        <w:t>2020年度年末一般公共预算财政拨款结转和结余1.42万元，较上年决算数增加1.42万元，增长100%，主要原因是上年度无年末结转和结余。</w:t>
      </w:r>
    </w:p>
    <w:p>
      <w:pPr>
        <w:pStyle w:val="8"/>
        <w:keepNext w:val="0"/>
        <w:keepLines w:val="0"/>
        <w:pageBreakBefore w:val="0"/>
        <w:widowControl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sz w:val="32"/>
          <w:szCs w:val="32"/>
        </w:rPr>
        <w:t>4.比较情况。</w:t>
      </w:r>
      <w:r>
        <w:rPr>
          <w:rFonts w:hint="eastAsia" w:ascii="方正仿宋_GBK" w:hAnsi="宋体" w:eastAsia="方正仿宋_GBK" w:cs="宋体"/>
          <w:sz w:val="32"/>
          <w:szCs w:val="32"/>
          <w:lang w:val="en-US" w:eastAsia="zh-CN" w:bidi="ar-SA"/>
        </w:rPr>
        <w:t>本部门2020年度一般公共预算财政拨款支出主要用于以下几个方面：</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仿宋_GB2312" w:hAnsi="仿宋" w:eastAsia="仿宋_GB2312"/>
          <w:sz w:val="32"/>
          <w:szCs w:val="32"/>
        </w:rPr>
        <w:t>（1）</w:t>
      </w:r>
      <w:r>
        <w:rPr>
          <w:rFonts w:hint="eastAsia" w:ascii="方正仿宋_GBK" w:hAnsi="宋体" w:eastAsia="方正仿宋_GBK" w:cs="宋体"/>
          <w:sz w:val="32"/>
          <w:szCs w:val="32"/>
          <w:lang w:val="en-US" w:eastAsia="zh-CN" w:bidi="ar-SA"/>
        </w:rPr>
        <w:t>社会保障与就业支出21.76万元，占6.5%，较年初预算数增加0万元，增长0%。</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（2）卫生健康支出11.23万元，占3.35%，较年初预算数增加0万元，增长0%。</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（3）资源勘探信息等支出291.36万元，占86.97%，较年初预算数减少28.54万元，下降8.92%，主要原因是本单位节约经费开支，年底公用经费略有剩余，财政收回。</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（4）住房保障支出10.66万元，占3.18%，较年初预算数增加0万元，增长0%。</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0"/>
        <w:rPr>
          <w:rFonts w:ascii="方正仿宋_GBK" w:eastAsia="方正仿宋_GBK"/>
          <w:sz w:val="32"/>
          <w:szCs w:val="32"/>
        </w:rPr>
      </w:pPr>
      <w:r>
        <w:rPr>
          <w:rStyle w:val="11"/>
          <w:rFonts w:hint="eastAsia" w:ascii="方正仿宋_GBK" w:eastAsia="方正仿宋_GBK"/>
          <w:sz w:val="32"/>
          <w:szCs w:val="32"/>
        </w:rPr>
        <w:t>（四）一般公共预算财政拨款基本支出决算情况说明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2020年度一般公共财政拨款基本支出287.79万元。其中：人员经费207.7万元，较上年决算数减少30.1万元，下降12.66%，主要原因是上年补发2016年-2018年购房补贴。人员经费用途主要包括：基本工资、津贴补贴、绩效工资、机关事业单位基本养老保险费、职业年金缴费、职工基本医疗保险缴费等。公用经费80.09万元，较上年决算数增加15.22万元，增长23.46%，主要原因是加强业务学习，严格人员和公用经费经济分类科目的账务处理。公用经费用途主要包括：办公费、印刷费、咨询费、培训费、水电费、邮电费、物业管理费、其他商品和服务支出等。</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Style w:val="11"/>
        </w:rPr>
      </w:pPr>
      <w:r>
        <w:rPr>
          <w:rStyle w:val="11"/>
          <w:rFonts w:hint="eastAsia" w:ascii="方正仿宋_GBK" w:eastAsia="方正仿宋_GBK"/>
          <w:sz w:val="32"/>
          <w:szCs w:val="32"/>
        </w:rPr>
        <w:t>（五）政府性基金预算收支决算情况说明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本部门2020年度无政府性基金预算财政拨款收支</w:t>
      </w:r>
      <w:r>
        <w:rPr>
          <w:rFonts w:hint="eastAsia" w:ascii="仿宋_GB2312" w:hAnsi="仿宋" w:eastAsia="仿宋_GB2312"/>
          <w:sz w:val="32"/>
          <w:szCs w:val="32"/>
          <w:lang w:eastAsia="zh-CN"/>
        </w:rPr>
        <w:t>。</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Style w:val="11"/>
        </w:rPr>
      </w:pPr>
      <w:r>
        <w:rPr>
          <w:rStyle w:val="11"/>
          <w:rFonts w:hint="eastAsia" w:ascii="方正仿宋_GBK" w:eastAsia="方正仿宋_GBK"/>
          <w:sz w:val="32"/>
          <w:szCs w:val="32"/>
        </w:rPr>
        <w:t>（六）国有资本经营预算财政拨款支出决算情况说明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本部门2020年度无国有资本经营预算财政拨款支出。</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outlineLvl w:val="0"/>
        <w:rPr>
          <w:rStyle w:val="11"/>
          <w:rFonts w:ascii="方正黑体_GBK" w:eastAsia="方正黑体_GBK"/>
        </w:rPr>
      </w:pPr>
      <w:r>
        <w:rPr>
          <w:rStyle w:val="11"/>
          <w:rFonts w:hint="eastAsia" w:ascii="方正黑体_GBK" w:eastAsia="方正黑体_GBK"/>
          <w:b w:val="0"/>
          <w:sz w:val="32"/>
          <w:szCs w:val="32"/>
        </w:rPr>
        <w:t>三、“三公”经费情况说明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1"/>
        <w:rPr>
          <w:rFonts w:ascii="方正仿宋_GBK" w:eastAsia="方正仿宋_GBK"/>
          <w:sz w:val="32"/>
          <w:szCs w:val="32"/>
        </w:rPr>
      </w:pPr>
      <w:r>
        <w:rPr>
          <w:rStyle w:val="11"/>
          <w:rFonts w:hint="eastAsia" w:ascii="方正仿宋_GBK" w:eastAsia="方正仿宋_GBK"/>
          <w:sz w:val="32"/>
          <w:szCs w:val="32"/>
        </w:rPr>
        <w:t>（一）“三公”经费支出总体情况说明。</w:t>
      </w:r>
    </w:p>
    <w:p>
      <w:pPr>
        <w:keepNext w:val="0"/>
        <w:keepLines w:val="0"/>
        <w:pageBreakBefore w:val="0"/>
        <w:kinsoku/>
        <w:wordWrap/>
        <w:overflowPunct/>
        <w:topLinePunct w:val="0"/>
        <w:autoSpaceDN/>
        <w:bidi w:val="0"/>
        <w:snapToGrid w:val="0"/>
        <w:spacing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2020年度“三公”经费支出共计10.31万元，较年初预算数减少0.49万元，下降4.54%，主要原因是认真贯彻落实中央八项规定精神，按照只减不增的要求从严控制“三公”经费开支。较上年支出数增加1.97万元，增长23.62%，主要原因是公务用车老旧，公务用车运行维护费比上年增加0.69万元；公务接待费比上年增加1.28万元，主要原因是智博会期间本单位负责对口接待国家工信部等合作单位，公务接待略有增加。</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1"/>
        <w:rPr>
          <w:rFonts w:ascii="方正仿宋_GBK" w:eastAsia="方正仿宋_GBK"/>
          <w:sz w:val="32"/>
          <w:szCs w:val="32"/>
        </w:rPr>
      </w:pPr>
      <w:r>
        <w:rPr>
          <w:rStyle w:val="11"/>
          <w:rFonts w:hint="eastAsia" w:ascii="方正仿宋_GBK" w:eastAsia="方正仿宋_GBK"/>
          <w:sz w:val="32"/>
          <w:szCs w:val="32"/>
        </w:rPr>
        <w:t>（二）“三公”经费分项支出情况。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2020年度本部门因公出国（境）费用0万元，费用支出较年初预算数增加0万元，增长0%。与上年持平，本单位2020年度未发生因公出国（境）支出。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公务车购置费0万元，费用支出较年初预算数增加0万元，增长0%。与上年持平，本单位2020年度未发生公务车购置支出。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公务车运行维护费5.53万元，主要用于保障单位公务活动车辆的燃料费、维修费、过路停车费、保险费等。费用支出较年初预算数减少0.27万元，下降4.66%，主要原因是加强公务车辆管理，合理安排用车，定点维修，节约维修费用。较上年支出数增加0.69万元，增长14.26%，主要原因是公务用车老旧，公务用车运行维护费逐年增加。</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公务接待费4.78万元，主要用于接待市区级相关部门、企业到我区学习调研、招商项目洽谈等。费用支出较年初预算数减少0.22万元，下降4.4%，主要原因是认真贯彻落实中央八项规定精神和厉行节约要求，按照只减不增的要求，从源头严格控制公务接待支出。较上年支出数增加1.28万元，增长36.57%，主要原因是智博会期间本单位负责对口接待国家工信部等合作单位，公务接待费比上年略有增加。</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outlineLvl w:val="1"/>
        <w:rPr>
          <w:rFonts w:ascii="方正仿宋_GBK" w:eastAsia="方正仿宋_GBK"/>
          <w:sz w:val="32"/>
          <w:szCs w:val="32"/>
        </w:rPr>
      </w:pPr>
      <w:r>
        <w:rPr>
          <w:rStyle w:val="11"/>
          <w:rFonts w:hint="eastAsia" w:ascii="方正仿宋_GBK" w:eastAsia="方正仿宋_GBK"/>
          <w:sz w:val="32"/>
          <w:szCs w:val="32"/>
        </w:rPr>
        <w:t>（三）“三公”经费实物量情况。</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2020年度本部门因公出国（境）共计0个团组，0人；公务用车购置0辆，公务车保有量为1辆；国内公务接待26批次326人，其中：国内外事接待0批次，0人；国（境）外公务接待0批次，0人。2020年本部门人均接待146.62元，车均购置费0万元，车均维护费5.53</w:t>
      </w:r>
      <w:bookmarkStart w:id="0" w:name="_GoBack"/>
      <w:bookmarkEnd w:id="0"/>
      <w:r>
        <w:rPr>
          <w:rFonts w:hint="eastAsia" w:ascii="方正仿宋_GBK" w:hAnsi="宋体" w:eastAsia="方正仿宋_GBK" w:cs="宋体"/>
          <w:sz w:val="32"/>
          <w:szCs w:val="32"/>
          <w:lang w:val="en-US" w:eastAsia="zh-CN" w:bidi="ar-SA"/>
        </w:rPr>
        <w:t>万元。</w:t>
      </w:r>
    </w:p>
    <w:p>
      <w:pPr>
        <w:pStyle w:val="8"/>
        <w:shd w:val="clear" w:color="auto" w:fill="FFFFFF"/>
        <w:spacing w:before="0" w:beforeAutospacing="0" w:after="0" w:afterAutospacing="0" w:line="560" w:lineRule="exact"/>
        <w:ind w:firstLine="640" w:firstLineChars="200"/>
        <w:jc w:val="both"/>
        <w:outlineLvl w:val="0"/>
        <w:rPr>
          <w:rStyle w:val="11"/>
          <w:rFonts w:hint="eastAsia" w:ascii="方正黑体_GBK" w:hAnsi="Times New Roman" w:eastAsia="方正黑体_GBK" w:cs="Times New Roman"/>
          <w:b w:val="0"/>
          <w:sz w:val="32"/>
          <w:szCs w:val="32"/>
        </w:rPr>
      </w:pPr>
      <w:r>
        <w:rPr>
          <w:rStyle w:val="11"/>
          <w:rFonts w:hint="eastAsia" w:ascii="方正黑体_GBK" w:hAnsi="Times New Roman" w:eastAsia="方正黑体_GBK" w:cs="Times New Roman"/>
          <w:b w:val="0"/>
          <w:sz w:val="32"/>
          <w:szCs w:val="32"/>
        </w:rPr>
        <w:t>四、其他需要说明的事项</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Fonts w:hint="eastAsia" w:ascii="方正仿宋_GBK" w:eastAsia="方正仿宋_GBK"/>
          <w:b/>
          <w:bCs w:val="0"/>
          <w:sz w:val="32"/>
          <w:szCs w:val="32"/>
        </w:rPr>
      </w:pPr>
      <w:r>
        <w:rPr>
          <w:rFonts w:hint="eastAsia" w:ascii="方正仿宋_GBK" w:eastAsia="方正仿宋_GBK"/>
          <w:b/>
          <w:bCs w:val="0"/>
          <w:sz w:val="32"/>
          <w:szCs w:val="32"/>
        </w:rPr>
        <w:t>（一）机关运行经费情况说明。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按照部门决算列报口径，我单位不在机关运行经费统计范围之内。</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eastAsia="方正仿宋_GBK"/>
          <w:b/>
          <w:bCs w:val="0"/>
          <w:sz w:val="32"/>
          <w:szCs w:val="32"/>
        </w:rPr>
        <w:t>（二）国有资产占用情况说明。</w:t>
      </w:r>
      <w:r>
        <w:rPr>
          <w:rFonts w:hint="eastAsia" w:ascii="方正仿宋_GBK" w:hAnsi="宋体" w:eastAsia="方正仿宋_GBK" w:cs="宋体"/>
          <w:sz w:val="32"/>
          <w:szCs w:val="32"/>
          <w:lang w:val="en-US" w:eastAsia="zh-CN" w:bidi="ar-SA"/>
        </w:rPr>
        <w:t>截至2020年12月31日，本部门共有车辆1辆，其中，副部（省）级及以上领导用车0辆、主要领导干部用车0辆、机要通信用车1辆、应急保障用车0辆、执法执勤用车0辆，特种专业技术用车0辆，离退休干部用车0辆，其他用车0辆，单价50万元（含）以上通用设备0台（套），单价100万元（含）以上专用设备0台（套）。</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3" w:firstLineChars="200"/>
        <w:jc w:val="both"/>
        <w:textAlignment w:val="auto"/>
        <w:rPr>
          <w:rStyle w:val="11"/>
          <w:rFonts w:ascii="方正仿宋_GBK" w:eastAsia="方正仿宋_GBK"/>
          <w:sz w:val="32"/>
          <w:szCs w:val="32"/>
        </w:rPr>
      </w:pPr>
      <w:r>
        <w:rPr>
          <w:rStyle w:val="11"/>
          <w:rFonts w:hint="eastAsia" w:ascii="方正仿宋_GBK" w:eastAsia="方正仿宋_GBK"/>
          <w:sz w:val="32"/>
          <w:szCs w:val="32"/>
        </w:rPr>
        <w:t>（三）政府采购支出情况说明。</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2020年度我单位未发生政府采购事项，无相关经费支出。</w:t>
      </w:r>
    </w:p>
    <w:p>
      <w:pPr>
        <w:pStyle w:val="8"/>
        <w:shd w:val="clear" w:color="auto" w:fill="FFFFFF"/>
        <w:spacing w:before="0" w:beforeAutospacing="0" w:after="0" w:afterAutospacing="0" w:line="560" w:lineRule="exact"/>
        <w:ind w:firstLine="643" w:firstLineChars="200"/>
        <w:jc w:val="both"/>
        <w:outlineLvl w:val="0"/>
        <w:rPr>
          <w:rFonts w:ascii="方正仿宋_GBK" w:eastAsia="方正仿宋_GBK"/>
          <w:shd w:val="clear" w:color="auto" w:fill="FFFF00"/>
        </w:rPr>
      </w:pPr>
      <w:r>
        <w:rPr>
          <w:rStyle w:val="11"/>
          <w:rFonts w:hint="eastAsia" w:ascii="方正黑体_GBK" w:eastAsia="方正黑体_GBK"/>
          <w:sz w:val="32"/>
          <w:szCs w:val="32"/>
        </w:rPr>
        <w:t>五、</w:t>
      </w:r>
      <w:r>
        <w:rPr>
          <w:rStyle w:val="11"/>
          <w:rFonts w:hint="eastAsia" w:ascii="方正黑体_GBK" w:hAnsi="Times New Roman" w:eastAsia="方正黑体_GBK" w:cs="Times New Roman"/>
          <w:b w:val="0"/>
          <w:sz w:val="32"/>
          <w:szCs w:val="32"/>
        </w:rPr>
        <w:t>预算</w:t>
      </w:r>
      <w:r>
        <w:rPr>
          <w:rStyle w:val="11"/>
          <w:rFonts w:hint="eastAsia" w:ascii="方正黑体_GBK" w:eastAsia="方正黑体_GBK"/>
          <w:sz w:val="32"/>
          <w:szCs w:val="32"/>
        </w:rPr>
        <w:t>绩效管理情况说明</w:t>
      </w:r>
    </w:p>
    <w:p>
      <w:pPr>
        <w:pStyle w:val="15"/>
        <w:keepNext w:val="0"/>
        <w:keepLines w:val="0"/>
        <w:pageBreakBefore w:val="0"/>
        <w:tabs>
          <w:tab w:val="center" w:pos="4153"/>
          <w:tab w:val="left" w:pos="7275"/>
        </w:tabs>
        <w:kinsoku/>
        <w:wordWrap/>
        <w:overflowPunct/>
        <w:topLinePunct w:val="0"/>
        <w:autoSpaceDN/>
        <w:bidi w:val="0"/>
        <w:spacing w:line="560" w:lineRule="exact"/>
        <w:ind w:firstLine="643"/>
        <w:jc w:val="both"/>
        <w:textAlignment w:val="auto"/>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（一）预算绩效管理工作开展情况</w:t>
      </w:r>
    </w:p>
    <w:p>
      <w:pPr>
        <w:pStyle w:val="8"/>
        <w:keepNext w:val="0"/>
        <w:keepLines w:val="0"/>
        <w:pageBreakBefore w:val="0"/>
        <w:shd w:val="clear" w:color="auto" w:fill="FFFFFF"/>
        <w:kinsoku/>
        <w:wordWrap/>
        <w:overflowPunct/>
        <w:topLinePunct w:val="0"/>
        <w:autoSpaceDN/>
        <w:bidi w:val="0"/>
        <w:spacing w:before="0" w:beforeAutospacing="0" w:after="0" w:afterAutospacing="0" w:line="560" w:lineRule="exact"/>
        <w:ind w:firstLine="640" w:firstLineChars="200"/>
        <w:jc w:val="both"/>
        <w:textAlignment w:val="auto"/>
        <w:rPr>
          <w:rFonts w:hint="eastAsia" w:ascii="方正仿宋_GBK" w:hAnsi="宋体" w:eastAsia="方正仿宋_GBK" w:cs="宋体"/>
          <w:sz w:val="32"/>
          <w:szCs w:val="32"/>
          <w:lang w:val="en-US" w:eastAsia="zh-CN" w:bidi="ar-SA"/>
        </w:rPr>
      </w:pPr>
      <w:r>
        <w:rPr>
          <w:rFonts w:hint="eastAsia" w:ascii="方正仿宋_GBK" w:hAnsi="宋体" w:eastAsia="方正仿宋_GBK" w:cs="宋体"/>
          <w:sz w:val="32"/>
          <w:szCs w:val="32"/>
          <w:lang w:val="en-US" w:eastAsia="zh-CN" w:bidi="ar-SA"/>
        </w:rPr>
        <w:t>根据预算绩效管理要求，本单位对2个项目开展了绩效自评，其中，以填报目标自评表形式开展自评2项，涉及资金47.22万元；从评价情况来看，项目资金执行率100%，做到专项专用，未发现虚列（套取）、截留、挤占、挪用、超标准开支的情况。绩效目标完成情况总体较好，综合绩效自评评价得分均在90分以上，绩效等级为“优”。</w:t>
      </w:r>
    </w:p>
    <w:p>
      <w:pPr>
        <w:pStyle w:val="15"/>
        <w:tabs>
          <w:tab w:val="center" w:pos="4153"/>
          <w:tab w:val="left" w:pos="7275"/>
        </w:tabs>
        <w:spacing w:line="560" w:lineRule="exact"/>
        <w:ind w:firstLine="643"/>
        <w:jc w:val="both"/>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（二）绩效自评结果</w:t>
      </w:r>
    </w:p>
    <w:p>
      <w:pPr>
        <w:pStyle w:val="15"/>
        <w:tabs>
          <w:tab w:val="center" w:pos="4153"/>
          <w:tab w:val="left" w:pos="7275"/>
        </w:tabs>
        <w:spacing w:line="560" w:lineRule="exact"/>
        <w:ind w:firstLine="643"/>
        <w:jc w:val="both"/>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1.绩效自评表</w:t>
      </w:r>
    </w:p>
    <w:tbl>
      <w:tblPr>
        <w:tblStyle w:val="9"/>
        <w:tblW w:w="8557" w:type="dxa"/>
        <w:tblInd w:w="108" w:type="dxa"/>
        <w:tblLayout w:type="fixed"/>
        <w:tblCellMar>
          <w:top w:w="0" w:type="dxa"/>
          <w:left w:w="108" w:type="dxa"/>
          <w:bottom w:w="0" w:type="dxa"/>
          <w:right w:w="108" w:type="dxa"/>
        </w:tblCellMar>
      </w:tblPr>
      <w:tblGrid>
        <w:gridCol w:w="788"/>
        <w:gridCol w:w="1034"/>
        <w:gridCol w:w="431"/>
        <w:gridCol w:w="620"/>
        <w:gridCol w:w="1094"/>
        <w:gridCol w:w="553"/>
        <w:gridCol w:w="1083"/>
        <w:gridCol w:w="615"/>
        <w:gridCol w:w="840"/>
        <w:gridCol w:w="720"/>
        <w:gridCol w:w="779"/>
      </w:tblGrid>
      <w:tr>
        <w:tblPrEx>
          <w:tblCellMar>
            <w:top w:w="0" w:type="dxa"/>
            <w:left w:w="108" w:type="dxa"/>
            <w:bottom w:w="0" w:type="dxa"/>
            <w:right w:w="108" w:type="dxa"/>
          </w:tblCellMar>
        </w:tblPrEx>
        <w:trPr>
          <w:trHeight w:val="601" w:hRule="atLeast"/>
        </w:trPr>
        <w:tc>
          <w:tcPr>
            <w:tcW w:w="8557" w:type="dxa"/>
            <w:gridSpan w:val="11"/>
            <w:tcBorders>
              <w:top w:val="nil"/>
              <w:left w:val="nil"/>
              <w:bottom w:val="nil"/>
              <w:right w:val="nil"/>
            </w:tcBorders>
            <w:shd w:val="clear" w:color="auto" w:fill="auto"/>
            <w:vAlign w:val="center"/>
          </w:tcPr>
          <w:p>
            <w:pPr>
              <w:autoSpaceDN w:val="0"/>
              <w:jc w:val="center"/>
              <w:rPr>
                <w:rFonts w:ascii="方正小标宋_GBK" w:hAnsi="Calibri" w:eastAsia="方正小标宋_GBK"/>
                <w:color w:val="000000"/>
                <w:sz w:val="36"/>
                <w:szCs w:val="36"/>
              </w:rPr>
            </w:pPr>
          </w:p>
          <w:p>
            <w:pPr>
              <w:autoSpaceDN w:val="0"/>
              <w:jc w:val="center"/>
              <w:rPr>
                <w:rFonts w:ascii="方正小标宋_GBK" w:hAnsi="Calibri" w:eastAsia="方正小标宋_GBK"/>
                <w:color w:val="000000"/>
                <w:sz w:val="36"/>
                <w:szCs w:val="36"/>
              </w:rPr>
            </w:pPr>
            <w:r>
              <w:rPr>
                <w:rFonts w:hint="eastAsia" w:ascii="方正小标宋_GBK" w:eastAsia="方正小标宋_GBK"/>
                <w:color w:val="000000"/>
                <w:sz w:val="36"/>
                <w:szCs w:val="36"/>
              </w:rPr>
              <w:t>一级绩效自评表</w:t>
            </w:r>
          </w:p>
        </w:tc>
      </w:tr>
      <w:tr>
        <w:tblPrEx>
          <w:tblCellMar>
            <w:top w:w="0" w:type="dxa"/>
            <w:left w:w="108" w:type="dxa"/>
            <w:bottom w:w="0" w:type="dxa"/>
            <w:right w:w="108" w:type="dxa"/>
          </w:tblCellMar>
        </w:tblPrEx>
        <w:trPr>
          <w:trHeight w:val="981"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项目名称</w:t>
            </w:r>
          </w:p>
        </w:tc>
        <w:tc>
          <w:tcPr>
            <w:tcW w:w="1465" w:type="dxa"/>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房屋租赁遗留问题</w:t>
            </w:r>
          </w:p>
        </w:tc>
        <w:tc>
          <w:tcPr>
            <w:tcW w:w="620"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项目编码</w:t>
            </w:r>
          </w:p>
        </w:tc>
        <w:tc>
          <w:tcPr>
            <w:tcW w:w="1647" w:type="dxa"/>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ascii="方正仿宋_GBK" w:eastAsia="方正仿宋_GBK"/>
                <w:color w:val="000000"/>
                <w:sz w:val="18"/>
                <w:szCs w:val="18"/>
              </w:rPr>
              <w:t>2020B1031</w:t>
            </w:r>
          </w:p>
        </w:tc>
        <w:tc>
          <w:tcPr>
            <w:tcW w:w="1083"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自评总分</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（分）</w:t>
            </w:r>
          </w:p>
        </w:tc>
        <w:tc>
          <w:tcPr>
            <w:tcW w:w="2954" w:type="dxa"/>
            <w:gridSpan w:val="4"/>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r>
      <w:tr>
        <w:tblPrEx>
          <w:tblCellMar>
            <w:top w:w="0" w:type="dxa"/>
            <w:left w:w="108" w:type="dxa"/>
            <w:bottom w:w="0" w:type="dxa"/>
            <w:right w:w="108" w:type="dxa"/>
          </w:tblCellMar>
        </w:tblPrEx>
        <w:trPr>
          <w:trHeight w:val="601"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主管部门</w:t>
            </w:r>
          </w:p>
        </w:tc>
        <w:tc>
          <w:tcPr>
            <w:tcW w:w="14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重庆市南岸区微型企业发展办公室</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财政处室</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企业科</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项目</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联系人</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向斌</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联系电话</w:t>
            </w:r>
          </w:p>
        </w:tc>
        <w:tc>
          <w:tcPr>
            <w:tcW w:w="14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62989435</w:t>
            </w:r>
          </w:p>
        </w:tc>
      </w:tr>
      <w:tr>
        <w:tblPrEx>
          <w:tblCellMar>
            <w:top w:w="0" w:type="dxa"/>
            <w:left w:w="108" w:type="dxa"/>
            <w:bottom w:w="0" w:type="dxa"/>
            <w:right w:w="108" w:type="dxa"/>
          </w:tblCellMar>
        </w:tblPrEx>
        <w:trPr>
          <w:cantSplit/>
          <w:trHeight w:val="601" w:hRule="atLeast"/>
        </w:trPr>
        <w:tc>
          <w:tcPr>
            <w:tcW w:w="7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项目资金（万元）</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p>
        </w:tc>
        <w:tc>
          <w:tcPr>
            <w:tcW w:w="1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年初预算数</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全年（调整）预算数</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全年执行数</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执行率</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执行率</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权重</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执行率得分</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（分）</w:t>
            </w:r>
          </w:p>
        </w:tc>
      </w:tr>
      <w:tr>
        <w:tblPrEx>
          <w:tblCellMar>
            <w:top w:w="0" w:type="dxa"/>
            <w:left w:w="108" w:type="dxa"/>
            <w:bottom w:w="0" w:type="dxa"/>
            <w:right w:w="108" w:type="dxa"/>
          </w:tblCellMar>
        </w:tblPrEx>
        <w:trPr>
          <w:cantSplit/>
          <w:trHeight w:val="601" w:hRule="atLeast"/>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年度总金额</w:t>
            </w:r>
          </w:p>
        </w:tc>
        <w:tc>
          <w:tcPr>
            <w:tcW w:w="1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sz w:val="18"/>
                <w:szCs w:val="18"/>
              </w:rPr>
            </w:pPr>
            <w:r>
              <w:rPr>
                <w:rFonts w:hint="eastAsia" w:ascii="方正仿宋_GBK" w:eastAsia="方正仿宋_GBK"/>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r>
      <w:tr>
        <w:tblPrEx>
          <w:tblCellMar>
            <w:top w:w="0" w:type="dxa"/>
            <w:left w:w="108" w:type="dxa"/>
            <w:bottom w:w="0" w:type="dxa"/>
            <w:right w:w="108" w:type="dxa"/>
          </w:tblCellMar>
        </w:tblPrEx>
        <w:trPr>
          <w:cantSplit/>
          <w:trHeight w:val="601" w:hRule="atLeast"/>
        </w:trPr>
        <w:tc>
          <w:tcPr>
            <w:tcW w:w="788" w:type="dxa"/>
            <w:vMerge w:val="continue"/>
            <w:tcBorders>
              <w:top w:val="nil"/>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nil"/>
              <w:left w:val="nil"/>
              <w:bottom w:val="single" w:color="auto" w:sz="4" w:space="0"/>
              <w:right w:val="nil"/>
            </w:tcBorders>
            <w:shd w:val="clear" w:color="auto" w:fill="auto"/>
            <w:vAlign w:val="center"/>
          </w:tcPr>
          <w:p>
            <w:pPr>
              <w:wordWrap/>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其中：区级支出</w:t>
            </w:r>
          </w:p>
        </w:tc>
        <w:tc>
          <w:tcPr>
            <w:tcW w:w="105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1647" w:type="dxa"/>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1698" w:type="dxa"/>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12.22</w:t>
            </w:r>
          </w:p>
        </w:tc>
        <w:tc>
          <w:tcPr>
            <w:tcW w:w="840"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720"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r>
      <w:tr>
        <w:tblPrEx>
          <w:tblCellMar>
            <w:top w:w="0" w:type="dxa"/>
            <w:left w:w="108" w:type="dxa"/>
            <w:bottom w:w="0" w:type="dxa"/>
            <w:right w:w="108" w:type="dxa"/>
          </w:tblCellMar>
        </w:tblPrEx>
        <w:trPr>
          <w:cantSplit/>
          <w:trHeight w:val="601" w:hRule="atLeast"/>
        </w:trPr>
        <w:tc>
          <w:tcPr>
            <w:tcW w:w="7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当年绩效目标</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年初绩效目标</w:t>
            </w:r>
          </w:p>
        </w:tc>
        <w:tc>
          <w:tcPr>
            <w:tcW w:w="334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全年（调整）绩效目标</w:t>
            </w:r>
          </w:p>
        </w:tc>
        <w:tc>
          <w:tcPr>
            <w:tcW w:w="2339" w:type="dxa"/>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全年目标实际完成情况</w:t>
            </w:r>
          </w:p>
        </w:tc>
      </w:tr>
      <w:tr>
        <w:tblPrEx>
          <w:tblCellMar>
            <w:top w:w="0" w:type="dxa"/>
            <w:left w:w="108" w:type="dxa"/>
            <w:bottom w:w="0" w:type="dxa"/>
            <w:right w:w="108" w:type="dxa"/>
          </w:tblCellMar>
        </w:tblPrEx>
        <w:trPr>
          <w:cantSplit/>
          <w:trHeight w:val="737" w:hRule="atLeast"/>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及时支付房租费用，妥善处理遗留问题</w:t>
            </w:r>
          </w:p>
        </w:tc>
        <w:tc>
          <w:tcPr>
            <w:tcW w:w="334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及时支付房租费用，妥善处理遗留问题</w:t>
            </w:r>
          </w:p>
        </w:tc>
        <w:tc>
          <w:tcPr>
            <w:tcW w:w="2339" w:type="dxa"/>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2020年5月完成房租费用的支付</w:t>
            </w:r>
          </w:p>
        </w:tc>
      </w:tr>
      <w:tr>
        <w:tblPrEx>
          <w:tblCellMar>
            <w:top w:w="0" w:type="dxa"/>
            <w:left w:w="108" w:type="dxa"/>
            <w:bottom w:w="0" w:type="dxa"/>
            <w:right w:w="108" w:type="dxa"/>
          </w:tblCellMar>
        </w:tblPrEx>
        <w:trPr>
          <w:cantSplit/>
          <w:trHeight w:val="601" w:hRule="atLeast"/>
        </w:trPr>
        <w:tc>
          <w:tcPr>
            <w:tcW w:w="78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绩效指标</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指标名称</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计量</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单位</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指标</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性质</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年初</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指标值</w:t>
            </w:r>
          </w:p>
        </w:tc>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调整</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指标值</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全年</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完成值</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得分系数</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指标权重</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指标得分</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（分）</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rPr>
              <w:t>是否核心</w:t>
            </w:r>
          </w:p>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指标</w:t>
            </w:r>
          </w:p>
        </w:tc>
      </w:tr>
      <w:tr>
        <w:tblPrEx>
          <w:tblCellMar>
            <w:top w:w="0" w:type="dxa"/>
            <w:left w:w="108" w:type="dxa"/>
            <w:bottom w:w="0" w:type="dxa"/>
            <w:right w:w="108" w:type="dxa"/>
          </w:tblCellMar>
        </w:tblPrEx>
        <w:trPr>
          <w:cantSplit/>
          <w:trHeight w:val="90" w:hRule="atLeast"/>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eastAsia="方正仿宋_GBK"/>
                <w:color w:val="000000"/>
                <w:sz w:val="18"/>
                <w:szCs w:val="18"/>
              </w:rPr>
              <w:t>租赁</w:t>
            </w:r>
            <w:r>
              <w:rPr>
                <w:rFonts w:hint="eastAsia" w:ascii="方正仿宋_GBK" w:eastAsia="方正仿宋_GBK"/>
                <w:color w:val="000000"/>
                <w:sz w:val="18"/>
                <w:szCs w:val="18"/>
                <w:lang w:eastAsia="zh-CN"/>
              </w:rPr>
              <w:t>面积</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eastAsia="方正仿宋_GBK"/>
                <w:color w:val="000000"/>
                <w:sz w:val="18"/>
                <w:szCs w:val="18"/>
                <w:lang w:eastAsia="zh-CN"/>
              </w:rPr>
              <w:t>㎡</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方正仿宋_GBK" w:eastAsia="方正仿宋_GBK" w:cs="方正仿宋_GBK"/>
                <w:color w:val="000000"/>
                <w:sz w:val="18"/>
                <w:szCs w:val="18"/>
                <w:lang w:eastAsia="zh-CN"/>
              </w:rPr>
            </w:pPr>
            <w:r>
              <w:rPr>
                <w:rFonts w:hint="eastAsia" w:ascii="方正仿宋_GBK" w:eastAsia="方正仿宋_GBK"/>
                <w:color w:val="000000"/>
                <w:sz w:val="18"/>
                <w:szCs w:val="18"/>
                <w:lang w:eastAsia="zh-CN"/>
              </w:rPr>
              <w:t>≤</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default" w:ascii="方正仿宋_GBK" w:hAnsi="Calibri" w:eastAsia="方正仿宋_GBK"/>
                <w:color w:val="000000"/>
                <w:sz w:val="18"/>
                <w:szCs w:val="18"/>
                <w:lang w:val="en-US" w:eastAsia="zh-CN"/>
              </w:rPr>
            </w:pPr>
            <w:r>
              <w:rPr>
                <w:rFonts w:hint="eastAsia" w:ascii="方正仿宋_GBK" w:hAnsi="Calibri" w:eastAsia="方正仿宋_GBK"/>
                <w:color w:val="000000"/>
                <w:sz w:val="18"/>
                <w:szCs w:val="18"/>
                <w:lang w:val="en-US" w:eastAsia="zh-CN"/>
              </w:rPr>
              <w:t>1300</w:t>
            </w:r>
          </w:p>
        </w:tc>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default" w:ascii="方正仿宋_GBK" w:hAnsi="Calibri" w:eastAsia="方正仿宋_GBK"/>
                <w:color w:val="000000"/>
                <w:sz w:val="18"/>
                <w:szCs w:val="18"/>
                <w:lang w:val="en-US" w:eastAsia="zh-CN"/>
              </w:rPr>
            </w:pPr>
            <w:r>
              <w:rPr>
                <w:rFonts w:hint="eastAsia" w:ascii="方正仿宋_GBK" w:hAnsi="Calibri" w:eastAsia="方正仿宋_GBK"/>
                <w:color w:val="000000"/>
                <w:sz w:val="18"/>
                <w:szCs w:val="18"/>
                <w:lang w:val="en-US" w:eastAsia="zh-CN"/>
              </w:rPr>
              <w:t>附楼200</w:t>
            </w:r>
            <w:r>
              <w:rPr>
                <w:rFonts w:hint="eastAsia" w:ascii="方正仿宋_GBK" w:hAnsi="Calibri" w:eastAsia="方正仿宋_GBK"/>
                <w:color w:val="000000"/>
                <w:sz w:val="18"/>
                <w:szCs w:val="18"/>
                <w:lang w:eastAsia="zh-CN"/>
              </w:rPr>
              <w:t>㎡；</w:t>
            </w:r>
            <w:r>
              <w:rPr>
                <w:rFonts w:hint="eastAsia" w:ascii="方正仿宋_GBK" w:hAnsi="Calibri" w:eastAsia="方正仿宋_GBK"/>
                <w:color w:val="000000"/>
                <w:sz w:val="18"/>
                <w:szCs w:val="18"/>
                <w:lang w:val="en-US" w:eastAsia="zh-CN"/>
              </w:rPr>
              <w:t>主楼1021.88㎡</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是</w:t>
            </w:r>
          </w:p>
        </w:tc>
      </w:tr>
      <w:tr>
        <w:tblPrEx>
          <w:tblCellMar>
            <w:top w:w="0" w:type="dxa"/>
            <w:left w:w="108" w:type="dxa"/>
            <w:bottom w:w="0" w:type="dxa"/>
            <w:right w:w="108" w:type="dxa"/>
          </w:tblCellMar>
        </w:tblPrEx>
        <w:trPr>
          <w:cantSplit/>
          <w:trHeight w:val="523" w:hRule="atLeast"/>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妥善处理遗留问题的质量</w:t>
            </w:r>
          </w:p>
        </w:tc>
        <w:tc>
          <w:tcPr>
            <w:tcW w:w="431"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6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109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55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615"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否</w:t>
            </w:r>
          </w:p>
        </w:tc>
      </w:tr>
      <w:tr>
        <w:tblPrEx>
          <w:tblCellMar>
            <w:top w:w="0" w:type="dxa"/>
            <w:left w:w="108" w:type="dxa"/>
            <w:bottom w:w="0" w:type="dxa"/>
            <w:right w:w="108" w:type="dxa"/>
          </w:tblCellMar>
        </w:tblPrEx>
        <w:trPr>
          <w:cantSplit/>
          <w:trHeight w:val="705" w:hRule="atLeast"/>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支付房租的时限</w:t>
            </w:r>
          </w:p>
        </w:tc>
        <w:tc>
          <w:tcPr>
            <w:tcW w:w="431"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日</w:t>
            </w:r>
          </w:p>
        </w:tc>
        <w:tc>
          <w:tcPr>
            <w:tcW w:w="620"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1094" w:type="dxa"/>
            <w:tcBorders>
              <w:top w:val="nil"/>
              <w:left w:val="single" w:color="auto" w:sz="4" w:space="0"/>
              <w:bottom w:val="single" w:color="auto" w:sz="4" w:space="0"/>
              <w:right w:val="nil"/>
            </w:tcBorders>
            <w:shd w:val="clear" w:color="auto" w:fill="auto"/>
            <w:vAlign w:val="center"/>
          </w:tcPr>
          <w:p>
            <w:pPr>
              <w:autoSpaceDN w:val="0"/>
              <w:jc w:val="center"/>
              <w:rPr>
                <w:rFonts w:hint="default" w:ascii="方正仿宋_GBK" w:hAnsi="Calibri" w:eastAsia="方正仿宋_GBK"/>
                <w:color w:val="000000"/>
                <w:sz w:val="18"/>
                <w:szCs w:val="18"/>
                <w:lang w:val="en-US" w:eastAsia="zh-CN"/>
              </w:rPr>
            </w:pPr>
            <w:r>
              <w:rPr>
                <w:rFonts w:hint="eastAsia" w:ascii="方正仿宋_GBK" w:eastAsia="方正仿宋_GBK"/>
                <w:color w:val="000000"/>
                <w:sz w:val="18"/>
                <w:szCs w:val="18"/>
              </w:rPr>
              <w:t>2020年</w:t>
            </w:r>
            <w:r>
              <w:rPr>
                <w:rFonts w:hint="eastAsia" w:ascii="方正仿宋_GBK" w:eastAsia="方正仿宋_GBK"/>
                <w:color w:val="000000"/>
                <w:sz w:val="18"/>
                <w:szCs w:val="18"/>
                <w:lang w:val="en-US" w:eastAsia="zh-CN"/>
              </w:rPr>
              <w:t>12月25日前</w:t>
            </w:r>
          </w:p>
        </w:tc>
        <w:tc>
          <w:tcPr>
            <w:tcW w:w="553"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2020年5月</w:t>
            </w:r>
          </w:p>
        </w:tc>
        <w:tc>
          <w:tcPr>
            <w:tcW w:w="615"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否</w:t>
            </w:r>
          </w:p>
        </w:tc>
      </w:tr>
      <w:tr>
        <w:tblPrEx>
          <w:tblCellMar>
            <w:top w:w="0" w:type="dxa"/>
            <w:left w:w="108" w:type="dxa"/>
            <w:bottom w:w="0" w:type="dxa"/>
            <w:right w:w="108" w:type="dxa"/>
          </w:tblCellMar>
        </w:tblPrEx>
        <w:trPr>
          <w:cantSplit/>
          <w:trHeight w:val="1234" w:hRule="atLeast"/>
        </w:trPr>
        <w:tc>
          <w:tcPr>
            <w:tcW w:w="788" w:type="dxa"/>
            <w:vMerge w:val="continue"/>
            <w:tcBorders>
              <w:top w:val="single" w:color="auto" w:sz="4" w:space="0"/>
              <w:left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租赁单价</w:t>
            </w:r>
          </w:p>
        </w:tc>
        <w:tc>
          <w:tcPr>
            <w:tcW w:w="431"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元</w:t>
            </w:r>
          </w:p>
        </w:tc>
        <w:tc>
          <w:tcPr>
            <w:tcW w:w="6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w:t>
            </w:r>
          </w:p>
        </w:tc>
        <w:tc>
          <w:tcPr>
            <w:tcW w:w="109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ascii="方正仿宋_GBK" w:hAnsi="Calibri" w:eastAsia="方正仿宋_GBK"/>
                <w:color w:val="000000"/>
                <w:sz w:val="18"/>
                <w:szCs w:val="18"/>
              </w:rPr>
              <w:t>50元/平方米/月</w:t>
            </w:r>
          </w:p>
        </w:tc>
        <w:tc>
          <w:tcPr>
            <w:tcW w:w="55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hAnsi="Calibri" w:eastAsia="方正仿宋_GBK"/>
                <w:color w:val="000000"/>
                <w:sz w:val="18"/>
                <w:szCs w:val="18"/>
                <w:lang w:val="en-US" w:eastAsia="zh-CN"/>
              </w:rPr>
              <w:t>附楼</w:t>
            </w:r>
            <w:r>
              <w:rPr>
                <w:rFonts w:ascii="方正仿宋_GBK" w:hAnsi="Calibri" w:eastAsia="方正仿宋_GBK"/>
                <w:color w:val="000000"/>
                <w:sz w:val="18"/>
                <w:szCs w:val="18"/>
              </w:rPr>
              <w:t>50元/</w:t>
            </w:r>
            <w:r>
              <w:rPr>
                <w:rFonts w:hint="eastAsia" w:ascii="方正仿宋_GBK" w:hAnsi="Calibri" w:eastAsia="方正仿宋_GBK"/>
                <w:color w:val="000000"/>
                <w:sz w:val="18"/>
                <w:szCs w:val="18"/>
                <w:lang w:eastAsia="zh-CN"/>
              </w:rPr>
              <w:t>㎡</w:t>
            </w:r>
            <w:r>
              <w:rPr>
                <w:rFonts w:ascii="方正仿宋_GBK" w:hAnsi="Calibri" w:eastAsia="方正仿宋_GBK"/>
                <w:color w:val="000000"/>
                <w:sz w:val="18"/>
                <w:szCs w:val="18"/>
              </w:rPr>
              <w:t>/月</w:t>
            </w:r>
            <w:r>
              <w:rPr>
                <w:rFonts w:hint="eastAsia" w:ascii="方正仿宋_GBK" w:hAnsi="Calibri" w:eastAsia="方正仿宋_GBK"/>
                <w:color w:val="000000"/>
                <w:sz w:val="18"/>
                <w:szCs w:val="18"/>
                <w:lang w:eastAsia="zh-CN"/>
              </w:rPr>
              <w:t>；</w:t>
            </w:r>
            <w:r>
              <w:rPr>
                <w:rFonts w:hint="eastAsia" w:ascii="方正仿宋_GBK" w:hAnsi="Calibri" w:eastAsia="方正仿宋_GBK"/>
                <w:color w:val="000000"/>
                <w:sz w:val="18"/>
                <w:szCs w:val="18"/>
                <w:lang w:val="en-US" w:eastAsia="zh-CN"/>
              </w:rPr>
              <w:t>主楼</w:t>
            </w:r>
            <w:r>
              <w:rPr>
                <w:rFonts w:hint="default" w:ascii="方正仿宋_GBK" w:hAnsi="Calibri" w:eastAsia="方正仿宋_GBK"/>
                <w:color w:val="000000"/>
                <w:sz w:val="18"/>
                <w:szCs w:val="18"/>
                <w:lang w:val="en-US" w:eastAsia="zh-CN"/>
              </w:rPr>
              <w:t>40元/</w:t>
            </w:r>
            <w:r>
              <w:rPr>
                <w:rFonts w:hint="eastAsia" w:ascii="方正仿宋_GBK" w:hAnsi="Calibri" w:eastAsia="方正仿宋_GBK"/>
                <w:color w:val="000000"/>
                <w:sz w:val="18"/>
                <w:szCs w:val="18"/>
                <w:lang w:val="en-US" w:eastAsia="zh-CN"/>
              </w:rPr>
              <w:t>㎡</w:t>
            </w:r>
            <w:r>
              <w:rPr>
                <w:rFonts w:hint="default" w:ascii="方正仿宋_GBK" w:hAnsi="Calibri" w:eastAsia="方正仿宋_GBK"/>
                <w:color w:val="000000"/>
                <w:sz w:val="18"/>
                <w:szCs w:val="18"/>
                <w:lang w:val="en-US" w:eastAsia="zh-CN"/>
              </w:rPr>
              <w:t>/月</w:t>
            </w:r>
          </w:p>
        </w:tc>
        <w:tc>
          <w:tcPr>
            <w:tcW w:w="615"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是</w:t>
            </w:r>
          </w:p>
        </w:tc>
      </w:tr>
      <w:tr>
        <w:tblPrEx>
          <w:tblCellMar>
            <w:top w:w="0" w:type="dxa"/>
            <w:left w:w="108" w:type="dxa"/>
            <w:bottom w:w="0" w:type="dxa"/>
            <w:right w:w="108" w:type="dxa"/>
          </w:tblCellMar>
        </w:tblPrEx>
        <w:trPr>
          <w:cantSplit/>
          <w:trHeight w:val="523" w:hRule="atLeast"/>
        </w:trPr>
        <w:tc>
          <w:tcPr>
            <w:tcW w:w="788" w:type="dxa"/>
            <w:vMerge w:val="continue"/>
            <w:tcBorders>
              <w:left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妥善处理遗留问题，维护社会稳定</w:t>
            </w:r>
          </w:p>
        </w:tc>
        <w:tc>
          <w:tcPr>
            <w:tcW w:w="431"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无</w:t>
            </w:r>
          </w:p>
        </w:tc>
        <w:tc>
          <w:tcPr>
            <w:tcW w:w="6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定性</w:t>
            </w:r>
          </w:p>
        </w:tc>
        <w:tc>
          <w:tcPr>
            <w:tcW w:w="109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妥善处理遗留问题，维护社会稳定</w:t>
            </w:r>
          </w:p>
        </w:tc>
        <w:tc>
          <w:tcPr>
            <w:tcW w:w="55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完成</w:t>
            </w:r>
          </w:p>
        </w:tc>
        <w:tc>
          <w:tcPr>
            <w:tcW w:w="615"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否</w:t>
            </w:r>
          </w:p>
        </w:tc>
      </w:tr>
      <w:tr>
        <w:tblPrEx>
          <w:tblCellMar>
            <w:top w:w="0" w:type="dxa"/>
            <w:left w:w="108" w:type="dxa"/>
            <w:bottom w:w="0" w:type="dxa"/>
            <w:right w:w="108" w:type="dxa"/>
          </w:tblCellMar>
        </w:tblPrEx>
        <w:trPr>
          <w:cantSplit/>
          <w:trHeight w:val="523" w:hRule="atLeast"/>
        </w:trPr>
        <w:tc>
          <w:tcPr>
            <w:tcW w:w="788" w:type="dxa"/>
            <w:vMerge w:val="continue"/>
            <w:tcBorders>
              <w:left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single" w:color="auto" w:sz="4" w:space="0"/>
              <w:left w:val="nil"/>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保障企业经济利益</w:t>
            </w:r>
          </w:p>
        </w:tc>
        <w:tc>
          <w:tcPr>
            <w:tcW w:w="431"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无</w:t>
            </w:r>
          </w:p>
        </w:tc>
        <w:tc>
          <w:tcPr>
            <w:tcW w:w="6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定性</w:t>
            </w:r>
          </w:p>
        </w:tc>
        <w:tc>
          <w:tcPr>
            <w:tcW w:w="1094"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及时支付租金，保障企业经济利益</w:t>
            </w:r>
          </w:p>
        </w:tc>
        <w:tc>
          <w:tcPr>
            <w:tcW w:w="55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p>
        </w:tc>
        <w:tc>
          <w:tcPr>
            <w:tcW w:w="1083"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完成</w:t>
            </w:r>
          </w:p>
        </w:tc>
        <w:tc>
          <w:tcPr>
            <w:tcW w:w="615"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100</w:t>
            </w:r>
          </w:p>
        </w:tc>
        <w:tc>
          <w:tcPr>
            <w:tcW w:w="84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20" w:type="dxa"/>
            <w:tcBorders>
              <w:top w:val="single" w:color="auto" w:sz="4" w:space="0"/>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10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hAnsi="Calibri" w:eastAsia="方正仿宋_GBK"/>
                <w:color w:val="000000"/>
                <w:sz w:val="18"/>
                <w:szCs w:val="18"/>
                <w:lang w:eastAsia="zh-CN"/>
              </w:rPr>
            </w:pPr>
            <w:r>
              <w:rPr>
                <w:rFonts w:hint="eastAsia" w:ascii="方正仿宋_GBK" w:hAnsi="Calibri" w:eastAsia="方正仿宋_GBK"/>
                <w:color w:val="000000"/>
                <w:sz w:val="18"/>
                <w:szCs w:val="18"/>
                <w:lang w:eastAsia="zh-CN"/>
              </w:rPr>
              <w:t>否</w:t>
            </w:r>
          </w:p>
        </w:tc>
      </w:tr>
      <w:tr>
        <w:tblPrEx>
          <w:tblCellMar>
            <w:top w:w="0" w:type="dxa"/>
            <w:left w:w="108" w:type="dxa"/>
            <w:bottom w:w="0" w:type="dxa"/>
            <w:right w:w="108" w:type="dxa"/>
          </w:tblCellMar>
        </w:tblPrEx>
        <w:trPr>
          <w:cantSplit/>
          <w:trHeight w:val="523" w:hRule="atLeast"/>
        </w:trPr>
        <w:tc>
          <w:tcPr>
            <w:tcW w:w="788" w:type="dxa"/>
            <w:vMerge w:val="continue"/>
            <w:tcBorders>
              <w:left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nil"/>
              <w:left w:val="nil"/>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企业经济可持续发展</w:t>
            </w:r>
          </w:p>
        </w:tc>
        <w:tc>
          <w:tcPr>
            <w:tcW w:w="431"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无</w:t>
            </w:r>
          </w:p>
        </w:tc>
        <w:tc>
          <w:tcPr>
            <w:tcW w:w="620" w:type="dxa"/>
            <w:tcBorders>
              <w:top w:val="nil"/>
              <w:left w:val="single" w:color="auto" w:sz="4" w:space="0"/>
              <w:bottom w:val="single" w:color="auto" w:sz="4" w:space="0"/>
              <w:right w:val="nil"/>
            </w:tcBorders>
            <w:shd w:val="clear" w:color="auto" w:fill="auto"/>
            <w:vAlign w:val="center"/>
          </w:tcPr>
          <w:p>
            <w:pPr>
              <w:autoSpaceDN w:val="0"/>
              <w:jc w:val="center"/>
              <w:rPr>
                <w:rFonts w:ascii="方正仿宋_GBK" w:hAnsi="Calibri" w:eastAsia="方正仿宋_GBK"/>
                <w:color w:val="000000"/>
                <w:sz w:val="18"/>
                <w:szCs w:val="18"/>
              </w:rPr>
            </w:pPr>
            <w:r>
              <w:rPr>
                <w:rFonts w:hint="eastAsia" w:ascii="方正仿宋_GBK" w:eastAsia="方正仿宋_GBK"/>
                <w:color w:val="000000"/>
                <w:sz w:val="18"/>
                <w:szCs w:val="18"/>
              </w:rPr>
              <w:t>定性</w:t>
            </w:r>
          </w:p>
        </w:tc>
        <w:tc>
          <w:tcPr>
            <w:tcW w:w="1094"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及时支付</w:t>
            </w:r>
            <w:r>
              <w:rPr>
                <w:rFonts w:hint="eastAsia" w:ascii="方正仿宋_GBK" w:eastAsia="方正仿宋_GBK"/>
                <w:color w:val="000000"/>
                <w:sz w:val="18"/>
                <w:szCs w:val="18"/>
                <w:lang w:eastAsia="zh-CN"/>
              </w:rPr>
              <w:t>租金</w:t>
            </w:r>
            <w:r>
              <w:rPr>
                <w:rFonts w:hint="eastAsia" w:ascii="方正仿宋_GBK" w:eastAsia="方正仿宋_GBK"/>
                <w:color w:val="000000"/>
                <w:sz w:val="18"/>
                <w:szCs w:val="18"/>
              </w:rPr>
              <w:t>，助力企业经济可持续发展</w:t>
            </w:r>
          </w:p>
        </w:tc>
        <w:tc>
          <w:tcPr>
            <w:tcW w:w="553"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p>
        </w:tc>
        <w:tc>
          <w:tcPr>
            <w:tcW w:w="1083"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完成</w:t>
            </w:r>
          </w:p>
        </w:tc>
        <w:tc>
          <w:tcPr>
            <w:tcW w:w="615"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100</w:t>
            </w:r>
          </w:p>
        </w:tc>
        <w:tc>
          <w:tcPr>
            <w:tcW w:w="840"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10</w:t>
            </w:r>
          </w:p>
        </w:tc>
        <w:tc>
          <w:tcPr>
            <w:tcW w:w="720"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10</w:t>
            </w:r>
          </w:p>
        </w:tc>
        <w:tc>
          <w:tcPr>
            <w:tcW w:w="779"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lang w:eastAsia="zh-CN"/>
              </w:rPr>
              <w:t>否</w:t>
            </w:r>
          </w:p>
        </w:tc>
      </w:tr>
      <w:tr>
        <w:tblPrEx>
          <w:tblCellMar>
            <w:top w:w="0" w:type="dxa"/>
            <w:left w:w="108" w:type="dxa"/>
            <w:bottom w:w="0" w:type="dxa"/>
            <w:right w:w="108" w:type="dxa"/>
          </w:tblCellMar>
        </w:tblPrEx>
        <w:trPr>
          <w:cantSplit/>
          <w:trHeight w:val="523" w:hRule="atLeast"/>
        </w:trPr>
        <w:tc>
          <w:tcPr>
            <w:tcW w:w="788" w:type="dxa"/>
            <w:vMerge w:val="continue"/>
            <w:tcBorders>
              <w:left w:val="single" w:color="auto" w:sz="4" w:space="0"/>
              <w:bottom w:val="single" w:color="auto" w:sz="4" w:space="0"/>
              <w:right w:val="single" w:color="auto" w:sz="4" w:space="0"/>
            </w:tcBorders>
            <w:vAlign w:val="center"/>
          </w:tcPr>
          <w:p>
            <w:pPr>
              <w:jc w:val="center"/>
              <w:rPr>
                <w:rFonts w:ascii="方正仿宋_GBK" w:hAnsi="Calibri" w:eastAsia="方正仿宋_GBK"/>
                <w:color w:val="000000"/>
                <w:sz w:val="18"/>
                <w:szCs w:val="18"/>
              </w:rPr>
            </w:pPr>
          </w:p>
        </w:tc>
        <w:tc>
          <w:tcPr>
            <w:tcW w:w="1034" w:type="dxa"/>
            <w:tcBorders>
              <w:top w:val="nil"/>
              <w:left w:val="nil"/>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服务企业满意度</w:t>
            </w:r>
          </w:p>
        </w:tc>
        <w:tc>
          <w:tcPr>
            <w:tcW w:w="431"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w:t>
            </w:r>
          </w:p>
        </w:tc>
        <w:tc>
          <w:tcPr>
            <w:tcW w:w="620"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w:t>
            </w:r>
          </w:p>
        </w:tc>
        <w:tc>
          <w:tcPr>
            <w:tcW w:w="1094"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95%</w:t>
            </w:r>
          </w:p>
        </w:tc>
        <w:tc>
          <w:tcPr>
            <w:tcW w:w="553"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p>
        </w:tc>
        <w:tc>
          <w:tcPr>
            <w:tcW w:w="1083"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100%</w:t>
            </w:r>
          </w:p>
        </w:tc>
        <w:tc>
          <w:tcPr>
            <w:tcW w:w="615"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100</w:t>
            </w:r>
          </w:p>
        </w:tc>
        <w:tc>
          <w:tcPr>
            <w:tcW w:w="840"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20</w:t>
            </w:r>
          </w:p>
        </w:tc>
        <w:tc>
          <w:tcPr>
            <w:tcW w:w="720" w:type="dxa"/>
            <w:tcBorders>
              <w:top w:val="nil"/>
              <w:left w:val="single" w:color="auto" w:sz="4" w:space="0"/>
              <w:bottom w:val="single" w:color="auto" w:sz="4" w:space="0"/>
              <w:right w:val="nil"/>
            </w:tcBorders>
            <w:shd w:val="clear" w:color="auto" w:fill="auto"/>
            <w:vAlign w:val="center"/>
          </w:tcPr>
          <w:p>
            <w:pPr>
              <w:autoSpaceDN w:val="0"/>
              <w:jc w:val="center"/>
              <w:rPr>
                <w:rFonts w:hint="eastAsia" w:ascii="方正仿宋_GBK" w:eastAsia="方正仿宋_GBK"/>
                <w:color w:val="000000"/>
                <w:sz w:val="18"/>
                <w:szCs w:val="18"/>
              </w:rPr>
            </w:pPr>
            <w:r>
              <w:rPr>
                <w:rFonts w:hint="eastAsia" w:ascii="方正仿宋_GBK" w:eastAsia="方正仿宋_GBK"/>
                <w:color w:val="000000"/>
                <w:sz w:val="18"/>
                <w:szCs w:val="18"/>
              </w:rPr>
              <w:t>20</w:t>
            </w:r>
          </w:p>
        </w:tc>
        <w:tc>
          <w:tcPr>
            <w:tcW w:w="779"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hint="eastAsia" w:ascii="方正仿宋_GBK" w:eastAsia="方正仿宋_GBK"/>
                <w:color w:val="000000"/>
                <w:sz w:val="18"/>
                <w:szCs w:val="18"/>
                <w:lang w:eastAsia="zh-CN"/>
              </w:rPr>
            </w:pPr>
            <w:r>
              <w:rPr>
                <w:rFonts w:hint="eastAsia" w:ascii="方正仿宋_GBK" w:eastAsia="方正仿宋_GBK"/>
                <w:color w:val="000000"/>
                <w:sz w:val="18"/>
                <w:szCs w:val="18"/>
                <w:lang w:eastAsia="zh-CN"/>
              </w:rPr>
              <w:t>否</w:t>
            </w:r>
          </w:p>
        </w:tc>
      </w:tr>
      <w:tr>
        <w:tblPrEx>
          <w:tblCellMar>
            <w:top w:w="0" w:type="dxa"/>
            <w:left w:w="108" w:type="dxa"/>
            <w:bottom w:w="0" w:type="dxa"/>
            <w:right w:w="108" w:type="dxa"/>
          </w:tblCellMar>
        </w:tblPrEx>
        <w:trPr>
          <w:trHeight w:val="495" w:hRule="atLeast"/>
        </w:trPr>
        <w:tc>
          <w:tcPr>
            <w:tcW w:w="788" w:type="dxa"/>
            <w:tcBorders>
              <w:top w:val="nil"/>
              <w:left w:val="single" w:color="auto" w:sz="4" w:space="0"/>
              <w:bottom w:val="single" w:color="auto" w:sz="4" w:space="0"/>
              <w:right w:val="single" w:color="auto" w:sz="4" w:space="0"/>
            </w:tcBorders>
            <w:shd w:val="clear" w:color="auto" w:fill="auto"/>
            <w:vAlign w:val="center"/>
          </w:tcPr>
          <w:p>
            <w:pPr>
              <w:autoSpaceDN w:val="0"/>
              <w:jc w:val="both"/>
              <w:rPr>
                <w:rFonts w:ascii="方正仿宋_GBK" w:hAnsi="Calibri" w:eastAsia="方正仿宋_GBK"/>
                <w:color w:val="000000"/>
                <w:sz w:val="18"/>
                <w:szCs w:val="18"/>
              </w:rPr>
            </w:pPr>
            <w:r>
              <w:rPr>
                <w:rFonts w:hint="eastAsia" w:ascii="方正仿宋_GBK" w:eastAsia="方正仿宋_GBK"/>
                <w:color w:val="000000"/>
                <w:sz w:val="18"/>
                <w:szCs w:val="18"/>
              </w:rPr>
              <w:t>说明</w:t>
            </w:r>
          </w:p>
        </w:tc>
        <w:tc>
          <w:tcPr>
            <w:tcW w:w="7769" w:type="dxa"/>
            <w:gridSpan w:val="10"/>
            <w:tcBorders>
              <w:top w:val="single" w:color="auto" w:sz="4" w:space="0"/>
              <w:left w:val="nil"/>
              <w:bottom w:val="single" w:color="auto" w:sz="4" w:space="0"/>
              <w:right w:val="single" w:color="auto" w:sz="4" w:space="0"/>
            </w:tcBorders>
            <w:shd w:val="clear" w:color="auto" w:fill="auto"/>
            <w:vAlign w:val="center"/>
          </w:tcPr>
          <w:p>
            <w:pPr>
              <w:autoSpaceDN w:val="0"/>
              <w:jc w:val="both"/>
              <w:rPr>
                <w:rFonts w:hint="eastAsia" w:ascii="方正仿宋_GBK" w:hAnsi="Calibri" w:eastAsia="方正仿宋_GBK"/>
                <w:color w:val="000000"/>
                <w:sz w:val="18"/>
                <w:szCs w:val="18"/>
                <w:lang w:eastAsia="zh-CN"/>
              </w:rPr>
            </w:pPr>
            <w:r>
              <w:rPr>
                <w:rFonts w:hint="eastAsia" w:ascii="方正仿宋_GBK" w:eastAsia="方正仿宋_GBK"/>
                <w:color w:val="000000"/>
                <w:sz w:val="18"/>
                <w:szCs w:val="18"/>
              </w:rPr>
              <w:t>　</w:t>
            </w:r>
          </w:p>
        </w:tc>
      </w:tr>
    </w:tbl>
    <w:p>
      <w:pPr>
        <w:pStyle w:val="4"/>
        <w:jc w:val="both"/>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Style w:val="11"/>
          <w:rFonts w:ascii="方正黑体_GBK" w:eastAsia="方正黑体_GBK"/>
        </w:rPr>
      </w:pPr>
      <w:r>
        <w:rPr>
          <w:rStyle w:val="11"/>
          <w:rFonts w:hint="eastAsia" w:ascii="方正黑体_GBK" w:eastAsia="方正黑体_GBK"/>
          <w:b w:val="0"/>
          <w:sz w:val="32"/>
          <w:szCs w:val="32"/>
        </w:rPr>
        <w:t>六、专业名词解释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（二）年初结转和结余</w:t>
      </w:r>
      <w:r>
        <w:rPr>
          <w:rFonts w:hint="eastAsia" w:ascii="方正仿宋_GBK" w:eastAsia="方正仿宋_GBK"/>
          <w:sz w:val="32"/>
          <w:szCs w:val="32"/>
        </w:rPr>
        <w:t>：指单位上年结转本年使用的基本支出结转、项目支出结转和结余、经营结余。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（三）年末结转和结余</w:t>
      </w:r>
      <w:r>
        <w:rPr>
          <w:rFonts w:hint="eastAsia" w:ascii="方正仿宋_GBK" w:eastAsia="方正仿宋_GBK"/>
          <w:sz w:val="32"/>
          <w:szCs w:val="32"/>
        </w:rPr>
        <w:t>：指单位结转下年的基本支出结转、项目支出结转和结余、经营结余。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（四）基本支出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（五）项目支出</w:t>
      </w:r>
      <w:r>
        <w:rPr>
          <w:rFonts w:hint="eastAsia" w:ascii="方正仿宋_GBK" w:eastAsia="方正仿宋_GBK"/>
          <w:sz w:val="32"/>
          <w:szCs w:val="32"/>
        </w:rPr>
        <w:t>：指在基本支出之外为完成特定行政任务和事业发展目标所发生的支出。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（六）“三公”经费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（七）工资福利支出（支出经济分类科目类级）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（八）商品和服务支出（支出经济分类科目类级）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方正仿宋_GBK" w:eastAsia="方正仿宋_GBK"/>
          <w:sz w:val="32"/>
          <w:szCs w:val="32"/>
        </w:rPr>
      </w:pPr>
      <w:r>
        <w:rPr>
          <w:rStyle w:val="11"/>
          <w:rFonts w:hint="eastAsia" w:ascii="方正仿宋_GBK" w:eastAsia="方正仿宋_GBK"/>
          <w:sz w:val="32"/>
          <w:szCs w:val="32"/>
        </w:rPr>
        <w:t>（九）其他资本性支出（支出经济分类科目类级）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ascii="方正黑体_GBK" w:eastAsia="方正黑体_GBK"/>
          <w:b/>
          <w:sz w:val="32"/>
          <w:szCs w:val="32"/>
        </w:rPr>
      </w:pPr>
      <w:r>
        <w:rPr>
          <w:rStyle w:val="11"/>
          <w:rFonts w:hint="eastAsia" w:ascii="方正黑体_GBK" w:eastAsia="方正黑体_GBK"/>
          <w:b w:val="0"/>
          <w:sz w:val="32"/>
          <w:szCs w:val="32"/>
        </w:rPr>
        <w:t>七、决算公开联系方式及信息反馈渠道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本单位决算公开信息反馈和联系方式：</w:t>
      </w:r>
      <w:r>
        <w:rPr>
          <w:rFonts w:hint="eastAsia" w:ascii="方正仿宋_GBK" w:hAnsi="方正仿宋_GBK" w:eastAsia="方正仿宋_GBK" w:cs="方正仿宋_GBK"/>
          <w:sz w:val="32"/>
          <w:szCs w:val="32"/>
          <w:shd w:val="clear" w:color="auto" w:fill="FFFFFF"/>
        </w:rPr>
        <w:t>023-62989435</w:t>
      </w:r>
    </w:p>
    <w:sectPr>
      <w:footerReference r:id="rId3" w:type="default"/>
      <w:pgSz w:w="11907" w:h="16840"/>
      <w:pgMar w:top="2098" w:right="1701" w:bottom="1985"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2487"/>
    </w:sdtPr>
    <w:sdtContent>
      <w:p>
        <w:pPr>
          <w:pStyle w:val="6"/>
          <w:jc w:val="center"/>
        </w:pPr>
      </w:p>
      <w:p>
        <w:pPr>
          <w:pStyle w:val="6"/>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12</w:t>
        </w:r>
        <w:r>
          <w:rPr>
            <w:rFonts w:ascii="Times New Roman" w:hAnsi="Times New Roman" w:cs="Times New Roman"/>
            <w:sz w:val="21"/>
            <w:szCs w:val="2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9A41FA"/>
    <w:rsid w:val="000478A4"/>
    <w:rsid w:val="00065022"/>
    <w:rsid w:val="00115962"/>
    <w:rsid w:val="00130C0A"/>
    <w:rsid w:val="001727A6"/>
    <w:rsid w:val="00221A09"/>
    <w:rsid w:val="002A75B2"/>
    <w:rsid w:val="0030438F"/>
    <w:rsid w:val="00316F52"/>
    <w:rsid w:val="00317DE3"/>
    <w:rsid w:val="00323DC8"/>
    <w:rsid w:val="003269CF"/>
    <w:rsid w:val="003463D8"/>
    <w:rsid w:val="00420E29"/>
    <w:rsid w:val="00454A2D"/>
    <w:rsid w:val="004915A2"/>
    <w:rsid w:val="004C35C5"/>
    <w:rsid w:val="005336B4"/>
    <w:rsid w:val="00551365"/>
    <w:rsid w:val="005B0C9A"/>
    <w:rsid w:val="0063459A"/>
    <w:rsid w:val="006B3A67"/>
    <w:rsid w:val="006F08AE"/>
    <w:rsid w:val="00761627"/>
    <w:rsid w:val="007813B9"/>
    <w:rsid w:val="007F71EB"/>
    <w:rsid w:val="0087676C"/>
    <w:rsid w:val="0096495A"/>
    <w:rsid w:val="009961EE"/>
    <w:rsid w:val="009A41FA"/>
    <w:rsid w:val="009D65BE"/>
    <w:rsid w:val="00B61C9F"/>
    <w:rsid w:val="00C41CCF"/>
    <w:rsid w:val="00C947A8"/>
    <w:rsid w:val="00CB2C3E"/>
    <w:rsid w:val="00D33E16"/>
    <w:rsid w:val="00D73116"/>
    <w:rsid w:val="00E07898"/>
    <w:rsid w:val="00F364CA"/>
    <w:rsid w:val="00FA4BD4"/>
    <w:rsid w:val="022D06DB"/>
    <w:rsid w:val="0237032B"/>
    <w:rsid w:val="029F56B5"/>
    <w:rsid w:val="03AB4F52"/>
    <w:rsid w:val="03C431E6"/>
    <w:rsid w:val="03E52554"/>
    <w:rsid w:val="0639670C"/>
    <w:rsid w:val="066A3110"/>
    <w:rsid w:val="08171489"/>
    <w:rsid w:val="08FE560A"/>
    <w:rsid w:val="0B193DA5"/>
    <w:rsid w:val="0B341492"/>
    <w:rsid w:val="0C0C7D6C"/>
    <w:rsid w:val="0C6B0E0F"/>
    <w:rsid w:val="0DEB3AC2"/>
    <w:rsid w:val="0E7F1DC3"/>
    <w:rsid w:val="0ECA70A2"/>
    <w:rsid w:val="10C81776"/>
    <w:rsid w:val="11B65A10"/>
    <w:rsid w:val="11C7295A"/>
    <w:rsid w:val="13476AF9"/>
    <w:rsid w:val="13B24534"/>
    <w:rsid w:val="14442A9B"/>
    <w:rsid w:val="14FE7735"/>
    <w:rsid w:val="1560076A"/>
    <w:rsid w:val="16CD3E38"/>
    <w:rsid w:val="171F651A"/>
    <w:rsid w:val="19D8085F"/>
    <w:rsid w:val="19F575C3"/>
    <w:rsid w:val="1A5D08FC"/>
    <w:rsid w:val="1C5F0A4C"/>
    <w:rsid w:val="1C74693C"/>
    <w:rsid w:val="1C8E7C02"/>
    <w:rsid w:val="20872AA6"/>
    <w:rsid w:val="23D85A19"/>
    <w:rsid w:val="25756C1B"/>
    <w:rsid w:val="268D703C"/>
    <w:rsid w:val="26CF4F1E"/>
    <w:rsid w:val="287254C0"/>
    <w:rsid w:val="2A4B3D75"/>
    <w:rsid w:val="2AB94F94"/>
    <w:rsid w:val="2B735AE1"/>
    <w:rsid w:val="2C183950"/>
    <w:rsid w:val="2C8D4C6E"/>
    <w:rsid w:val="2D790127"/>
    <w:rsid w:val="2F635FD6"/>
    <w:rsid w:val="302176DD"/>
    <w:rsid w:val="305839C1"/>
    <w:rsid w:val="316556A2"/>
    <w:rsid w:val="346E0DD3"/>
    <w:rsid w:val="382F62A9"/>
    <w:rsid w:val="39EF6AE1"/>
    <w:rsid w:val="3B1174AC"/>
    <w:rsid w:val="3C2E7818"/>
    <w:rsid w:val="3CE7739D"/>
    <w:rsid w:val="3D352953"/>
    <w:rsid w:val="3D572BBF"/>
    <w:rsid w:val="3F1C6C1D"/>
    <w:rsid w:val="40C81736"/>
    <w:rsid w:val="40FD45D6"/>
    <w:rsid w:val="43C7383A"/>
    <w:rsid w:val="43FF5AAD"/>
    <w:rsid w:val="440E0997"/>
    <w:rsid w:val="44F715CC"/>
    <w:rsid w:val="45736A5E"/>
    <w:rsid w:val="46B82087"/>
    <w:rsid w:val="47443204"/>
    <w:rsid w:val="47E3148D"/>
    <w:rsid w:val="49812998"/>
    <w:rsid w:val="49D61BBE"/>
    <w:rsid w:val="4A62155C"/>
    <w:rsid w:val="4BA821A3"/>
    <w:rsid w:val="4BDF65E7"/>
    <w:rsid w:val="4C232D34"/>
    <w:rsid w:val="4C2F32CF"/>
    <w:rsid w:val="4CBE1552"/>
    <w:rsid w:val="4D1832E2"/>
    <w:rsid w:val="4D4828C8"/>
    <w:rsid w:val="4DA644C0"/>
    <w:rsid w:val="4E8D5680"/>
    <w:rsid w:val="4F6250AB"/>
    <w:rsid w:val="4FA72F23"/>
    <w:rsid w:val="50AD2735"/>
    <w:rsid w:val="516A1CA8"/>
    <w:rsid w:val="518121F9"/>
    <w:rsid w:val="519B0074"/>
    <w:rsid w:val="549C7626"/>
    <w:rsid w:val="558A322F"/>
    <w:rsid w:val="55CB585D"/>
    <w:rsid w:val="5746320C"/>
    <w:rsid w:val="583A6878"/>
    <w:rsid w:val="591069B1"/>
    <w:rsid w:val="591D028B"/>
    <w:rsid w:val="5A132D6E"/>
    <w:rsid w:val="5C5123E2"/>
    <w:rsid w:val="5CE44EFA"/>
    <w:rsid w:val="5D315095"/>
    <w:rsid w:val="5D6B3030"/>
    <w:rsid w:val="5DCC7ECF"/>
    <w:rsid w:val="5F19617C"/>
    <w:rsid w:val="5FE424DD"/>
    <w:rsid w:val="631448DA"/>
    <w:rsid w:val="642948AC"/>
    <w:rsid w:val="65F0261A"/>
    <w:rsid w:val="669577B8"/>
    <w:rsid w:val="66E25344"/>
    <w:rsid w:val="66EE0EEE"/>
    <w:rsid w:val="671F2D1D"/>
    <w:rsid w:val="679A2E90"/>
    <w:rsid w:val="68212C69"/>
    <w:rsid w:val="691F26CD"/>
    <w:rsid w:val="69B1198E"/>
    <w:rsid w:val="6B2E5BDE"/>
    <w:rsid w:val="6BAE015B"/>
    <w:rsid w:val="6C2E4600"/>
    <w:rsid w:val="6CE40916"/>
    <w:rsid w:val="6DF27C79"/>
    <w:rsid w:val="6F02330F"/>
    <w:rsid w:val="718B3E67"/>
    <w:rsid w:val="71F25676"/>
    <w:rsid w:val="72636291"/>
    <w:rsid w:val="730C2768"/>
    <w:rsid w:val="746F2128"/>
    <w:rsid w:val="755C638C"/>
    <w:rsid w:val="75A562CE"/>
    <w:rsid w:val="765115BF"/>
    <w:rsid w:val="76A830E6"/>
    <w:rsid w:val="76ED4304"/>
    <w:rsid w:val="77CC411F"/>
    <w:rsid w:val="787C4A3D"/>
    <w:rsid w:val="789B6A68"/>
    <w:rsid w:val="7B0D0AB3"/>
    <w:rsid w:val="7C372603"/>
    <w:rsid w:val="7CB90504"/>
    <w:rsid w:val="7E12294B"/>
    <w:rsid w:val="7E6B4F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6"/>
    <w:basedOn w:val="1"/>
    <w:next w:val="1"/>
    <w:qFormat/>
    <w:uiPriority w:val="0"/>
    <w:pPr>
      <w:keepNext/>
      <w:keepLines/>
      <w:widowControl w:val="0"/>
      <w:spacing w:before="240" w:after="64" w:line="319" w:lineRule="auto"/>
      <w:outlineLvl w:val="5"/>
    </w:pPr>
    <w:rPr>
      <w:rFonts w:ascii="Calibri Light" w:hAnsi="Calibri Light" w:cs="Times New Roman"/>
      <w:b/>
      <w:bCs/>
      <w:sz w:val="28"/>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unhideWhenUsed/>
    <w:qFormat/>
    <w:uiPriority w:val="99"/>
    <w:rPr>
      <w:sz w:val="18"/>
      <w:szCs w:val="18"/>
    </w:rPr>
  </w:style>
  <w:style w:type="paragraph" w:styleId="4">
    <w:name w:val="Body Text"/>
    <w:basedOn w:val="1"/>
    <w:qFormat/>
    <w:uiPriority w:val="0"/>
    <w:rPr>
      <w:rFonts w:ascii="微软雅黑" w:eastAsia="微软雅黑" w:cs="微软雅黑"/>
      <w:sz w:val="32"/>
      <w:szCs w:val="32"/>
      <w:lang w:val="zh-CN" w:bidi="zh-CN"/>
    </w:rPr>
  </w:style>
  <w:style w:type="paragraph" w:styleId="5">
    <w:name w:val="Balloon Text"/>
    <w:basedOn w:val="1"/>
    <w:link w:val="19"/>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Strong"/>
    <w:basedOn w:val="10"/>
    <w:qFormat/>
    <w:uiPriority w:val="22"/>
    <w:rPr>
      <w:b/>
      <w:bCs/>
    </w:rPr>
  </w:style>
  <w:style w:type="character" w:customStyle="1" w:styleId="12">
    <w:name w:val="页眉 Char"/>
    <w:basedOn w:val="10"/>
    <w:link w:val="7"/>
    <w:semiHidden/>
    <w:qFormat/>
    <w:locked/>
    <w:uiPriority w:val="99"/>
    <w:rPr>
      <w:rFonts w:hint="eastAsia" w:ascii="宋体" w:hAnsi="宋体" w:eastAsia="宋体" w:cs="宋体"/>
      <w:sz w:val="18"/>
      <w:szCs w:val="18"/>
    </w:rPr>
  </w:style>
  <w:style w:type="character" w:customStyle="1" w:styleId="13">
    <w:name w:val="页脚 Char"/>
    <w:basedOn w:val="10"/>
    <w:link w:val="6"/>
    <w:qFormat/>
    <w:locked/>
    <w:uiPriority w:val="99"/>
    <w:rPr>
      <w:rFonts w:hint="eastAsia" w:ascii="宋体" w:hAnsi="宋体" w:eastAsia="宋体" w:cs="宋体"/>
      <w:sz w:val="18"/>
      <w:szCs w:val="18"/>
    </w:rPr>
  </w:style>
  <w:style w:type="character" w:customStyle="1" w:styleId="14">
    <w:name w:val="文档结构图 Char"/>
    <w:basedOn w:val="10"/>
    <w:link w:val="3"/>
    <w:semiHidden/>
    <w:qFormat/>
    <w:locked/>
    <w:uiPriority w:val="99"/>
    <w:rPr>
      <w:rFonts w:hint="eastAsia" w:ascii="宋体" w:hAnsi="宋体" w:eastAsia="宋体" w:cs="宋体"/>
      <w:sz w:val="18"/>
      <w:szCs w:val="18"/>
    </w:rPr>
  </w:style>
  <w:style w:type="paragraph" w:styleId="15">
    <w:name w:val="List Paragraph"/>
    <w:basedOn w:val="1"/>
    <w:qFormat/>
    <w:uiPriority w:val="34"/>
    <w:pPr>
      <w:widowControl w:val="0"/>
      <w:ind w:firstLine="420" w:firstLineChars="200"/>
      <w:jc w:val="both"/>
    </w:pPr>
    <w:rPr>
      <w:rFonts w:ascii="Calibri" w:hAnsi="Calibri" w:cs="Times New Roman"/>
      <w:kern w:val="2"/>
      <w:sz w:val="21"/>
      <w:szCs w:val="22"/>
    </w:rPr>
  </w:style>
  <w:style w:type="paragraph" w:customStyle="1" w:styleId="16">
    <w:name w:val="msonormal"/>
    <w:basedOn w:val="1"/>
    <w:semiHidden/>
    <w:qFormat/>
    <w:uiPriority w:val="99"/>
    <w:pPr>
      <w:spacing w:before="100" w:beforeAutospacing="1" w:after="100" w:afterAutospacing="1"/>
    </w:pPr>
  </w:style>
  <w:style w:type="paragraph" w:customStyle="1" w:styleId="17">
    <w:name w:val="普通(网站) Char Char"/>
    <w:basedOn w:val="1"/>
    <w:qFormat/>
    <w:uiPriority w:val="0"/>
    <w:pPr>
      <w:spacing w:beforeAutospacing="1" w:afterAutospacing="1"/>
    </w:pPr>
    <w:rPr>
      <w:rFonts w:hint="eastAsia" w:cs="Times New Roman"/>
    </w:rPr>
  </w:style>
  <w:style w:type="paragraph" w:customStyle="1" w:styleId="18">
    <w:name w:val="普通(网站) Char"/>
    <w:basedOn w:val="1"/>
    <w:qFormat/>
    <w:uiPriority w:val="0"/>
    <w:pPr>
      <w:spacing w:beforeAutospacing="1" w:afterAutospacing="1"/>
    </w:pPr>
    <w:rPr>
      <w:rFonts w:hint="eastAsia" w:cs="Times New Roman"/>
    </w:rPr>
  </w:style>
  <w:style w:type="character" w:customStyle="1" w:styleId="19">
    <w:name w:val="批注框文本 Char"/>
    <w:basedOn w:val="10"/>
    <w:link w:val="5"/>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99550-B257-4546-AB00-96699E81D5B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4907</Words>
  <Characters>1264</Characters>
  <Lines>10</Lines>
  <Paragraphs>12</Paragraphs>
  <TotalTime>10</TotalTime>
  <ScaleCrop>false</ScaleCrop>
  <LinksUpToDate>false</LinksUpToDate>
  <CharactersWithSpaces>6159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2021-09-08T03:29:00Z</dcterms:created>
  <dc:creator>Administrator</dc:creator>
  <cp:lastModifiedBy>skhj</cp:lastModifiedBy>
  <cp:lastPrinted>2021-11-18T08:43:00Z</cp:lastPrinted>
  <dcterms:modified xsi:type="dcterms:W3CDTF">2021-11-19T08:02:06Z</dcterms:modified>
  <dc:title>公开报告模板</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50DCF235B07D4B87B9862CB43E9FCA70</vt:lpwstr>
  </property>
</Properties>
</file>