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lang w:eastAsia="zh-CN"/>
        </w:rPr>
        <w:t>辐射安全许可证公示（</w:t>
      </w:r>
      <w:r>
        <w:rPr>
          <w:rFonts w:hint="eastAsia"/>
          <w:b/>
          <w:sz w:val="44"/>
          <w:lang w:val="en-US" w:eastAsia="zh-CN"/>
        </w:rPr>
        <w:t>2021年8月</w:t>
      </w:r>
      <w:r>
        <w:rPr>
          <w:rFonts w:hint="eastAsia"/>
          <w:b/>
          <w:sz w:val="44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52"/>
        <w:gridCol w:w="1951"/>
        <w:gridCol w:w="1264"/>
        <w:gridCol w:w="115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单位名称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许可证号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审批时间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审批类别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1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重庆瑞升口腔门诊有限公司弹子石门诊部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渝环辐证14042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2021.8.9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重新办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南岸区吴成华诊所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渝环辐证14262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2021.8.12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</w:tbl>
    <w:p>
      <w:pPr>
        <w:jc w:val="left"/>
        <w:rPr>
          <w:rFonts w:hint="eastAsia"/>
          <w:sz w:val="21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BF6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2021-09-06T08:58:21Z</dcterms:created>
  <dc:creator>wanggehua</dc:creator>
  <cp:lastModifiedBy>wanggehua</cp:lastModifiedBy>
  <dcterms:modified xsi:type="dcterms:W3CDTF">2021-09-06T08:58:42Z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