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hint="default" w:ascii="Times New Roman" w:hAnsi="Times New Roman" w:eastAsia="方正小标宋简体" w:cs="Times New Roman"/>
          <w:b/>
          <w:sz w:val="44"/>
          <w:szCs w:val="44"/>
        </w:rPr>
      </w:pPr>
    </w:p>
    <w:p>
      <w:pPr>
        <w:spacing w:line="640" w:lineRule="exact"/>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pict>
          <v:shape id="_x0000_s1026" o:spid="_x0000_s1026" o:spt="136" type="#_x0000_t136" style="position:absolute;left:0pt;margin-left:77.9pt;margin-top:82.7pt;height:54.6pt;width:440.45pt;mso-position-horizontal-relative:page;mso-position-vertical-relative:page;z-index:251662336;mso-width-relative:page;mso-height-relative:page;" fillcolor="#FF0000" filled="t" stroked="t" coordsize="21600,21600" adj="10800">
            <v:path/>
            <v:fill on="t" color2="#FFFFFF" focussize="0,0"/>
            <v:stroke color="#FF0000"/>
            <v:imagedata o:title=""/>
            <o:lock v:ext="edit" aspectratio="f"/>
            <v:textpath on="t" fitshape="t" fitpath="t" trim="t" xscale="f" string="重庆市南岸区生态环境局文件" style="font-family:宋体;font-size:32pt;v-rotate-letters:f;v-same-letter-heights:t;v-text-align:center;"/>
          </v:shape>
        </w:pict>
      </w:r>
    </w:p>
    <w:p>
      <w:pPr>
        <w:spacing w:after="156" w:afterLines="50" w:line="600" w:lineRule="exact"/>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color w:val="000000"/>
          <w:sz w:val="32"/>
          <w:szCs w:val="32"/>
          <w:lang w:val="en-US" w:eastAsia="zh-CN"/>
        </w:rPr>
        <w:t>南环发</w:t>
      </w:r>
      <w:r>
        <w:rPr>
          <w:rFonts w:hint="default" w:ascii="Times New Roman" w:hAnsi="Times New Roman" w:eastAsia="方正仿宋_GBK" w:cs="Times New Roman"/>
          <w:color w:val="000000"/>
          <w:sz w:val="32"/>
          <w:szCs w:val="32"/>
        </w:rPr>
        <w:t>〔2021〕</w:t>
      </w:r>
      <w:r>
        <w:rPr>
          <w:rFonts w:hint="eastAsia" w:ascii="Times New Roman" w:hAnsi="Times New Roman" w:eastAsia="方正仿宋_GBK" w:cs="Times New Roman"/>
          <w:color w:val="000000"/>
          <w:sz w:val="32"/>
          <w:szCs w:val="32"/>
          <w:lang w:val="en-US" w:eastAsia="zh-CN"/>
        </w:rPr>
        <w:t>57</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color w:val="000000"/>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401320</wp:posOffset>
                </wp:positionV>
                <wp:extent cx="5711825" cy="26035"/>
                <wp:effectExtent l="0" t="12700" r="3175" b="18415"/>
                <wp:wrapNone/>
                <wp:docPr id="1" name="直接连接符 1"/>
                <wp:cNvGraphicFramePr/>
                <a:graphic xmlns:a="http://schemas.openxmlformats.org/drawingml/2006/main">
                  <a:graphicData uri="http://schemas.microsoft.com/office/word/2010/wordprocessingShape">
                    <wps:wsp>
                      <wps:cNvCnPr/>
                      <wps:spPr>
                        <a:xfrm flipV="1">
                          <a:off x="0" y="0"/>
                          <a:ext cx="5711825" cy="260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05pt;margin-top:31.6pt;height:2.05pt;width:449.75pt;z-index:251661312;mso-width-relative:page;mso-height-relative:page;" filled="f" stroked="t" coordsize="21600,21600" o:gfxdata="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mfeHUAAAABwEAAA8AAAAAAAAAAQAgAAAAIgAAAGRycy9kb3ducmV2&#10;LnhtbFBLAQIUABQAAAAIAIdO4kB97lp4AAIAAPMDAAAOAAAAAAAAAAEAIAAAACMBAABkcnMvZTJv&#10;RG9jLnhtbFBLBQYAAAAABgAGAFkBAACVBQAAAAA=&#10;">
                <v:fill on="f" focussize="0,0"/>
                <v:stroke weight="2pt" color="#FF0000" joinstyle="round"/>
                <v:imagedata o:title=""/>
                <o:lock v:ext="edit" aspectratio="f"/>
              </v:line>
            </w:pict>
          </mc:Fallback>
        </mc:AlternateContent>
      </w:r>
    </w:p>
    <w:p>
      <w:pPr>
        <w:spacing w:before="312" w:beforeLines="100" w:line="60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bCs/>
          <w:spacing w:val="0"/>
          <w:sz w:val="44"/>
          <w:szCs w:val="44"/>
        </w:rPr>
      </w:pPr>
      <w:bookmarkStart w:id="0" w:name="tbx_bt"/>
      <w:r>
        <w:rPr>
          <w:rFonts w:hint="default" w:ascii="Times New Roman" w:hAnsi="Times New Roman" w:eastAsia="方正小标宋_GBK" w:cs="Times New Roman"/>
          <w:bCs/>
          <w:spacing w:val="0"/>
          <w:sz w:val="44"/>
          <w:szCs w:val="44"/>
          <w:lang w:val="en-US" w:eastAsia="zh-CN"/>
        </w:rPr>
        <w:t>南岸区</w:t>
      </w:r>
      <w:r>
        <w:rPr>
          <w:rFonts w:hint="default" w:ascii="Times New Roman" w:hAnsi="Times New Roman" w:eastAsia="方正小标宋_GBK" w:cs="Times New Roman"/>
          <w:bCs/>
          <w:spacing w:val="0"/>
          <w:sz w:val="44"/>
          <w:szCs w:val="44"/>
        </w:rPr>
        <w:t>生态环境局</w:t>
      </w:r>
    </w:p>
    <w:p>
      <w:pPr>
        <w:keepNext w:val="0"/>
        <w:keepLines w:val="0"/>
        <w:pageBreakBefore w:val="0"/>
        <w:widowControl w:val="0"/>
        <w:kinsoku/>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spacing w:val="0"/>
          <w:kern w:val="24"/>
          <w:sz w:val="44"/>
          <w:szCs w:val="44"/>
          <w:lang w:eastAsia="zh-CN"/>
        </w:rPr>
      </w:pPr>
      <w:bookmarkStart w:id="2" w:name="_GoBack"/>
      <w:r>
        <w:rPr>
          <w:rFonts w:hint="default" w:ascii="Times New Roman" w:hAnsi="Times New Roman" w:eastAsia="方正小标宋_GBK" w:cs="Times New Roman"/>
          <w:bCs/>
          <w:spacing w:val="0"/>
          <w:sz w:val="44"/>
          <w:szCs w:val="44"/>
        </w:rPr>
        <w:t>关于印发</w:t>
      </w:r>
      <w:r>
        <w:rPr>
          <w:rFonts w:hint="eastAsia" w:ascii="Times New Roman" w:hAnsi="Times New Roman" w:eastAsia="方正小标宋_GBK" w:cs="Times New Roman"/>
          <w:bCs/>
          <w:spacing w:val="0"/>
          <w:sz w:val="44"/>
          <w:szCs w:val="44"/>
          <w:lang w:eastAsia="zh-CN"/>
        </w:rPr>
        <w:t>《</w:t>
      </w:r>
      <w:r>
        <w:rPr>
          <w:rFonts w:hint="default" w:ascii="Times New Roman" w:hAnsi="Times New Roman" w:eastAsia="方正小标宋_GBK" w:cs="Times New Roman"/>
          <w:spacing w:val="0"/>
          <w:kern w:val="24"/>
          <w:sz w:val="44"/>
          <w:szCs w:val="44"/>
          <w:lang w:val="en-US" w:eastAsia="zh-CN"/>
        </w:rPr>
        <w:t>南岸区</w:t>
      </w:r>
      <w:r>
        <w:rPr>
          <w:rFonts w:hint="default" w:ascii="Times New Roman" w:hAnsi="Times New Roman" w:eastAsia="方正小标宋_GBK" w:cs="Times New Roman"/>
          <w:spacing w:val="0"/>
          <w:kern w:val="24"/>
          <w:sz w:val="44"/>
          <w:szCs w:val="44"/>
        </w:rPr>
        <w:t>生态环境</w:t>
      </w:r>
      <w:r>
        <w:rPr>
          <w:rFonts w:hint="default" w:ascii="Times New Roman" w:hAnsi="Times New Roman" w:eastAsia="方正小标宋_GBK" w:cs="Times New Roman"/>
          <w:spacing w:val="0"/>
          <w:kern w:val="24"/>
          <w:sz w:val="44"/>
          <w:szCs w:val="44"/>
          <w:lang w:eastAsia="zh-CN"/>
        </w:rPr>
        <w:t>“</w:t>
      </w:r>
      <w:r>
        <w:rPr>
          <w:rFonts w:hint="default" w:ascii="Times New Roman" w:hAnsi="Times New Roman" w:eastAsia="方正小标宋_GBK" w:cs="Times New Roman"/>
          <w:spacing w:val="0"/>
          <w:kern w:val="24"/>
          <w:sz w:val="44"/>
          <w:szCs w:val="44"/>
        </w:rPr>
        <w:t>双随机、一公开</w:t>
      </w:r>
      <w:r>
        <w:rPr>
          <w:rFonts w:hint="default" w:ascii="Times New Roman" w:hAnsi="Times New Roman" w:eastAsia="方正小标宋_GBK" w:cs="Times New Roman"/>
          <w:spacing w:val="0"/>
          <w:kern w:val="24"/>
          <w:sz w:val="44"/>
          <w:szCs w:val="44"/>
          <w:lang w:eastAsia="zh-CN"/>
        </w:rPr>
        <w:t>”</w:t>
      </w:r>
    </w:p>
    <w:p>
      <w:pPr>
        <w:keepNext w:val="0"/>
        <w:keepLines w:val="0"/>
        <w:pageBreakBefore w:val="0"/>
        <w:widowControl w:val="0"/>
        <w:kinsoku/>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bCs/>
          <w:spacing w:val="0"/>
          <w:sz w:val="44"/>
          <w:szCs w:val="44"/>
        </w:rPr>
      </w:pPr>
      <w:r>
        <w:rPr>
          <w:rFonts w:hint="default" w:ascii="Times New Roman" w:hAnsi="Times New Roman" w:eastAsia="方正小标宋_GBK" w:cs="Times New Roman"/>
          <w:spacing w:val="0"/>
          <w:kern w:val="24"/>
          <w:sz w:val="44"/>
          <w:szCs w:val="44"/>
        </w:rPr>
        <w:t>监管工作实施方案</w:t>
      </w:r>
      <w:r>
        <w:rPr>
          <w:rFonts w:hint="eastAsia" w:ascii="Times New Roman" w:hAnsi="Times New Roman" w:eastAsia="方正小标宋_GBK" w:cs="Times New Roman"/>
          <w:bCs/>
          <w:spacing w:val="0"/>
          <w:sz w:val="44"/>
          <w:szCs w:val="44"/>
          <w:lang w:eastAsia="zh-CN"/>
        </w:rPr>
        <w:t>》</w:t>
      </w:r>
      <w:r>
        <w:rPr>
          <w:rFonts w:hint="default" w:ascii="Times New Roman" w:hAnsi="Times New Roman" w:eastAsia="方正小标宋_GBK" w:cs="Times New Roman"/>
          <w:bCs/>
          <w:spacing w:val="0"/>
          <w:sz w:val="44"/>
          <w:szCs w:val="44"/>
        </w:rPr>
        <w:t>的通知</w:t>
      </w:r>
      <w:bookmarkEnd w:id="0"/>
    </w:p>
    <w:bookmarkEnd w:id="2"/>
    <w:p>
      <w:pPr>
        <w:keepNext w:val="0"/>
        <w:keepLines w:val="0"/>
        <w:pageBreakBefore w:val="0"/>
        <w:widowControl w:val="0"/>
        <w:kinsoku/>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bCs/>
          <w:spacing w:val="0"/>
          <w:sz w:val="44"/>
          <w:szCs w:val="44"/>
          <w:lang w:eastAsia="zh-CN"/>
        </w:rPr>
      </w:pPr>
    </w:p>
    <w:p>
      <w:pPr>
        <w:keepNext w:val="0"/>
        <w:keepLines w:val="0"/>
        <w:pageBreakBefore w:val="0"/>
        <w:widowControl w:val="0"/>
        <w:kinsoku/>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bCs/>
          <w:spacing w:val="0"/>
          <w:sz w:val="32"/>
          <w:szCs w:val="32"/>
        </w:rPr>
      </w:pPr>
    </w:p>
    <w:p>
      <w:pPr>
        <w:keepNext w:val="0"/>
        <w:keepLines w:val="0"/>
        <w:pageBreakBefore w:val="0"/>
        <w:widowControl w:val="0"/>
        <w:kinsoku/>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bCs/>
          <w:spacing w:val="0"/>
          <w:sz w:val="32"/>
          <w:szCs w:val="32"/>
        </w:rPr>
      </w:pPr>
      <w:r>
        <w:rPr>
          <w:rFonts w:hint="default" w:ascii="Times New Roman" w:hAnsi="Times New Roman" w:eastAsia="方正仿宋_GBK" w:cs="Times New Roman"/>
          <w:bCs/>
          <w:spacing w:val="0"/>
          <w:sz w:val="32"/>
          <w:szCs w:val="32"/>
        </w:rPr>
        <w:t>各科室</w:t>
      </w:r>
      <w:r>
        <w:rPr>
          <w:rFonts w:hint="default" w:ascii="Times New Roman" w:hAnsi="Times New Roman" w:eastAsia="方正仿宋_GBK" w:cs="Times New Roman"/>
          <w:bCs/>
          <w:spacing w:val="0"/>
          <w:sz w:val="32"/>
          <w:szCs w:val="32"/>
          <w:lang w:eastAsia="zh-CN"/>
        </w:rPr>
        <w:t>，</w:t>
      </w:r>
      <w:r>
        <w:rPr>
          <w:rFonts w:hint="default" w:ascii="Times New Roman" w:hAnsi="Times New Roman" w:eastAsia="方正仿宋_GBK" w:cs="Times New Roman"/>
          <w:bCs/>
          <w:spacing w:val="0"/>
          <w:sz w:val="32"/>
          <w:szCs w:val="32"/>
          <w:lang w:val="en-US" w:eastAsia="zh-CN"/>
        </w:rPr>
        <w:t>执法支队、监测站、宣教中心</w:t>
      </w:r>
      <w:r>
        <w:rPr>
          <w:rFonts w:hint="default" w:ascii="Times New Roman" w:hAnsi="Times New Roman" w:eastAsia="方正仿宋_GBK" w:cs="Times New Roman"/>
          <w:bCs/>
          <w:spacing w:val="0"/>
          <w:sz w:val="32"/>
          <w:szCs w:val="32"/>
        </w:rPr>
        <w:t>：</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根据重庆市生态环境局办公室《关于印发重庆市进一步加强生态环境“双随机、一公开”监管工作实施方案的通知》（渝环办〔2021〕223号）文件要求，我局在征求各科室意见的基础上，拟定了</w:t>
      </w:r>
      <w:r>
        <w:rPr>
          <w:rFonts w:hint="default" w:ascii="Times New Roman" w:hAnsi="Times New Roman" w:eastAsia="方正仿宋_GBK" w:cs="Times New Roman"/>
          <w:spacing w:val="0"/>
          <w:sz w:val="32"/>
          <w:szCs w:val="32"/>
        </w:rPr>
        <w:t>《南岸区生态环境“双随机、一公开”监管工作实施方案》，现印发你们，请认真贯彻执行。</w:t>
      </w:r>
    </w:p>
    <w:p>
      <w:pPr>
        <w:keepNext w:val="0"/>
        <w:keepLines w:val="0"/>
        <w:pageBreakBefore w:val="0"/>
        <w:widowControl w:val="0"/>
        <w:kinsoku/>
        <w:topLinePunct w:val="0"/>
        <w:autoSpaceDE/>
        <w:autoSpaceDN/>
        <w:bidi w:val="0"/>
        <w:adjustRightInd/>
        <w:snapToGrid/>
        <w:spacing w:line="594" w:lineRule="exact"/>
        <w:ind w:right="948" w:firstLine="420" w:firstLineChars="200"/>
        <w:jc w:val="right"/>
        <w:textAlignment w:val="auto"/>
        <w:outlineLvl w:val="9"/>
        <w:rPr>
          <w:rFonts w:hint="default" w:ascii="Times New Roman" w:hAnsi="Times New Roman" w:eastAsia="方正楷体_GBK" w:cs="Times New Roman"/>
          <w:spacing w:val="0"/>
          <w:lang w:val="en-US" w:eastAsia="zh-CN"/>
        </w:rPr>
      </w:pPr>
    </w:p>
    <w:p>
      <w:pPr>
        <w:keepNext w:val="0"/>
        <w:keepLines w:val="0"/>
        <w:pageBreakBefore w:val="0"/>
        <w:widowControl w:val="0"/>
        <w:tabs>
          <w:tab w:val="left" w:pos="8190"/>
        </w:tabs>
        <w:kinsoku/>
        <w:wordWrap/>
        <w:overflowPunct/>
        <w:topLinePunct w:val="0"/>
        <w:autoSpaceDE/>
        <w:autoSpaceDN/>
        <w:bidi w:val="0"/>
        <w:adjustRightInd/>
        <w:snapToGrid/>
        <w:spacing w:line="594" w:lineRule="exact"/>
        <w:ind w:right="0" w:firstLine="0" w:firstLineChars="0"/>
        <w:jc w:val="center"/>
        <w:textAlignment w:val="auto"/>
        <w:outlineLvl w:val="9"/>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lang w:val="en-US" w:eastAsia="zh-CN"/>
        </w:rPr>
        <w:t>南岸区</w:t>
      </w:r>
      <w:r>
        <w:rPr>
          <w:rFonts w:hint="default" w:ascii="Times New Roman" w:hAnsi="Times New Roman" w:eastAsia="方正仿宋_GBK" w:cs="Times New Roman"/>
          <w:spacing w:val="0"/>
          <w:sz w:val="32"/>
          <w:szCs w:val="32"/>
        </w:rPr>
        <w:t>生态环境局</w:t>
      </w:r>
      <w:r>
        <w:rPr>
          <w:rFonts w:hint="default" w:ascii="Times New Roman" w:hAnsi="Times New Roman" w:eastAsia="方正仿宋_GBK" w:cs="Times New Roman"/>
          <w:spacing w:val="0"/>
          <w:sz w:val="32"/>
          <w:szCs w:val="32"/>
          <w:lang w:val="en-US" w:eastAsia="zh-CN"/>
        </w:rPr>
        <w:t xml:space="preserve">    </w:t>
      </w:r>
    </w:p>
    <w:p>
      <w:pPr>
        <w:pStyle w:val="11"/>
        <w:keepNext w:val="0"/>
        <w:keepLines w:val="0"/>
        <w:pageBreakBefore w:val="0"/>
        <w:widowControl/>
        <w:kinsoku/>
        <w:wordWrap w:val="0"/>
        <w:overflowPunct/>
        <w:topLinePunct w:val="0"/>
        <w:autoSpaceDE/>
        <w:autoSpaceDN/>
        <w:bidi w:val="0"/>
        <w:adjustRightInd/>
        <w:snapToGrid/>
        <w:spacing w:line="596" w:lineRule="exact"/>
        <w:ind w:firstLine="645"/>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2021年</w:t>
      </w:r>
      <w:r>
        <w:rPr>
          <w:rFonts w:hint="default" w:ascii="Times New Roman" w:hAnsi="Times New Roman" w:eastAsia="方正仿宋_GBK" w:cs="Times New Roman"/>
          <w:spacing w:val="0"/>
          <w:sz w:val="32"/>
          <w:szCs w:val="32"/>
          <w:lang w:val="en-US" w:eastAsia="zh-CN"/>
        </w:rPr>
        <w:t>11</w:t>
      </w:r>
      <w:r>
        <w:rPr>
          <w:rFonts w:hint="default" w:ascii="Times New Roman" w:hAnsi="Times New Roman" w:eastAsia="方正仿宋_GBK" w:cs="Times New Roman"/>
          <w:spacing w:val="0"/>
          <w:sz w:val="32"/>
          <w:szCs w:val="32"/>
        </w:rPr>
        <w:t>月</w:t>
      </w:r>
      <w:r>
        <w:rPr>
          <w:rFonts w:hint="eastAsia" w:ascii="Times New Roman" w:hAnsi="Times New Roman" w:eastAsia="方正仿宋_GBK" w:cs="Times New Roman"/>
          <w:spacing w:val="0"/>
          <w:sz w:val="32"/>
          <w:szCs w:val="32"/>
          <w:lang w:val="en-US" w:eastAsia="zh-CN"/>
        </w:rPr>
        <w:t>30</w:t>
      </w:r>
      <w:r>
        <w:rPr>
          <w:rFonts w:hint="default" w:ascii="Times New Roman" w:hAnsi="Times New Roman" w:eastAsia="方正仿宋_GBK" w:cs="Times New Roman"/>
          <w:spacing w:val="0"/>
          <w:sz w:val="32"/>
          <w:szCs w:val="32"/>
        </w:rPr>
        <w:t>日</w:t>
      </w:r>
      <w:r>
        <w:rPr>
          <w:rFonts w:hint="default" w:ascii="Times New Roman" w:hAnsi="Times New Roman" w:eastAsia="方正仿宋_GBK" w:cs="Times New Roman"/>
          <w:spacing w:val="0"/>
          <w:sz w:val="32"/>
          <w:szCs w:val="32"/>
          <w:lang w:val="en-US" w:eastAsia="zh-CN"/>
        </w:rPr>
        <w:t xml:space="preserve">   </w:t>
      </w:r>
    </w:p>
    <w:p>
      <w:pPr>
        <w:pStyle w:val="11"/>
        <w:keepNext w:val="0"/>
        <w:keepLines w:val="0"/>
        <w:pageBreakBefore w:val="0"/>
        <w:widowControl/>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eastAsia="zh-CN"/>
        </w:rPr>
      </w:pPr>
    </w:p>
    <w:p>
      <w:pPr>
        <w:pStyle w:val="11"/>
        <w:keepNext w:val="0"/>
        <w:keepLines w:val="0"/>
        <w:pageBreakBefore w:val="0"/>
        <w:widowControl/>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pStyle w:val="11"/>
        <w:keepNext w:val="0"/>
        <w:keepLines w:val="0"/>
        <w:pageBreakBefore w:val="0"/>
        <w:widowControl/>
        <w:kinsoku/>
        <w:wordWrap/>
        <w:overflowPunct/>
        <w:topLinePunct w:val="0"/>
        <w:autoSpaceDE/>
        <w:autoSpaceDN/>
        <w:bidi w:val="0"/>
        <w:adjustRightInd/>
        <w:snapToGrid/>
        <w:spacing w:line="596" w:lineRule="exact"/>
        <w:ind w:firstLine="645"/>
        <w:jc w:val="right"/>
        <w:textAlignment w:val="auto"/>
        <w:rPr>
          <w:rFonts w:hint="default" w:ascii="Times New Roman" w:hAnsi="Times New Roman" w:eastAsia="仿宋_GB2312" w:cs="Times New Roman"/>
          <w:sz w:val="32"/>
          <w:szCs w:val="32"/>
        </w:rPr>
      </w:pPr>
    </w:p>
    <w:p>
      <w:pPr>
        <w:pStyle w:val="11"/>
        <w:keepNext w:val="0"/>
        <w:keepLines w:val="0"/>
        <w:pageBreakBefore w:val="0"/>
        <w:widowControl/>
        <w:kinsoku/>
        <w:wordWrap/>
        <w:overflowPunct/>
        <w:topLinePunct w:val="0"/>
        <w:autoSpaceDE/>
        <w:autoSpaceDN/>
        <w:bidi w:val="0"/>
        <w:adjustRightInd/>
        <w:snapToGrid/>
        <w:spacing w:line="596" w:lineRule="exact"/>
        <w:ind w:firstLine="645"/>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spacing w:val="0"/>
          <w:kern w:val="24"/>
          <w:sz w:val="44"/>
          <w:szCs w:val="44"/>
          <w:lang w:eastAsia="zh-CN"/>
        </w:rPr>
      </w:pPr>
      <w:r>
        <w:rPr>
          <w:rFonts w:hint="default" w:ascii="Times New Roman" w:hAnsi="Times New Roman" w:eastAsia="方正小标宋_GBK" w:cs="Times New Roman"/>
          <w:spacing w:val="0"/>
          <w:kern w:val="24"/>
          <w:sz w:val="44"/>
          <w:szCs w:val="44"/>
          <w:lang w:val="en-US" w:eastAsia="zh-CN"/>
        </w:rPr>
        <w:t>南岸区</w:t>
      </w:r>
      <w:r>
        <w:rPr>
          <w:rFonts w:hint="default" w:ascii="Times New Roman" w:hAnsi="Times New Roman" w:eastAsia="方正小标宋_GBK" w:cs="Times New Roman"/>
          <w:spacing w:val="0"/>
          <w:kern w:val="24"/>
          <w:sz w:val="44"/>
          <w:szCs w:val="44"/>
        </w:rPr>
        <w:t>生态环境</w:t>
      </w:r>
      <w:r>
        <w:rPr>
          <w:rFonts w:hint="default" w:ascii="Times New Roman" w:hAnsi="Times New Roman" w:eastAsia="方正小标宋_GBK" w:cs="Times New Roman"/>
          <w:spacing w:val="0"/>
          <w:kern w:val="24"/>
          <w:sz w:val="44"/>
          <w:szCs w:val="44"/>
          <w:lang w:eastAsia="zh-CN"/>
        </w:rPr>
        <w:t>“</w:t>
      </w:r>
      <w:r>
        <w:rPr>
          <w:rFonts w:hint="default" w:ascii="Times New Roman" w:hAnsi="Times New Roman" w:eastAsia="方正小标宋_GBK" w:cs="Times New Roman"/>
          <w:spacing w:val="0"/>
          <w:kern w:val="24"/>
          <w:sz w:val="44"/>
          <w:szCs w:val="44"/>
        </w:rPr>
        <w:t>双随机、一公开</w:t>
      </w:r>
      <w:r>
        <w:rPr>
          <w:rFonts w:hint="default" w:ascii="Times New Roman" w:hAnsi="Times New Roman" w:eastAsia="方正小标宋_GBK" w:cs="Times New Roman"/>
          <w:spacing w:val="0"/>
          <w:kern w:val="24"/>
          <w:sz w:val="44"/>
          <w:szCs w:val="44"/>
          <w:lang w:eastAsia="zh-CN"/>
        </w:rPr>
        <w:t>”</w:t>
      </w:r>
    </w:p>
    <w:p>
      <w:pPr>
        <w:keepNext w:val="0"/>
        <w:keepLines w:val="0"/>
        <w:pageBreakBefore w:val="0"/>
        <w:widowControl w:val="0"/>
        <w:kinsoku/>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spacing w:val="0"/>
          <w:kern w:val="24"/>
          <w:sz w:val="44"/>
          <w:szCs w:val="44"/>
        </w:rPr>
      </w:pPr>
      <w:r>
        <w:rPr>
          <w:rFonts w:hint="default" w:ascii="Times New Roman" w:hAnsi="Times New Roman" w:eastAsia="方正小标宋_GBK" w:cs="Times New Roman"/>
          <w:spacing w:val="0"/>
          <w:kern w:val="24"/>
          <w:sz w:val="44"/>
          <w:szCs w:val="44"/>
        </w:rPr>
        <w:t>监管工作实施方案</w:t>
      </w:r>
    </w:p>
    <w:p>
      <w:pPr>
        <w:keepNext w:val="0"/>
        <w:keepLines w:val="0"/>
        <w:pageBreakBefore w:val="0"/>
        <w:widowControl w:val="0"/>
        <w:kinsoku/>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spacing w:val="0"/>
          <w:kern w:val="24"/>
          <w:sz w:val="44"/>
          <w:szCs w:val="44"/>
        </w:rPr>
      </w:pP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仿宋_GBK" w:cs="Times New Roman"/>
          <w:spacing w:val="0"/>
          <w:kern w:val="24"/>
          <w:sz w:val="32"/>
          <w:szCs w:val="32"/>
        </w:rPr>
        <w:t>为贯彻落实党中央、国务院深化</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放管服</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lang w:val="en-US" w:eastAsia="zh-CN"/>
        </w:rPr>
        <w:t>改革</w:t>
      </w:r>
      <w:r>
        <w:rPr>
          <w:rFonts w:hint="default" w:ascii="Times New Roman" w:hAnsi="Times New Roman" w:eastAsia="方正仿宋_GBK" w:cs="Times New Roman"/>
          <w:spacing w:val="0"/>
          <w:kern w:val="24"/>
          <w:sz w:val="32"/>
          <w:szCs w:val="32"/>
        </w:rPr>
        <w:t>、优化营商环境的重大决策部署，进一步加强生态环境</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监管制度建设，按照《生态环境部办公厅关于进一步加强生态环境</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监管工作的指导意见》（环办执法〔2021〕18号）</w:t>
      </w:r>
      <w:r>
        <w:rPr>
          <w:rFonts w:hint="default" w:ascii="Times New Roman" w:hAnsi="Times New Roman" w:eastAsia="方正仿宋_GBK" w:cs="Times New Roman"/>
          <w:spacing w:val="0"/>
          <w:kern w:val="24"/>
          <w:sz w:val="32"/>
          <w:szCs w:val="32"/>
          <w:lang w:eastAsia="zh-CN"/>
        </w:rPr>
        <w:t>、《重庆市生态环境局办公室关于印发重庆市进一步加强生态环境“双随机、一公开”监管工作实施方案的通知》</w:t>
      </w:r>
      <w:r>
        <w:rPr>
          <w:rFonts w:hint="default" w:ascii="Times New Roman" w:hAnsi="Times New Roman" w:eastAsia="方正仿宋_GBK" w:cs="Times New Roman"/>
          <w:spacing w:val="0"/>
          <w:kern w:val="24"/>
          <w:sz w:val="32"/>
          <w:szCs w:val="32"/>
        </w:rPr>
        <w:t>（渝环办〔2021〕223号）</w:t>
      </w:r>
      <w:r>
        <w:rPr>
          <w:rFonts w:hint="default" w:ascii="Times New Roman" w:hAnsi="Times New Roman" w:eastAsia="方正仿宋_GBK" w:cs="Times New Roman"/>
          <w:spacing w:val="0"/>
          <w:kern w:val="24"/>
          <w:sz w:val="32"/>
          <w:szCs w:val="32"/>
          <w:lang w:val="en-US" w:eastAsia="zh-CN"/>
        </w:rPr>
        <w:t>文件</w:t>
      </w:r>
      <w:r>
        <w:rPr>
          <w:rFonts w:hint="default" w:ascii="Times New Roman" w:hAnsi="Times New Roman" w:eastAsia="方正仿宋_GBK" w:cs="Times New Roman"/>
          <w:spacing w:val="0"/>
          <w:kern w:val="24"/>
          <w:sz w:val="32"/>
          <w:szCs w:val="32"/>
        </w:rPr>
        <w:t>要求，制定本方案。</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bCs/>
          <w:spacing w:val="0"/>
          <w:kern w:val="24"/>
          <w:sz w:val="32"/>
          <w:szCs w:val="32"/>
        </w:rPr>
      </w:pPr>
      <w:r>
        <w:rPr>
          <w:rFonts w:hint="default" w:ascii="Times New Roman" w:hAnsi="Times New Roman" w:eastAsia="方正黑体_GBK" w:cs="Times New Roman"/>
          <w:bCs/>
          <w:spacing w:val="0"/>
          <w:kern w:val="24"/>
          <w:sz w:val="32"/>
          <w:szCs w:val="32"/>
        </w:rPr>
        <w:t>一、总体要求</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楷体_GBK" w:cs="Times New Roman"/>
          <w:spacing w:val="0"/>
          <w:kern w:val="24"/>
          <w:sz w:val="32"/>
          <w:szCs w:val="32"/>
        </w:rPr>
        <w:t>（一）指导思想。</w:t>
      </w:r>
      <w:r>
        <w:rPr>
          <w:rFonts w:hint="default" w:ascii="Times New Roman" w:hAnsi="Times New Roman" w:eastAsia="方正仿宋_GBK" w:cs="Times New Roman"/>
          <w:spacing w:val="0"/>
          <w:kern w:val="24"/>
          <w:sz w:val="32"/>
          <w:szCs w:val="32"/>
        </w:rPr>
        <w:t>以习近平新时代中国特色社会主义思想为指导，</w:t>
      </w:r>
      <w:r>
        <w:rPr>
          <w:rFonts w:hint="default" w:ascii="Times New Roman" w:hAnsi="Times New Roman" w:eastAsia="方正仿宋_GBK" w:cs="Times New Roman"/>
          <w:spacing w:val="0"/>
          <w:kern w:val="24"/>
          <w:sz w:val="32"/>
          <w:szCs w:val="32"/>
          <w:lang w:val="en-US" w:eastAsia="zh-CN"/>
        </w:rPr>
        <w:t>深学笃用习近平生态文明思想、习近平法治思想，</w:t>
      </w:r>
      <w:r>
        <w:rPr>
          <w:rFonts w:hint="default" w:ascii="Times New Roman" w:hAnsi="Times New Roman" w:eastAsia="方正仿宋_GBK" w:cs="Times New Roman"/>
          <w:spacing w:val="0"/>
          <w:kern w:val="24"/>
          <w:sz w:val="32"/>
          <w:szCs w:val="32"/>
        </w:rPr>
        <w:t>深入打好污染防治攻坚战，坚持方向不变、力度不减，突出精准治污、科学治污、依法治污，贯彻落实《优化营商环境条例》《关于构建现代环境治理体系的指</w:t>
      </w:r>
      <w:r>
        <w:rPr>
          <w:rFonts w:hint="default" w:ascii="Times New Roman" w:hAnsi="Times New Roman" w:eastAsia="方正仿宋_GBK" w:cs="Times New Roman"/>
          <w:spacing w:val="6"/>
          <w:kern w:val="24"/>
          <w:sz w:val="32"/>
          <w:szCs w:val="32"/>
        </w:rPr>
        <w:t>导意见》《国务</w:t>
      </w:r>
      <w:r>
        <w:rPr>
          <w:rFonts w:hint="default" w:ascii="Times New Roman" w:hAnsi="Times New Roman" w:eastAsia="方正仿宋_GBK" w:cs="Times New Roman"/>
          <w:spacing w:val="0"/>
          <w:kern w:val="24"/>
          <w:sz w:val="32"/>
          <w:szCs w:val="32"/>
        </w:rPr>
        <w:t>院关于在市场监管领域全面推行部门联合</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监管的意见》相关规定，实现生态环境</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监管工作全覆盖、常态化。</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楷体_GBK" w:cs="Times New Roman"/>
          <w:spacing w:val="0"/>
          <w:kern w:val="24"/>
          <w:sz w:val="32"/>
          <w:szCs w:val="32"/>
        </w:rPr>
      </w:pPr>
      <w:r>
        <w:rPr>
          <w:rFonts w:hint="default" w:ascii="Times New Roman" w:hAnsi="Times New Roman" w:eastAsia="方正楷体_GBK" w:cs="Times New Roman"/>
          <w:spacing w:val="0"/>
          <w:kern w:val="24"/>
          <w:sz w:val="32"/>
          <w:szCs w:val="32"/>
        </w:rPr>
        <w:t>（二）基本原则。</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bCs/>
          <w:spacing w:val="0"/>
          <w:kern w:val="24"/>
          <w:sz w:val="32"/>
          <w:szCs w:val="32"/>
        </w:rPr>
      </w:pPr>
      <w:r>
        <w:rPr>
          <w:rFonts w:hint="default" w:ascii="Times New Roman" w:hAnsi="Times New Roman" w:eastAsia="方正仿宋_GBK" w:cs="Times New Roman"/>
          <w:bCs/>
          <w:spacing w:val="0"/>
          <w:kern w:val="24"/>
          <w:sz w:val="32"/>
          <w:szCs w:val="32"/>
        </w:rPr>
        <w:t>坚持目标导向。围绕落实优化营商环境要求，将</w:t>
      </w:r>
      <w:r>
        <w:rPr>
          <w:rFonts w:hint="default" w:ascii="Times New Roman" w:hAnsi="Times New Roman" w:eastAsia="方正仿宋_GBK" w:cs="Times New Roman"/>
          <w:bCs/>
          <w:spacing w:val="0"/>
          <w:kern w:val="24"/>
          <w:sz w:val="32"/>
          <w:szCs w:val="32"/>
          <w:lang w:eastAsia="zh-CN"/>
        </w:rPr>
        <w:t>“</w:t>
      </w:r>
      <w:r>
        <w:rPr>
          <w:rFonts w:hint="default" w:ascii="Times New Roman" w:hAnsi="Times New Roman" w:eastAsia="方正仿宋_GBK" w:cs="Times New Roman"/>
          <w:bCs/>
          <w:spacing w:val="0"/>
          <w:kern w:val="24"/>
          <w:sz w:val="32"/>
          <w:szCs w:val="32"/>
        </w:rPr>
        <w:t>双随机、一公开</w:t>
      </w:r>
      <w:r>
        <w:rPr>
          <w:rFonts w:hint="default" w:ascii="Times New Roman" w:hAnsi="Times New Roman" w:eastAsia="方正仿宋_GBK" w:cs="Times New Roman"/>
          <w:bCs/>
          <w:spacing w:val="0"/>
          <w:kern w:val="24"/>
          <w:sz w:val="32"/>
          <w:szCs w:val="32"/>
          <w:lang w:eastAsia="zh-CN"/>
        </w:rPr>
        <w:t>”</w:t>
      </w:r>
      <w:r>
        <w:rPr>
          <w:rFonts w:hint="default" w:ascii="Times New Roman" w:hAnsi="Times New Roman" w:eastAsia="方正仿宋_GBK" w:cs="Times New Roman"/>
          <w:bCs/>
          <w:spacing w:val="0"/>
          <w:kern w:val="24"/>
          <w:sz w:val="32"/>
          <w:szCs w:val="32"/>
        </w:rPr>
        <w:t>作为生态环境监管活动的基本手段和方式，切实减少对企业正常生产经营活动的干扰，减轻企业负担。聚焦发现和打击生态环境违法行为，切实解决重复检查、随意监管、执法不公问题，推进生态环境监管制度化、规范化。</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bCs/>
          <w:spacing w:val="0"/>
          <w:kern w:val="24"/>
          <w:sz w:val="32"/>
          <w:szCs w:val="32"/>
        </w:rPr>
      </w:pPr>
      <w:r>
        <w:rPr>
          <w:rFonts w:hint="default" w:ascii="Times New Roman" w:hAnsi="Times New Roman" w:eastAsia="方正仿宋_GBK" w:cs="Times New Roman"/>
          <w:bCs/>
          <w:spacing w:val="0"/>
          <w:kern w:val="24"/>
          <w:sz w:val="32"/>
          <w:szCs w:val="32"/>
        </w:rPr>
        <w:t>坚持计划统筹。加强</w:t>
      </w:r>
      <w:r>
        <w:rPr>
          <w:rFonts w:hint="default" w:ascii="Times New Roman" w:hAnsi="Times New Roman" w:eastAsia="方正仿宋_GBK" w:cs="Times New Roman"/>
          <w:bCs/>
          <w:spacing w:val="0"/>
          <w:kern w:val="24"/>
          <w:sz w:val="32"/>
          <w:szCs w:val="32"/>
          <w:lang w:eastAsia="zh-CN"/>
        </w:rPr>
        <w:t>“</w:t>
      </w:r>
      <w:r>
        <w:rPr>
          <w:rFonts w:hint="default" w:ascii="Times New Roman" w:hAnsi="Times New Roman" w:eastAsia="方正仿宋_GBK" w:cs="Times New Roman"/>
          <w:bCs/>
          <w:spacing w:val="0"/>
          <w:kern w:val="24"/>
          <w:sz w:val="32"/>
          <w:szCs w:val="32"/>
        </w:rPr>
        <w:t>双随机、一公开</w:t>
      </w:r>
      <w:r>
        <w:rPr>
          <w:rFonts w:hint="default" w:ascii="Times New Roman" w:hAnsi="Times New Roman" w:eastAsia="方正仿宋_GBK" w:cs="Times New Roman"/>
          <w:bCs/>
          <w:spacing w:val="0"/>
          <w:kern w:val="24"/>
          <w:sz w:val="32"/>
          <w:szCs w:val="32"/>
          <w:lang w:eastAsia="zh-CN"/>
        </w:rPr>
        <w:t>”</w:t>
      </w:r>
      <w:r>
        <w:rPr>
          <w:rFonts w:hint="default" w:ascii="Times New Roman" w:hAnsi="Times New Roman" w:eastAsia="方正仿宋_GBK" w:cs="Times New Roman"/>
          <w:bCs/>
          <w:spacing w:val="0"/>
          <w:kern w:val="24"/>
          <w:sz w:val="32"/>
          <w:szCs w:val="32"/>
        </w:rPr>
        <w:t>监管制度设计，根据法律法规规定和区域发展实际情况，做好</w:t>
      </w:r>
      <w:r>
        <w:rPr>
          <w:rFonts w:hint="default" w:ascii="Times New Roman" w:hAnsi="Times New Roman" w:eastAsia="方正仿宋_GBK" w:cs="Times New Roman"/>
          <w:bCs/>
          <w:spacing w:val="0"/>
          <w:kern w:val="24"/>
          <w:sz w:val="32"/>
          <w:szCs w:val="32"/>
          <w:lang w:eastAsia="zh-CN"/>
        </w:rPr>
        <w:t>“</w:t>
      </w:r>
      <w:r>
        <w:rPr>
          <w:rFonts w:hint="default" w:ascii="Times New Roman" w:hAnsi="Times New Roman" w:eastAsia="方正仿宋_GBK" w:cs="Times New Roman"/>
          <w:bCs/>
          <w:spacing w:val="0"/>
          <w:kern w:val="24"/>
          <w:sz w:val="32"/>
          <w:szCs w:val="32"/>
        </w:rPr>
        <w:t>双随机</w:t>
      </w:r>
      <w:r>
        <w:rPr>
          <w:rFonts w:hint="default" w:ascii="Times New Roman" w:hAnsi="Times New Roman" w:eastAsia="方正仿宋_GBK" w:cs="Times New Roman"/>
          <w:bCs/>
          <w:spacing w:val="0"/>
          <w:kern w:val="24"/>
          <w:sz w:val="32"/>
          <w:szCs w:val="32"/>
          <w:lang w:eastAsia="zh-CN"/>
        </w:rPr>
        <w:t>”</w:t>
      </w:r>
      <w:r>
        <w:rPr>
          <w:rFonts w:hint="default" w:ascii="Times New Roman" w:hAnsi="Times New Roman" w:eastAsia="方正仿宋_GBK" w:cs="Times New Roman"/>
          <w:bCs/>
          <w:spacing w:val="0"/>
          <w:kern w:val="24"/>
          <w:sz w:val="32"/>
          <w:szCs w:val="32"/>
        </w:rPr>
        <w:t>抽查（以下简称随机抽查）工作计划，高效统筹监管执法活动，合理分类、科学配置监管执法资源，全面提高生态环境监管执法效能。</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仿宋_GBK" w:cs="Times New Roman"/>
          <w:bCs/>
          <w:spacing w:val="0"/>
          <w:kern w:val="24"/>
          <w:sz w:val="32"/>
          <w:szCs w:val="32"/>
        </w:rPr>
        <w:t>坚持精准规范。突出精准治污、科学治污、依法治污，以信息化、智能化管理手段为抓手，不断增强随机抽查的精准性。严格落实行政执</w:t>
      </w:r>
      <w:r>
        <w:rPr>
          <w:rFonts w:hint="default" w:ascii="Times New Roman" w:hAnsi="Times New Roman" w:eastAsia="方正仿宋_GBK" w:cs="Times New Roman"/>
          <w:spacing w:val="0"/>
          <w:kern w:val="24"/>
          <w:sz w:val="32"/>
          <w:szCs w:val="32"/>
        </w:rPr>
        <w:t>法公示制度，强化结果公示运用，营造更加公开透明、规范有序、公平公正的监管环境。</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bCs/>
          <w:spacing w:val="0"/>
          <w:kern w:val="24"/>
          <w:sz w:val="32"/>
          <w:szCs w:val="32"/>
        </w:rPr>
      </w:pPr>
      <w:r>
        <w:rPr>
          <w:rFonts w:hint="default" w:ascii="Times New Roman" w:hAnsi="Times New Roman" w:eastAsia="方正黑体_GBK" w:cs="Times New Roman"/>
          <w:bCs/>
          <w:spacing w:val="0"/>
          <w:kern w:val="24"/>
          <w:sz w:val="32"/>
          <w:szCs w:val="32"/>
        </w:rPr>
        <w:t>二、总体目标</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仿宋_GBK" w:cs="Times New Roman"/>
          <w:spacing w:val="0"/>
          <w:kern w:val="24"/>
          <w:sz w:val="32"/>
          <w:szCs w:val="32"/>
        </w:rPr>
        <w:t>进一步强化随机抽查制度落实，制定随机抽查事项清单，不断提高抽查工作规范化、标准化水平。2022年起，计划性检查全部纳入</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监管范围，年度抽查结果公开率达到100%，抽查事项清单做到年度全覆盖。积极配合市场监管部门，合理制定联合抽查事项</w:t>
      </w:r>
      <w:r>
        <w:rPr>
          <w:rFonts w:hint="default" w:ascii="Times New Roman" w:hAnsi="Times New Roman" w:eastAsia="方正仿宋_GBK" w:cs="Times New Roman"/>
          <w:spacing w:val="0"/>
          <w:kern w:val="24"/>
          <w:sz w:val="32"/>
          <w:szCs w:val="32"/>
          <w:lang w:eastAsia="zh-CN"/>
        </w:rPr>
        <w:t>，并</w:t>
      </w:r>
      <w:r>
        <w:rPr>
          <w:rFonts w:hint="default" w:ascii="Times New Roman" w:hAnsi="Times New Roman" w:eastAsia="方正仿宋_GBK" w:cs="Times New Roman"/>
          <w:spacing w:val="0"/>
          <w:kern w:val="24"/>
          <w:sz w:val="32"/>
          <w:szCs w:val="32"/>
        </w:rPr>
        <w:t>参与跨部门</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联合抽查，强化同其他监管部门检查结果运用、共享、互认，不断探索联合抽查新模式。</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bCs/>
          <w:spacing w:val="0"/>
          <w:kern w:val="24"/>
          <w:sz w:val="32"/>
          <w:szCs w:val="32"/>
        </w:rPr>
      </w:pPr>
      <w:r>
        <w:rPr>
          <w:rFonts w:hint="default" w:ascii="Times New Roman" w:hAnsi="Times New Roman" w:eastAsia="方正黑体_GBK" w:cs="Times New Roman"/>
          <w:bCs/>
          <w:spacing w:val="0"/>
          <w:kern w:val="24"/>
          <w:sz w:val="32"/>
          <w:szCs w:val="32"/>
        </w:rPr>
        <w:t>三、重点任务</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楷体_GBK" w:cs="Times New Roman"/>
          <w:spacing w:val="0"/>
          <w:kern w:val="24"/>
          <w:sz w:val="32"/>
          <w:szCs w:val="32"/>
        </w:rPr>
        <w:t>（一）全面采取随机抽查方式。</w:t>
      </w:r>
      <w:r>
        <w:rPr>
          <w:rFonts w:hint="default" w:ascii="Times New Roman" w:hAnsi="Times New Roman" w:eastAsia="方正仿宋_GBK" w:cs="Times New Roman"/>
          <w:spacing w:val="0"/>
          <w:kern w:val="24"/>
          <w:sz w:val="32"/>
          <w:szCs w:val="32"/>
        </w:rPr>
        <w:t>除投诉举报、上级部门转办交办、其他部门移送案件、突发环境事件、核安全检查、数据分析或监测发现问题线索等需要对具体被检查对象实施的针对性检查外，其他生态环境领域的计划性检查，包括日常监督管理检查、监督执法检查、专项检查和部门联合检查等活动，均要采取随机抽查的方式。</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仿宋_GBK" w:cs="Times New Roman"/>
          <w:spacing w:val="0"/>
          <w:kern w:val="24"/>
          <w:sz w:val="32"/>
          <w:szCs w:val="32"/>
          <w:lang w:eastAsia="zh-CN"/>
        </w:rPr>
        <w:t>区生态环境局</w:t>
      </w:r>
      <w:r>
        <w:rPr>
          <w:rFonts w:hint="default" w:ascii="Times New Roman" w:hAnsi="Times New Roman" w:eastAsia="方正仿宋_GBK" w:cs="Times New Roman"/>
          <w:spacing w:val="0"/>
          <w:kern w:val="24"/>
          <w:sz w:val="32"/>
          <w:szCs w:val="32"/>
        </w:rPr>
        <w:t>根据权责清单制定完善随机抽查事项清单，水</w:t>
      </w:r>
      <w:r>
        <w:rPr>
          <w:rFonts w:hint="default" w:ascii="Times New Roman" w:hAnsi="Times New Roman" w:eastAsia="方正仿宋_GBK" w:cs="Times New Roman"/>
          <w:spacing w:val="0"/>
          <w:kern w:val="24"/>
          <w:sz w:val="32"/>
          <w:szCs w:val="32"/>
          <w:lang w:val="en-US" w:eastAsia="zh-CN"/>
        </w:rPr>
        <w:t>科</w:t>
      </w:r>
      <w:r>
        <w:rPr>
          <w:rFonts w:hint="default" w:ascii="Times New Roman" w:hAnsi="Times New Roman" w:eastAsia="方正仿宋_GBK" w:cs="Times New Roman"/>
          <w:spacing w:val="0"/>
          <w:kern w:val="24"/>
          <w:sz w:val="32"/>
          <w:szCs w:val="32"/>
        </w:rPr>
        <w:t>、大气</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lang w:val="en-US" w:eastAsia="zh-CN"/>
        </w:rPr>
        <w:t>辐射</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lang w:val="en-US" w:eastAsia="zh-CN"/>
        </w:rPr>
        <w:t>科</w:t>
      </w:r>
      <w:r>
        <w:rPr>
          <w:rFonts w:hint="default" w:ascii="Times New Roman" w:hAnsi="Times New Roman" w:eastAsia="方正仿宋_GBK" w:cs="Times New Roman"/>
          <w:spacing w:val="0"/>
          <w:kern w:val="24"/>
          <w:sz w:val="32"/>
          <w:szCs w:val="32"/>
        </w:rPr>
        <w:t>、土壤</w:t>
      </w:r>
      <w:r>
        <w:rPr>
          <w:rFonts w:hint="default" w:ascii="Times New Roman" w:hAnsi="Times New Roman" w:eastAsia="方正仿宋_GBK" w:cs="Times New Roman"/>
          <w:spacing w:val="0"/>
          <w:kern w:val="24"/>
          <w:sz w:val="32"/>
          <w:szCs w:val="32"/>
          <w:lang w:val="en-US" w:eastAsia="zh-CN"/>
        </w:rPr>
        <w:t>科</w:t>
      </w:r>
      <w:r>
        <w:rPr>
          <w:rFonts w:hint="default" w:ascii="Times New Roman" w:hAnsi="Times New Roman" w:eastAsia="方正仿宋_GBK" w:cs="Times New Roman"/>
          <w:spacing w:val="0"/>
          <w:kern w:val="24"/>
          <w:sz w:val="32"/>
          <w:szCs w:val="32"/>
        </w:rPr>
        <w:t>、</w:t>
      </w:r>
      <w:r>
        <w:rPr>
          <w:rFonts w:hint="default" w:ascii="Times New Roman" w:hAnsi="Times New Roman" w:eastAsia="方正仿宋_GBK" w:cs="Times New Roman"/>
          <w:spacing w:val="0"/>
          <w:kern w:val="24"/>
          <w:sz w:val="32"/>
          <w:szCs w:val="32"/>
          <w:lang w:val="en-US" w:eastAsia="zh-CN"/>
        </w:rPr>
        <w:t>综合管理科</w:t>
      </w:r>
      <w:r>
        <w:rPr>
          <w:rFonts w:hint="default" w:ascii="Times New Roman" w:hAnsi="Times New Roman" w:eastAsia="方正仿宋_GBK" w:cs="Times New Roman"/>
          <w:spacing w:val="0"/>
          <w:kern w:val="24"/>
          <w:sz w:val="32"/>
          <w:szCs w:val="32"/>
        </w:rPr>
        <w:t>、执法</w:t>
      </w:r>
      <w:r>
        <w:rPr>
          <w:rFonts w:hint="default" w:ascii="Times New Roman" w:hAnsi="Times New Roman" w:eastAsia="方正仿宋_GBK" w:cs="Times New Roman"/>
          <w:spacing w:val="0"/>
          <w:kern w:val="24"/>
          <w:sz w:val="32"/>
          <w:szCs w:val="32"/>
          <w:lang w:val="en-US" w:eastAsia="zh-CN"/>
        </w:rPr>
        <w:t>支队、</w:t>
      </w:r>
      <w:r>
        <w:rPr>
          <w:rFonts w:hint="default" w:ascii="Times New Roman" w:hAnsi="Times New Roman" w:eastAsia="方正仿宋_GBK" w:cs="Times New Roman"/>
          <w:spacing w:val="0"/>
          <w:kern w:val="24"/>
          <w:sz w:val="32"/>
          <w:szCs w:val="32"/>
        </w:rPr>
        <w:t>监测</w:t>
      </w:r>
      <w:r>
        <w:rPr>
          <w:rFonts w:hint="default" w:ascii="Times New Roman" w:hAnsi="Times New Roman" w:eastAsia="方正仿宋_GBK" w:cs="Times New Roman"/>
          <w:spacing w:val="0"/>
          <w:kern w:val="24"/>
          <w:sz w:val="32"/>
          <w:szCs w:val="32"/>
          <w:lang w:val="en-US" w:eastAsia="zh-CN"/>
        </w:rPr>
        <w:t>站</w:t>
      </w:r>
      <w:r>
        <w:rPr>
          <w:rFonts w:hint="default" w:ascii="Times New Roman" w:hAnsi="Times New Roman" w:eastAsia="方正仿宋_GBK" w:cs="Times New Roman"/>
          <w:spacing w:val="0"/>
          <w:kern w:val="24"/>
          <w:sz w:val="32"/>
          <w:szCs w:val="32"/>
        </w:rPr>
        <w:t>等相关业务</w:t>
      </w:r>
      <w:r>
        <w:rPr>
          <w:rFonts w:hint="default" w:ascii="Times New Roman" w:hAnsi="Times New Roman" w:eastAsia="方正仿宋_GBK" w:cs="Times New Roman"/>
          <w:spacing w:val="0"/>
          <w:kern w:val="24"/>
          <w:sz w:val="32"/>
          <w:szCs w:val="32"/>
          <w:lang w:val="en-US" w:eastAsia="zh-CN"/>
        </w:rPr>
        <w:t>科室</w:t>
      </w:r>
      <w:r>
        <w:rPr>
          <w:rFonts w:hint="default" w:ascii="Times New Roman" w:hAnsi="Times New Roman" w:eastAsia="方正仿宋_GBK" w:cs="Times New Roman"/>
          <w:spacing w:val="0"/>
          <w:kern w:val="24"/>
          <w:sz w:val="32"/>
          <w:szCs w:val="32"/>
        </w:rPr>
        <w:t>，在对被抽查对象生态环境保护措施落实情况、污染防治设施运行情况、排污许可制度落实及证后执行情况、碳排放情况、辐射安全项目管理情况、固体废物及危险废物管理情况、化学品环境管理情况、建设项目环评及批复落实情况、建设项目</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三同时</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制度落实情况、突发环境事件应急预案备案情况、环境安全隐患情况等进行的检查，均应采取随机抽查的方式。</w:t>
      </w:r>
    </w:p>
    <w:p>
      <w:pPr>
        <w:keepNext w:val="0"/>
        <w:keepLines w:val="0"/>
        <w:pageBreakBefore w:val="0"/>
        <w:widowControl w:val="0"/>
        <w:kinsoku/>
        <w:overflowPunct w:val="0"/>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lang w:val="en-US" w:eastAsia="zh-CN"/>
        </w:rPr>
      </w:pPr>
      <w:r>
        <w:rPr>
          <w:rFonts w:hint="default" w:ascii="Times New Roman" w:hAnsi="Times New Roman" w:eastAsia="方正楷体_GBK" w:cs="Times New Roman"/>
          <w:spacing w:val="0"/>
          <w:kern w:val="24"/>
          <w:sz w:val="32"/>
          <w:szCs w:val="32"/>
        </w:rPr>
        <w:t>（二）动态完善检查对象名录库。</w:t>
      </w:r>
      <w:r>
        <w:rPr>
          <w:rFonts w:hint="default" w:ascii="Times New Roman" w:hAnsi="Times New Roman" w:eastAsia="方正仿宋_GBK" w:cs="Times New Roman"/>
          <w:spacing w:val="0"/>
          <w:kern w:val="24"/>
          <w:sz w:val="32"/>
          <w:szCs w:val="32"/>
          <w:lang w:eastAsia="zh-CN"/>
        </w:rPr>
        <w:t>区生态环境局</w:t>
      </w:r>
      <w:r>
        <w:rPr>
          <w:rFonts w:hint="default" w:ascii="Times New Roman" w:hAnsi="Times New Roman" w:eastAsia="方正仿宋_GBK" w:cs="Times New Roman"/>
          <w:spacing w:val="0"/>
          <w:kern w:val="24"/>
          <w:sz w:val="32"/>
          <w:szCs w:val="32"/>
        </w:rPr>
        <w:t>根据监管执法职责，建立健全以排污许可管理信息为基础，覆盖本行政区域的检查对象名录库。按照差异化管理要求，结合排污许可管理类别、排污单位信用记录和生态环境管理需要等因素，将被检查对象分为一般监管对象、重点监管对象、特殊监管对象三类，并按分区域、行业产业类型、项目建设情况、排污类型、生产规模、生产周期特点、监控类型、重污染天气绩效分级等要素进行标识化管理。要及时对被检查对象的存续变动、停工停产等信息进行修改和补充，实行动态管理。</w:t>
      </w:r>
      <w:r>
        <w:rPr>
          <w:rFonts w:hint="default" w:ascii="Times New Roman" w:hAnsi="Times New Roman" w:eastAsia="方正仿宋_GBK" w:cs="Times New Roman"/>
          <w:spacing w:val="0"/>
          <w:kern w:val="24"/>
          <w:sz w:val="32"/>
          <w:szCs w:val="32"/>
          <w:lang w:eastAsia="zh-CN"/>
        </w:rPr>
        <w:t>区生态环境局</w:t>
      </w:r>
      <w:r>
        <w:rPr>
          <w:rFonts w:hint="default" w:ascii="Times New Roman" w:hAnsi="Times New Roman" w:eastAsia="方正仿宋_GBK" w:cs="Times New Roman"/>
          <w:spacing w:val="0"/>
          <w:kern w:val="24"/>
          <w:sz w:val="32"/>
          <w:szCs w:val="32"/>
        </w:rPr>
        <w:t>要强化移动执法系统在随机抽查中的应用，建立被检查次数年度统计制度，用以评估检查效果和企业守法情况，科学调整检查计划。</w:t>
      </w:r>
      <w:r>
        <w:rPr>
          <w:rFonts w:hint="default" w:ascii="Times New Roman" w:hAnsi="Times New Roman" w:eastAsia="方正仿宋_GBK" w:cs="Times New Roman"/>
          <w:bCs/>
          <w:spacing w:val="0"/>
          <w:sz w:val="32"/>
          <w:szCs w:val="32"/>
        </w:rPr>
        <w:t>各科室</w:t>
      </w:r>
      <w:r>
        <w:rPr>
          <w:rFonts w:hint="default" w:ascii="Times New Roman" w:hAnsi="Times New Roman" w:eastAsia="方正仿宋_GBK" w:cs="Times New Roman"/>
          <w:bCs/>
          <w:spacing w:val="0"/>
          <w:sz w:val="32"/>
          <w:szCs w:val="32"/>
          <w:lang w:eastAsia="zh-CN"/>
        </w:rPr>
        <w:t>，</w:t>
      </w:r>
      <w:r>
        <w:rPr>
          <w:rFonts w:hint="default" w:ascii="Times New Roman" w:hAnsi="Times New Roman" w:eastAsia="方正仿宋_GBK" w:cs="Times New Roman"/>
          <w:bCs/>
          <w:spacing w:val="0"/>
          <w:sz w:val="32"/>
          <w:szCs w:val="32"/>
          <w:lang w:val="en-US" w:eastAsia="zh-CN"/>
        </w:rPr>
        <w:t>执法支队、监测站、宣教中心</w:t>
      </w:r>
      <w:r>
        <w:rPr>
          <w:rFonts w:hint="default" w:ascii="Times New Roman" w:hAnsi="Times New Roman" w:eastAsia="方正仿宋_GBK" w:cs="Times New Roman"/>
          <w:spacing w:val="0"/>
          <w:kern w:val="24"/>
          <w:sz w:val="32"/>
          <w:szCs w:val="32"/>
          <w:lang w:val="en-US" w:eastAsia="zh-CN"/>
        </w:rPr>
        <w:t>要根据附表清单中检查对象于11月15日前完善检查企业名单，由执法支队法制科汇总后，形成南岸区检查对象名录库。</w:t>
      </w:r>
    </w:p>
    <w:p>
      <w:pPr>
        <w:keepNext w:val="0"/>
        <w:keepLines w:val="0"/>
        <w:pageBreakBefore w:val="0"/>
        <w:widowControl w:val="0"/>
        <w:kinsoku/>
        <w:overflowPunct w:val="0"/>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楷体_GBK" w:cs="Times New Roman"/>
          <w:spacing w:val="0"/>
          <w:kern w:val="24"/>
          <w:sz w:val="32"/>
          <w:szCs w:val="32"/>
        </w:rPr>
        <w:t>（三）建立健全检查人员名录库。</w:t>
      </w:r>
      <w:r>
        <w:rPr>
          <w:rFonts w:hint="default" w:ascii="Times New Roman" w:hAnsi="Times New Roman" w:eastAsia="方正仿宋_GBK" w:cs="Times New Roman"/>
          <w:spacing w:val="0"/>
          <w:kern w:val="24"/>
          <w:sz w:val="32"/>
          <w:szCs w:val="32"/>
          <w:lang w:eastAsia="zh-CN"/>
        </w:rPr>
        <w:t>区生态环境局</w:t>
      </w:r>
      <w:r>
        <w:rPr>
          <w:rFonts w:hint="default" w:ascii="Times New Roman" w:hAnsi="Times New Roman" w:eastAsia="方正仿宋_GBK" w:cs="Times New Roman"/>
          <w:spacing w:val="0"/>
          <w:kern w:val="24"/>
          <w:sz w:val="32"/>
          <w:szCs w:val="32"/>
        </w:rPr>
        <w:t>建立健全检查人员名录库，原则上本单位具有行政执法资格的工作人员和从事日常监管的工作人员应全部纳入。检查人员名录库采取标识化管理，按所在区域、工作年限、业务专长、部门岗位等要素分类标注，动态更新人员岗位变动情况。随机抽查过程中，可以通过合理筛选检查人员业务专长的方式，实现检查人员与被检查对象的科学匹配。建立检查人员年度检查次数标记制度，检查表现和履职情况作为评先评优、年度考核的重要依据。探索建立辅助检查人员名录库，包括但不限于被委托（授权）单位、监测检测机构、科研院所和专家专技人员，随机抽查中可抽取或挑选辅助人员参与检查。</w:t>
      </w:r>
      <w:r>
        <w:rPr>
          <w:rFonts w:hint="default" w:ascii="Times New Roman" w:hAnsi="Times New Roman" w:eastAsia="方正仿宋_GBK" w:cs="Times New Roman"/>
          <w:bCs/>
          <w:spacing w:val="0"/>
          <w:sz w:val="32"/>
          <w:szCs w:val="32"/>
        </w:rPr>
        <w:t>各科室</w:t>
      </w:r>
      <w:r>
        <w:rPr>
          <w:rFonts w:hint="default" w:ascii="Times New Roman" w:hAnsi="Times New Roman" w:eastAsia="方正仿宋_GBK" w:cs="Times New Roman"/>
          <w:bCs/>
          <w:spacing w:val="0"/>
          <w:sz w:val="32"/>
          <w:szCs w:val="32"/>
          <w:lang w:eastAsia="zh-CN"/>
        </w:rPr>
        <w:t>，</w:t>
      </w:r>
      <w:r>
        <w:rPr>
          <w:rFonts w:hint="default" w:ascii="Times New Roman" w:hAnsi="Times New Roman" w:eastAsia="方正仿宋_GBK" w:cs="Times New Roman"/>
          <w:bCs/>
          <w:spacing w:val="0"/>
          <w:sz w:val="32"/>
          <w:szCs w:val="32"/>
          <w:lang w:val="en-US" w:eastAsia="zh-CN"/>
        </w:rPr>
        <w:t>执法支队、监测站、宣教中心</w:t>
      </w:r>
      <w:r>
        <w:rPr>
          <w:rFonts w:hint="default" w:ascii="Times New Roman" w:hAnsi="Times New Roman" w:eastAsia="方正仿宋_GBK" w:cs="Times New Roman"/>
          <w:spacing w:val="0"/>
          <w:kern w:val="24"/>
          <w:sz w:val="32"/>
          <w:szCs w:val="32"/>
          <w:lang w:val="en-US" w:eastAsia="zh-CN"/>
        </w:rPr>
        <w:t>于11月15日前上报检查人员名单，由执法支队法制科汇总后，形成南岸区检查人员名录库。</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楷体_GBK" w:cs="Times New Roman"/>
          <w:spacing w:val="0"/>
          <w:kern w:val="24"/>
          <w:sz w:val="32"/>
          <w:szCs w:val="32"/>
        </w:rPr>
        <w:t>（四）分类实施随机抽查。</w:t>
      </w:r>
      <w:r>
        <w:rPr>
          <w:rFonts w:hint="default" w:ascii="Times New Roman" w:hAnsi="Times New Roman" w:eastAsia="方正仿宋_GBK" w:cs="Times New Roman"/>
          <w:spacing w:val="0"/>
          <w:kern w:val="24"/>
          <w:sz w:val="32"/>
          <w:szCs w:val="32"/>
          <w:lang w:eastAsia="zh-CN"/>
        </w:rPr>
        <w:t>区生态环境局</w:t>
      </w:r>
      <w:r>
        <w:rPr>
          <w:rFonts w:hint="default" w:ascii="Times New Roman" w:hAnsi="Times New Roman" w:eastAsia="方正仿宋_GBK" w:cs="Times New Roman"/>
          <w:spacing w:val="0"/>
          <w:kern w:val="24"/>
          <w:sz w:val="32"/>
          <w:szCs w:val="32"/>
        </w:rPr>
        <w:t>在特定时段开展针对特定行业、特定区域的检查时，可以按照被检查对象、检查人员具有的标识，在限定范围内随机抽取被检查对象、匹配检查人员，定向开展随机抽查工作。在开展污染源日常监管检查时，原则上不提前设定范围条件，随机抽取被检查对象，随机选派检查人员。对同一被检查对象开展随机抽查工作的，应组织内部联合抽查；需联合其他监管部门对同一被检查对象随机抽查时，应按照跨部门随机抽查的有关制度，开展联合检查。</w:t>
      </w:r>
    </w:p>
    <w:p>
      <w:pPr>
        <w:keepNext w:val="0"/>
        <w:keepLines w:val="0"/>
        <w:pageBreakBefore w:val="0"/>
        <w:widowControl w:val="0"/>
        <w:kinsoku/>
        <w:overflowPunct w:val="0"/>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楷体_GBK" w:cs="Times New Roman"/>
          <w:spacing w:val="0"/>
          <w:kern w:val="24"/>
          <w:sz w:val="32"/>
          <w:szCs w:val="32"/>
        </w:rPr>
        <w:t>（五）科学设定随机抽查频次。</w:t>
      </w:r>
      <w:r>
        <w:rPr>
          <w:rFonts w:hint="default" w:ascii="Times New Roman" w:hAnsi="Times New Roman" w:eastAsia="方正仿宋_GBK" w:cs="Times New Roman"/>
          <w:spacing w:val="0"/>
          <w:kern w:val="24"/>
          <w:sz w:val="32"/>
          <w:szCs w:val="32"/>
          <w:lang w:eastAsia="zh-CN"/>
        </w:rPr>
        <w:t>区生态环境局</w:t>
      </w:r>
      <w:r>
        <w:rPr>
          <w:rFonts w:hint="default" w:ascii="Times New Roman" w:hAnsi="Times New Roman" w:eastAsia="方正仿宋_GBK" w:cs="Times New Roman"/>
          <w:spacing w:val="0"/>
          <w:kern w:val="24"/>
          <w:sz w:val="32"/>
          <w:szCs w:val="32"/>
        </w:rPr>
        <w:t>根据区域生态环境质量、污染源数量、检查人员数量、行政区面积等，合理确定抽查频次，其中重点监管对象、特殊监管对象等2类随机抽查频次每年不低于1次。在安排随机抽查工作时，按季</w:t>
      </w:r>
      <w:r>
        <w:rPr>
          <w:rFonts w:hint="default" w:ascii="Times New Roman" w:hAnsi="Times New Roman" w:eastAsia="方正仿宋_GBK" w:cs="Times New Roman"/>
          <w:spacing w:val="0"/>
          <w:kern w:val="24"/>
          <w:sz w:val="32"/>
          <w:szCs w:val="32"/>
          <w:lang w:val="en-US" w:eastAsia="zh-CN"/>
        </w:rPr>
        <w:t>度</w:t>
      </w:r>
      <w:r>
        <w:rPr>
          <w:rFonts w:hint="default" w:ascii="Times New Roman" w:hAnsi="Times New Roman" w:eastAsia="方正仿宋_GBK" w:cs="Times New Roman"/>
          <w:spacing w:val="0"/>
          <w:kern w:val="24"/>
          <w:sz w:val="32"/>
          <w:szCs w:val="32"/>
        </w:rPr>
        <w:t>或月</w:t>
      </w:r>
      <w:r>
        <w:rPr>
          <w:rFonts w:hint="default" w:ascii="Times New Roman" w:hAnsi="Times New Roman" w:eastAsia="方正仿宋_GBK" w:cs="Times New Roman"/>
          <w:spacing w:val="0"/>
          <w:kern w:val="24"/>
          <w:sz w:val="32"/>
          <w:szCs w:val="32"/>
          <w:lang w:val="en-US" w:eastAsia="zh-CN"/>
        </w:rPr>
        <w:t>份</w:t>
      </w:r>
      <w:r>
        <w:rPr>
          <w:rFonts w:hint="default" w:ascii="Times New Roman" w:hAnsi="Times New Roman" w:eastAsia="方正仿宋_GBK" w:cs="Times New Roman"/>
          <w:spacing w:val="0"/>
          <w:kern w:val="24"/>
          <w:sz w:val="32"/>
          <w:szCs w:val="32"/>
        </w:rPr>
        <w:t>针对不同类别监管对象设置不同的随机抽查比例</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lang w:val="en-US" w:eastAsia="zh-CN"/>
        </w:rPr>
        <w:t>见附表</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对存在生态环境违法问题、群众普遍反映强烈、社会关注度高、信用评价等级低、有特殊管理需要以及污染防治技术不能稳定达到排污许可证规定的监管对象，可适当增加抽查频次；对环境管理水平高、信用较好、环境风险较低的企业，可适当减少抽查频次。在随机抽查工作中，</w:t>
      </w:r>
      <w:r>
        <w:rPr>
          <w:rFonts w:hint="default" w:ascii="Times New Roman" w:hAnsi="Times New Roman" w:eastAsia="方正仿宋_GBK" w:cs="Times New Roman"/>
          <w:spacing w:val="0"/>
          <w:kern w:val="24"/>
          <w:sz w:val="32"/>
          <w:szCs w:val="32"/>
          <w:lang w:eastAsia="zh-CN"/>
        </w:rPr>
        <w:t>区生态环境局</w:t>
      </w:r>
      <w:r>
        <w:rPr>
          <w:rFonts w:hint="default" w:ascii="Times New Roman" w:hAnsi="Times New Roman" w:eastAsia="方正仿宋_GBK" w:cs="Times New Roman"/>
          <w:spacing w:val="0"/>
          <w:kern w:val="24"/>
          <w:sz w:val="32"/>
          <w:szCs w:val="32"/>
        </w:rPr>
        <w:t>确保抽查质量，避免重复检查。区</w:t>
      </w:r>
      <w:r>
        <w:rPr>
          <w:rFonts w:hint="default" w:ascii="Times New Roman" w:hAnsi="Times New Roman" w:eastAsia="方正仿宋_GBK" w:cs="Times New Roman"/>
          <w:spacing w:val="0"/>
          <w:kern w:val="24"/>
          <w:sz w:val="32"/>
          <w:szCs w:val="32"/>
          <w:lang w:val="en-US" w:eastAsia="zh-CN"/>
        </w:rPr>
        <w:t>生态环境局</w:t>
      </w:r>
      <w:r>
        <w:rPr>
          <w:rFonts w:hint="default" w:ascii="Times New Roman" w:hAnsi="Times New Roman" w:eastAsia="方正仿宋_GBK" w:cs="Times New Roman"/>
          <w:spacing w:val="0"/>
          <w:kern w:val="24"/>
          <w:sz w:val="32"/>
          <w:szCs w:val="32"/>
        </w:rPr>
        <w:t>在抽取被检查对象时，同一年度中已由市级抽查且未发现生态环境问题的，可在随机抽查时予以排除。</w:t>
      </w:r>
      <w:r>
        <w:rPr>
          <w:rFonts w:hint="default" w:ascii="Times New Roman" w:hAnsi="Times New Roman" w:eastAsia="方正仿宋_GBK" w:cs="Times New Roman"/>
          <w:spacing w:val="0"/>
          <w:kern w:val="24"/>
          <w:sz w:val="32"/>
          <w:szCs w:val="32"/>
          <w:lang w:eastAsia="zh-CN"/>
        </w:rPr>
        <w:t>区生态环境局</w:t>
      </w:r>
      <w:r>
        <w:rPr>
          <w:rFonts w:hint="default" w:ascii="Times New Roman" w:hAnsi="Times New Roman" w:eastAsia="方正仿宋_GBK" w:cs="Times New Roman"/>
          <w:spacing w:val="0"/>
          <w:kern w:val="24"/>
          <w:sz w:val="32"/>
          <w:szCs w:val="32"/>
        </w:rPr>
        <w:t>应依据监管职责，结合日常监管和行政执法人员配备情况，以及区域监管重点、风险隐患、行业类型和工作要求等情况，制定年度</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抽查计划，合理确定抽查时间、抽查比例和抽查对象数量。抽查计划原则上应于每年1月底前完成制定、上报和公示工作，以确保严格按计划组织开展抽查检查。</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楷体_GBK" w:cs="Times New Roman"/>
          <w:spacing w:val="0"/>
          <w:kern w:val="24"/>
          <w:sz w:val="32"/>
          <w:szCs w:val="32"/>
        </w:rPr>
        <w:t>（六）依法公开随机抽查结果。</w:t>
      </w:r>
      <w:r>
        <w:rPr>
          <w:rFonts w:hint="default" w:ascii="Times New Roman" w:hAnsi="Times New Roman" w:eastAsia="方正仿宋_GBK" w:cs="Times New Roman"/>
          <w:spacing w:val="0"/>
          <w:kern w:val="24"/>
          <w:sz w:val="32"/>
          <w:szCs w:val="32"/>
        </w:rPr>
        <w:t>按照</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谁检查、谁录入、谁公开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的原则，</w:t>
      </w:r>
      <w:r>
        <w:rPr>
          <w:rFonts w:hint="default" w:ascii="Times New Roman" w:hAnsi="Times New Roman" w:eastAsia="方正仿宋_GBK" w:cs="Times New Roman"/>
          <w:spacing w:val="0"/>
          <w:kern w:val="24"/>
          <w:sz w:val="32"/>
          <w:szCs w:val="32"/>
          <w:lang w:eastAsia="zh-CN"/>
        </w:rPr>
        <w:t>区生态环境局</w:t>
      </w:r>
      <w:r>
        <w:rPr>
          <w:rFonts w:hint="default" w:ascii="Times New Roman" w:hAnsi="Times New Roman" w:eastAsia="方正仿宋_GBK" w:cs="Times New Roman"/>
          <w:spacing w:val="0"/>
          <w:kern w:val="24"/>
          <w:sz w:val="32"/>
          <w:szCs w:val="32"/>
        </w:rPr>
        <w:t>应在随机抽查任务完成后的20个工作日内，主动将检查时间、内容、结果等情况在地方政府或相关部门规定的平台公开。按照检查情况，公开信息可采用</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未发现问题</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发现问题已责令整改</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发现违法行为已立案调查</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等简要方式进行表述。检查结果涉及保密、国家安全、公共安全的，可不予公开。</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spacing w:val="0"/>
          <w:kern w:val="24"/>
          <w:sz w:val="32"/>
          <w:szCs w:val="32"/>
        </w:rPr>
      </w:pPr>
      <w:r>
        <w:rPr>
          <w:rFonts w:hint="default" w:ascii="Times New Roman" w:hAnsi="Times New Roman" w:eastAsia="方正黑体_GBK" w:cs="Times New Roman"/>
          <w:spacing w:val="0"/>
          <w:kern w:val="24"/>
          <w:sz w:val="32"/>
          <w:szCs w:val="32"/>
        </w:rPr>
        <w:t>四、工作要求</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楷体_GBK" w:cs="Times New Roman"/>
          <w:spacing w:val="0"/>
          <w:kern w:val="24"/>
          <w:sz w:val="32"/>
          <w:szCs w:val="32"/>
        </w:rPr>
        <w:t>（一）加强组织领导，严格落实责任。</w:t>
      </w:r>
      <w:r>
        <w:rPr>
          <w:rFonts w:hint="default" w:ascii="Times New Roman" w:hAnsi="Times New Roman" w:eastAsia="方正仿宋_GBK" w:cs="Times New Roman"/>
          <w:spacing w:val="0"/>
          <w:kern w:val="24"/>
          <w:sz w:val="32"/>
          <w:szCs w:val="32"/>
          <w:lang w:eastAsia="zh-CN"/>
        </w:rPr>
        <w:t>区</w:t>
      </w:r>
      <w:r>
        <w:rPr>
          <w:rFonts w:hint="default" w:ascii="Times New Roman" w:hAnsi="Times New Roman" w:eastAsia="方正仿宋_GBK" w:cs="Times New Roman"/>
          <w:spacing w:val="0"/>
          <w:kern w:val="24"/>
          <w:sz w:val="32"/>
          <w:szCs w:val="32"/>
        </w:rPr>
        <w:t>生态环境局负责全</w:t>
      </w:r>
      <w:r>
        <w:rPr>
          <w:rFonts w:hint="default" w:ascii="Times New Roman" w:hAnsi="Times New Roman" w:eastAsia="方正仿宋_GBK" w:cs="Times New Roman"/>
          <w:spacing w:val="0"/>
          <w:kern w:val="24"/>
          <w:sz w:val="32"/>
          <w:szCs w:val="32"/>
          <w:lang w:eastAsia="zh-CN"/>
        </w:rPr>
        <w:t>区</w:t>
      </w:r>
      <w:r>
        <w:rPr>
          <w:rFonts w:hint="default" w:ascii="Times New Roman" w:hAnsi="Times New Roman" w:eastAsia="方正仿宋_GBK" w:cs="Times New Roman"/>
          <w:spacing w:val="0"/>
          <w:kern w:val="24"/>
          <w:sz w:val="32"/>
          <w:szCs w:val="32"/>
        </w:rPr>
        <w:t>生态环境</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监管工作组织领导、统筹协调。</w:t>
      </w:r>
      <w:r>
        <w:rPr>
          <w:rFonts w:hint="default" w:ascii="Times New Roman" w:hAnsi="Times New Roman" w:eastAsia="方正仿宋_GBK" w:cs="Times New Roman"/>
          <w:spacing w:val="0"/>
          <w:kern w:val="24"/>
          <w:sz w:val="32"/>
          <w:szCs w:val="32"/>
          <w:lang w:eastAsia="zh-CN"/>
        </w:rPr>
        <w:t>区</w:t>
      </w:r>
      <w:r>
        <w:rPr>
          <w:rFonts w:hint="default" w:ascii="Times New Roman" w:hAnsi="Times New Roman" w:eastAsia="方正仿宋_GBK" w:cs="Times New Roman"/>
          <w:spacing w:val="0"/>
          <w:kern w:val="24"/>
          <w:sz w:val="32"/>
          <w:szCs w:val="32"/>
        </w:rPr>
        <w:t>生态环境保护综合行政执法</w:t>
      </w:r>
      <w:r>
        <w:rPr>
          <w:rFonts w:hint="default" w:ascii="Times New Roman" w:hAnsi="Times New Roman" w:eastAsia="方正仿宋_GBK" w:cs="Times New Roman"/>
          <w:spacing w:val="0"/>
          <w:kern w:val="24"/>
          <w:sz w:val="32"/>
          <w:szCs w:val="32"/>
          <w:lang w:val="en-US" w:eastAsia="zh-CN"/>
        </w:rPr>
        <w:t>支</w:t>
      </w:r>
      <w:r>
        <w:rPr>
          <w:rFonts w:hint="default" w:ascii="Times New Roman" w:hAnsi="Times New Roman" w:eastAsia="方正仿宋_GBK" w:cs="Times New Roman"/>
          <w:spacing w:val="0"/>
          <w:kern w:val="24"/>
          <w:sz w:val="32"/>
          <w:szCs w:val="32"/>
        </w:rPr>
        <w:t>队具体牵头负责建立健全工作机制，细化目标任务和推进措施，完善生态环境移动执法系统功能，将</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监管工作纳入生态环境执法稽查，确保随机抽查制度落到实处。</w:t>
      </w:r>
      <w:r>
        <w:rPr>
          <w:rFonts w:hint="default" w:ascii="Times New Roman" w:hAnsi="Times New Roman" w:eastAsia="方正仿宋_GBK" w:cs="Times New Roman"/>
          <w:spacing w:val="0"/>
          <w:kern w:val="24"/>
          <w:sz w:val="32"/>
          <w:szCs w:val="32"/>
          <w:lang w:eastAsia="zh-CN"/>
        </w:rPr>
        <w:t>区</w:t>
      </w:r>
      <w:r>
        <w:rPr>
          <w:rFonts w:hint="default" w:ascii="Times New Roman" w:hAnsi="Times New Roman" w:eastAsia="方正仿宋_GBK" w:cs="Times New Roman"/>
          <w:spacing w:val="0"/>
          <w:kern w:val="24"/>
          <w:sz w:val="32"/>
          <w:szCs w:val="32"/>
        </w:rPr>
        <w:t>生态环境</w:t>
      </w:r>
      <w:r>
        <w:rPr>
          <w:rFonts w:hint="default" w:ascii="Times New Roman" w:hAnsi="Times New Roman" w:eastAsia="方正仿宋_GBK" w:cs="Times New Roman"/>
          <w:spacing w:val="0"/>
          <w:kern w:val="24"/>
          <w:sz w:val="32"/>
          <w:szCs w:val="32"/>
          <w:lang w:val="en-US" w:eastAsia="zh-CN"/>
        </w:rPr>
        <w:t>综合管理科</w:t>
      </w:r>
      <w:r>
        <w:rPr>
          <w:rFonts w:hint="default" w:ascii="Times New Roman" w:hAnsi="Times New Roman" w:eastAsia="方正仿宋_GBK" w:cs="Times New Roman"/>
          <w:spacing w:val="0"/>
          <w:kern w:val="24"/>
          <w:sz w:val="32"/>
          <w:szCs w:val="32"/>
        </w:rPr>
        <w:t>、</w:t>
      </w:r>
      <w:r>
        <w:rPr>
          <w:rFonts w:hint="default" w:ascii="Times New Roman" w:hAnsi="Times New Roman" w:eastAsia="方正仿宋_GBK" w:cs="Times New Roman"/>
          <w:spacing w:val="0"/>
          <w:kern w:val="24"/>
          <w:sz w:val="32"/>
          <w:szCs w:val="32"/>
          <w:lang w:val="en-US" w:eastAsia="zh-CN"/>
        </w:rPr>
        <w:t>整改办、</w:t>
      </w:r>
      <w:r>
        <w:rPr>
          <w:rFonts w:hint="default" w:ascii="Times New Roman" w:hAnsi="Times New Roman" w:eastAsia="方正仿宋_GBK" w:cs="Times New Roman"/>
          <w:spacing w:val="0"/>
          <w:kern w:val="24"/>
          <w:sz w:val="32"/>
          <w:szCs w:val="32"/>
        </w:rPr>
        <w:t>水</w:t>
      </w:r>
      <w:r>
        <w:rPr>
          <w:rFonts w:hint="default" w:ascii="Times New Roman" w:hAnsi="Times New Roman" w:eastAsia="方正仿宋_GBK" w:cs="Times New Roman"/>
          <w:spacing w:val="0"/>
          <w:kern w:val="24"/>
          <w:sz w:val="32"/>
          <w:szCs w:val="32"/>
          <w:lang w:val="en-US" w:eastAsia="zh-CN"/>
        </w:rPr>
        <w:t>科</w:t>
      </w:r>
      <w:r>
        <w:rPr>
          <w:rFonts w:hint="default" w:ascii="Times New Roman" w:hAnsi="Times New Roman" w:eastAsia="方正仿宋_GBK" w:cs="Times New Roman"/>
          <w:spacing w:val="0"/>
          <w:kern w:val="24"/>
          <w:sz w:val="32"/>
          <w:szCs w:val="32"/>
        </w:rPr>
        <w:t>、大气</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lang w:val="en-US" w:eastAsia="zh-CN"/>
        </w:rPr>
        <w:t>辐射</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lang w:val="en-US" w:eastAsia="zh-CN"/>
        </w:rPr>
        <w:t>科</w:t>
      </w:r>
      <w:r>
        <w:rPr>
          <w:rFonts w:hint="default" w:ascii="Times New Roman" w:hAnsi="Times New Roman" w:eastAsia="方正仿宋_GBK" w:cs="Times New Roman"/>
          <w:spacing w:val="0"/>
          <w:kern w:val="24"/>
          <w:sz w:val="32"/>
          <w:szCs w:val="32"/>
        </w:rPr>
        <w:t>、土壤</w:t>
      </w:r>
      <w:r>
        <w:rPr>
          <w:rFonts w:hint="default" w:ascii="Times New Roman" w:hAnsi="Times New Roman" w:eastAsia="方正仿宋_GBK" w:cs="Times New Roman"/>
          <w:spacing w:val="0"/>
          <w:kern w:val="24"/>
          <w:sz w:val="32"/>
          <w:szCs w:val="32"/>
          <w:lang w:val="en-US" w:eastAsia="zh-CN"/>
        </w:rPr>
        <w:t>科</w:t>
      </w:r>
      <w:r>
        <w:rPr>
          <w:rFonts w:hint="default" w:ascii="Times New Roman" w:hAnsi="Times New Roman" w:eastAsia="方正仿宋_GBK" w:cs="Times New Roman"/>
          <w:spacing w:val="0"/>
          <w:kern w:val="24"/>
          <w:sz w:val="32"/>
          <w:szCs w:val="32"/>
        </w:rPr>
        <w:t>、监测</w:t>
      </w:r>
      <w:r>
        <w:rPr>
          <w:rFonts w:hint="default" w:ascii="Times New Roman" w:hAnsi="Times New Roman" w:eastAsia="方正仿宋_GBK" w:cs="Times New Roman"/>
          <w:spacing w:val="0"/>
          <w:kern w:val="24"/>
          <w:sz w:val="32"/>
          <w:szCs w:val="32"/>
          <w:lang w:val="en-US" w:eastAsia="zh-CN"/>
        </w:rPr>
        <w:t>站</w:t>
      </w:r>
      <w:r>
        <w:rPr>
          <w:rFonts w:hint="default" w:ascii="Times New Roman" w:hAnsi="Times New Roman" w:eastAsia="方正仿宋_GBK" w:cs="Times New Roman"/>
          <w:spacing w:val="0"/>
          <w:kern w:val="24"/>
          <w:sz w:val="32"/>
          <w:szCs w:val="32"/>
        </w:rPr>
        <w:t>等相关</w:t>
      </w:r>
      <w:r>
        <w:rPr>
          <w:rFonts w:hint="default" w:ascii="Times New Roman" w:hAnsi="Times New Roman" w:eastAsia="方正仿宋_GBK" w:cs="Times New Roman"/>
          <w:spacing w:val="0"/>
          <w:kern w:val="24"/>
          <w:sz w:val="32"/>
          <w:szCs w:val="32"/>
          <w:lang w:val="en-US" w:eastAsia="zh-CN"/>
        </w:rPr>
        <w:t>科室</w:t>
      </w:r>
      <w:r>
        <w:rPr>
          <w:rFonts w:hint="default" w:ascii="Times New Roman" w:hAnsi="Times New Roman" w:eastAsia="方正仿宋_GBK" w:cs="Times New Roman"/>
          <w:spacing w:val="0"/>
          <w:kern w:val="24"/>
          <w:sz w:val="32"/>
          <w:szCs w:val="32"/>
        </w:rPr>
        <w:t>要加强对各领域随机抽查工作的指导，执法</w:t>
      </w:r>
      <w:r>
        <w:rPr>
          <w:rFonts w:hint="default" w:ascii="Times New Roman" w:hAnsi="Times New Roman" w:eastAsia="方正仿宋_GBK" w:cs="Times New Roman"/>
          <w:spacing w:val="0"/>
          <w:kern w:val="24"/>
          <w:sz w:val="32"/>
          <w:szCs w:val="32"/>
          <w:lang w:eastAsia="zh-CN"/>
        </w:rPr>
        <w:t>支</w:t>
      </w:r>
      <w:r>
        <w:rPr>
          <w:rFonts w:hint="default" w:ascii="Times New Roman" w:hAnsi="Times New Roman" w:eastAsia="方正仿宋_GBK" w:cs="Times New Roman"/>
          <w:spacing w:val="0"/>
          <w:kern w:val="24"/>
          <w:sz w:val="32"/>
          <w:szCs w:val="32"/>
        </w:rPr>
        <w:t>队牵头制定</w:t>
      </w:r>
      <w:r>
        <w:rPr>
          <w:rFonts w:hint="default" w:ascii="Times New Roman" w:hAnsi="Times New Roman" w:eastAsia="方正仿宋_GBK" w:cs="Times New Roman"/>
          <w:spacing w:val="0"/>
          <w:kern w:val="24"/>
          <w:sz w:val="32"/>
          <w:szCs w:val="32"/>
          <w:lang w:eastAsia="zh-CN"/>
        </w:rPr>
        <w:t>区</w:t>
      </w:r>
      <w:r>
        <w:rPr>
          <w:rFonts w:hint="default" w:ascii="Times New Roman" w:hAnsi="Times New Roman" w:eastAsia="方正仿宋_GBK" w:cs="Times New Roman"/>
          <w:spacing w:val="0"/>
          <w:kern w:val="24"/>
          <w:sz w:val="32"/>
          <w:szCs w:val="32"/>
        </w:rPr>
        <w:t>级相关随机抽查事项清单，抽查事项发起的相关</w:t>
      </w:r>
      <w:r>
        <w:rPr>
          <w:rFonts w:hint="default" w:ascii="Times New Roman" w:hAnsi="Times New Roman" w:eastAsia="方正仿宋_GBK" w:cs="Times New Roman"/>
          <w:spacing w:val="0"/>
          <w:kern w:val="24"/>
          <w:sz w:val="32"/>
          <w:szCs w:val="32"/>
          <w:lang w:val="en-US" w:eastAsia="zh-CN"/>
        </w:rPr>
        <w:t>科室</w:t>
      </w:r>
      <w:r>
        <w:rPr>
          <w:rFonts w:hint="default" w:ascii="Times New Roman" w:hAnsi="Times New Roman" w:eastAsia="方正仿宋_GBK" w:cs="Times New Roman"/>
          <w:spacing w:val="0"/>
          <w:kern w:val="24"/>
          <w:sz w:val="32"/>
          <w:szCs w:val="32"/>
        </w:rPr>
        <w:t>负责组织实施；</w:t>
      </w:r>
      <w:r>
        <w:rPr>
          <w:rFonts w:hint="default" w:ascii="Times New Roman" w:hAnsi="Times New Roman" w:eastAsia="方正仿宋_GBK" w:cs="Times New Roman"/>
          <w:spacing w:val="0"/>
          <w:kern w:val="24"/>
          <w:sz w:val="32"/>
          <w:szCs w:val="32"/>
          <w:lang w:eastAsia="zh-CN"/>
        </w:rPr>
        <w:t>区</w:t>
      </w:r>
      <w:r>
        <w:rPr>
          <w:rFonts w:hint="default" w:ascii="Times New Roman" w:hAnsi="Times New Roman" w:eastAsia="方正仿宋_GBK" w:cs="Times New Roman"/>
          <w:spacing w:val="0"/>
          <w:kern w:val="24"/>
          <w:sz w:val="32"/>
          <w:szCs w:val="32"/>
        </w:rPr>
        <w:t>生态环境</w:t>
      </w:r>
      <w:r>
        <w:rPr>
          <w:rFonts w:hint="default" w:ascii="Times New Roman" w:hAnsi="Times New Roman" w:eastAsia="方正仿宋_GBK" w:cs="Times New Roman"/>
          <w:spacing w:val="0"/>
          <w:kern w:val="24"/>
          <w:sz w:val="32"/>
          <w:szCs w:val="32"/>
          <w:lang w:val="en-US" w:eastAsia="zh-CN"/>
        </w:rPr>
        <w:t>宣教</w:t>
      </w:r>
      <w:r>
        <w:rPr>
          <w:rFonts w:hint="default" w:ascii="Times New Roman" w:hAnsi="Times New Roman" w:eastAsia="方正仿宋_GBK" w:cs="Times New Roman"/>
          <w:spacing w:val="0"/>
          <w:kern w:val="24"/>
          <w:sz w:val="32"/>
          <w:szCs w:val="32"/>
        </w:rPr>
        <w:t>中心牵头负责生态环境系统内部，以及与其他监管部门的信息系统数据对接。</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楷体_GBK" w:cs="Times New Roman"/>
          <w:spacing w:val="0"/>
          <w:kern w:val="24"/>
          <w:sz w:val="32"/>
          <w:szCs w:val="32"/>
        </w:rPr>
        <w:t>（二）强化制度衔接，形成工作合力。</w:t>
      </w:r>
      <w:r>
        <w:rPr>
          <w:rFonts w:hint="default" w:ascii="Times New Roman" w:hAnsi="Times New Roman" w:eastAsia="方正仿宋_GBK" w:cs="Times New Roman"/>
          <w:spacing w:val="0"/>
          <w:kern w:val="24"/>
          <w:sz w:val="32"/>
          <w:szCs w:val="32"/>
          <w:lang w:val="en-US" w:eastAsia="zh-CN"/>
        </w:rPr>
        <w:t>配合市局</w:t>
      </w:r>
      <w:r>
        <w:rPr>
          <w:rFonts w:hint="default" w:ascii="Times New Roman" w:hAnsi="Times New Roman" w:eastAsia="方正仿宋_GBK" w:cs="Times New Roman"/>
          <w:spacing w:val="0"/>
          <w:kern w:val="24"/>
          <w:sz w:val="32"/>
          <w:szCs w:val="32"/>
        </w:rPr>
        <w:t>要将生态环境移动执法系统作为开展随机抽查工作的主要手段，推进</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信息平台与全国排污许可证管理信息平台、环境行政处罚案件办理信息系统等平台融合，推进与企业信用信息公示系统、其他市场监管领域部门</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监管工作平台的数据衔接，形成合力。</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监管工作的抽查事项清单制定、随机抽取、检查实施、全过程记录、结果公开公示等环节，要加强与监督执法正面清单、信用监管、排污许可管理、重污染天气应对、跨部门联合抽查等制度的统筹衔接，避免多头监管、重复检查。</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楷体_GBK" w:cs="Times New Roman"/>
          <w:spacing w:val="0"/>
          <w:kern w:val="24"/>
          <w:sz w:val="32"/>
          <w:szCs w:val="32"/>
        </w:rPr>
        <w:t>（三）规范检查行为，提高素质能力。</w:t>
      </w:r>
      <w:r>
        <w:rPr>
          <w:rFonts w:hint="default" w:ascii="Times New Roman" w:hAnsi="Times New Roman" w:eastAsia="方正仿宋_GBK" w:cs="Times New Roman"/>
          <w:spacing w:val="0"/>
          <w:kern w:val="24"/>
          <w:sz w:val="32"/>
          <w:szCs w:val="32"/>
          <w:lang w:eastAsia="zh-CN"/>
        </w:rPr>
        <w:t>区生态环境局</w:t>
      </w:r>
      <w:r>
        <w:rPr>
          <w:rFonts w:hint="default" w:ascii="Times New Roman" w:hAnsi="Times New Roman" w:eastAsia="方正仿宋_GBK" w:cs="Times New Roman"/>
          <w:spacing w:val="0"/>
          <w:kern w:val="24"/>
          <w:sz w:val="32"/>
          <w:szCs w:val="32"/>
        </w:rPr>
        <w:t>要注重进一步提高监管工作人员和执法人员的业务素质，不断提高</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相关信息系统的操作技能和工作水平，推动提高抽查检查、结果录入、会商研判、审核批准、公示发布等环节的制度化、标准化水平。现场检查时，检查人员应向被检查对象表明身份，说明检查依据、检查目的，按照既定检查内容和工作流程开展检查。检查过程中，检查人员应遵守工作纪律、廉洁纪律、保密纪律，遵守被检查对象安全防护等相关规定。监管工作人员现场发现违法行为的，应及时移交移送执法部门。检查发现属于其他部门管辖的，应按规定程序及时移交处理。</w:t>
      </w:r>
    </w:p>
    <w:p>
      <w:pPr>
        <w:keepNext w:val="0"/>
        <w:keepLines w:val="0"/>
        <w:pageBreakBefore w:val="0"/>
        <w:widowControl w:val="0"/>
        <w:kinsoku/>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小标宋_GBK" w:cs="Times New Roman"/>
          <w:spacing w:val="0"/>
          <w:kern w:val="24"/>
          <w:sz w:val="32"/>
          <w:szCs w:val="32"/>
        </w:rPr>
      </w:pPr>
      <w:r>
        <w:rPr>
          <w:rFonts w:hint="default" w:ascii="Times New Roman" w:hAnsi="Times New Roman" w:eastAsia="方正楷体_GBK" w:cs="Times New Roman"/>
          <w:spacing w:val="0"/>
          <w:kern w:val="24"/>
          <w:sz w:val="32"/>
          <w:szCs w:val="32"/>
        </w:rPr>
        <w:t>（四）加强宣传引导和经验总结。</w:t>
      </w:r>
      <w:r>
        <w:rPr>
          <w:rFonts w:hint="default" w:ascii="Times New Roman" w:hAnsi="Times New Roman" w:eastAsia="方正仿宋_GBK" w:cs="Times New Roman"/>
          <w:spacing w:val="0"/>
          <w:kern w:val="24"/>
          <w:sz w:val="32"/>
          <w:szCs w:val="32"/>
        </w:rPr>
        <w:t>要充分利用报纸、宣传册、电视、网络、新闻媒体等多种方式和载体向社会宣传生态环境</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监管的重要意义、主要内容和进展成效，提升生态环境</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监管工作的社会影响力和公众知晓度，营造良好的社会氛围。</w:t>
      </w:r>
      <w:r>
        <w:rPr>
          <w:rFonts w:hint="default" w:ascii="Times New Roman" w:hAnsi="Times New Roman" w:eastAsia="方正仿宋_GBK" w:cs="Times New Roman"/>
          <w:spacing w:val="0"/>
          <w:kern w:val="24"/>
          <w:sz w:val="32"/>
          <w:szCs w:val="32"/>
          <w:lang w:eastAsia="zh-CN"/>
        </w:rPr>
        <w:t>区生态环境局</w:t>
      </w:r>
      <w:r>
        <w:rPr>
          <w:rFonts w:hint="default" w:ascii="Times New Roman" w:hAnsi="Times New Roman" w:eastAsia="方正仿宋_GBK" w:cs="Times New Roman"/>
          <w:spacing w:val="0"/>
          <w:kern w:val="24"/>
          <w:sz w:val="32"/>
          <w:szCs w:val="32"/>
        </w:rPr>
        <w:t>要强化</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双随机、一公开</w:t>
      </w:r>
      <w:r>
        <w:rPr>
          <w:rFonts w:hint="default" w:ascii="Times New Roman" w:hAnsi="Times New Roman" w:eastAsia="方正仿宋_GBK" w:cs="Times New Roman"/>
          <w:spacing w:val="0"/>
          <w:kern w:val="24"/>
          <w:sz w:val="32"/>
          <w:szCs w:val="32"/>
          <w:lang w:eastAsia="zh-CN"/>
        </w:rPr>
        <w:t>”</w:t>
      </w:r>
      <w:r>
        <w:rPr>
          <w:rFonts w:hint="default" w:ascii="Times New Roman" w:hAnsi="Times New Roman" w:eastAsia="方正仿宋_GBK" w:cs="Times New Roman"/>
          <w:spacing w:val="0"/>
          <w:kern w:val="24"/>
          <w:sz w:val="32"/>
          <w:szCs w:val="32"/>
        </w:rPr>
        <w:t>监管工作问题梳理和经验总结，有关情况及时报告市生态环境局。</w:t>
      </w:r>
    </w:p>
    <w:p>
      <w:pPr>
        <w:pStyle w:val="11"/>
        <w:keepNext w:val="0"/>
        <w:keepLines w:val="0"/>
        <w:pageBreakBefore w:val="0"/>
        <w:widowControl/>
        <w:kinsoku/>
        <w:wordWrap/>
        <w:overflowPunct/>
        <w:topLinePunct w:val="0"/>
        <w:autoSpaceDE/>
        <w:autoSpaceDN/>
        <w:bidi w:val="0"/>
        <w:adjustRightInd/>
        <w:snapToGrid/>
        <w:spacing w:line="596" w:lineRule="exact"/>
        <w:ind w:firstLine="645"/>
        <w:jc w:val="right"/>
        <w:textAlignment w:val="auto"/>
        <w:rPr>
          <w:rFonts w:hint="default" w:ascii="Times New Roman" w:hAnsi="Times New Roman" w:eastAsia="仿宋_GB2312" w:cs="Times New Roman"/>
          <w:sz w:val="32"/>
          <w:szCs w:val="32"/>
        </w:rPr>
      </w:pPr>
    </w:p>
    <w:p>
      <w:pPr>
        <w:ind w:firstLine="640" w:firstLineChars="200"/>
        <w:rPr>
          <w:rFonts w:hint="default" w:ascii="Times New Roman" w:hAnsi="Times New Roman" w:eastAsia="方正仿宋_GBK" w:cs="Times New Roman"/>
          <w:kern w:val="24"/>
          <w:sz w:val="32"/>
          <w:szCs w:val="32"/>
          <w:lang w:eastAsia="zh-CN"/>
        </w:rPr>
      </w:pPr>
      <w:r>
        <w:rPr>
          <w:rFonts w:hint="default" w:ascii="Times New Roman" w:hAnsi="Times New Roman" w:eastAsia="方正仿宋_GBK" w:cs="Times New Roman"/>
          <w:kern w:val="24"/>
          <w:sz w:val="32"/>
          <w:szCs w:val="32"/>
          <w:lang w:val="en-US" w:eastAsia="zh-CN"/>
        </w:rPr>
        <w:t>附</w:t>
      </w:r>
      <w:r>
        <w:rPr>
          <w:rFonts w:hint="eastAsia" w:ascii="Times New Roman" w:hAnsi="Times New Roman" w:eastAsia="方正仿宋_GBK" w:cs="Times New Roman"/>
          <w:kern w:val="24"/>
          <w:sz w:val="32"/>
          <w:szCs w:val="32"/>
          <w:lang w:val="en-US" w:eastAsia="zh-CN"/>
        </w:rPr>
        <w:t>件</w:t>
      </w:r>
      <w:r>
        <w:rPr>
          <w:rFonts w:hint="default" w:ascii="Times New Roman" w:hAnsi="Times New Roman" w:eastAsia="方正仿宋_GBK" w:cs="Times New Roman"/>
          <w:kern w:val="24"/>
          <w:sz w:val="32"/>
          <w:szCs w:val="32"/>
          <w:lang w:val="en-US" w:eastAsia="zh-CN"/>
        </w:rPr>
        <w:t>：1.南岸区</w:t>
      </w:r>
      <w:r>
        <w:rPr>
          <w:rFonts w:hint="default" w:ascii="Times New Roman" w:hAnsi="Times New Roman" w:eastAsia="方正仿宋_GBK" w:cs="Times New Roman"/>
          <w:kern w:val="24"/>
          <w:sz w:val="32"/>
          <w:szCs w:val="32"/>
        </w:rPr>
        <w:t>生态环境随机抽查事项清单</w:t>
      </w:r>
      <w:r>
        <w:rPr>
          <w:rFonts w:hint="default" w:ascii="Times New Roman" w:hAnsi="Times New Roman" w:eastAsia="方正仿宋_GBK" w:cs="Times New Roman"/>
          <w:kern w:val="24"/>
          <w:sz w:val="32"/>
          <w:szCs w:val="32"/>
          <w:lang w:eastAsia="zh-CN"/>
        </w:rPr>
        <w:t>；</w:t>
      </w:r>
    </w:p>
    <w:p>
      <w:pPr>
        <w:rPr>
          <w:rFonts w:hint="default" w:ascii="Times New Roman" w:hAnsi="Times New Roman" w:eastAsia="方正仿宋_GBK" w:cs="Times New Roman"/>
          <w:kern w:val="24"/>
          <w:sz w:val="32"/>
          <w:szCs w:val="32"/>
          <w:lang w:val="en-US" w:eastAsia="zh-CN"/>
        </w:rPr>
      </w:pPr>
      <w:r>
        <w:rPr>
          <w:rFonts w:hint="default" w:ascii="Times New Roman" w:hAnsi="Times New Roman" w:eastAsia="方正仿宋_GBK" w:cs="Times New Roman"/>
          <w:kern w:val="24"/>
          <w:sz w:val="32"/>
          <w:szCs w:val="32"/>
          <w:lang w:val="en-US" w:eastAsia="zh-CN"/>
        </w:rPr>
        <w:t xml:space="preserve">      </w:t>
      </w:r>
      <w:r>
        <w:rPr>
          <w:rFonts w:hint="eastAsia" w:ascii="Times New Roman" w:hAnsi="Times New Roman" w:eastAsia="方正仿宋_GBK" w:cs="Times New Roman"/>
          <w:kern w:val="24"/>
          <w:sz w:val="32"/>
          <w:szCs w:val="32"/>
          <w:lang w:val="en-US" w:eastAsia="zh-CN"/>
        </w:rPr>
        <w:t xml:space="preserve">    </w:t>
      </w:r>
      <w:r>
        <w:rPr>
          <w:rFonts w:hint="default" w:ascii="Times New Roman" w:hAnsi="Times New Roman" w:eastAsia="方正仿宋_GBK" w:cs="Times New Roman"/>
          <w:kern w:val="24"/>
          <w:sz w:val="32"/>
          <w:szCs w:val="32"/>
          <w:lang w:val="en-US" w:eastAsia="zh-CN"/>
        </w:rPr>
        <w:t>2.南岸区“双随机、一公开”两库名单。</w:t>
      </w: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418" w:left="1418" w:header="851" w:footer="992" w:gutter="0"/>
          <w:pgNumType w:fmt="numberInDash"/>
          <w:cols w:space="720" w:num="1"/>
          <w:docGrid w:type="lines" w:linePitch="312" w:charSpace="0"/>
        </w:sectPr>
      </w:pPr>
    </w:p>
    <w:p>
      <w:pPr>
        <w:spacing w:line="600" w:lineRule="exact"/>
        <w:jc w:val="left"/>
        <w:rPr>
          <w:rFonts w:hint="default" w:ascii="Times New Roman" w:hAnsi="Times New Roman" w:eastAsia="方正黑体_GBK" w:cs="Times New Roman"/>
          <w:kern w:val="24"/>
          <w:sz w:val="32"/>
          <w:szCs w:val="32"/>
          <w:lang w:val="en-US" w:eastAsia="zh-CN"/>
        </w:rPr>
      </w:pPr>
      <w:r>
        <w:rPr>
          <w:rFonts w:hint="default" w:ascii="Times New Roman" w:hAnsi="Times New Roman" w:eastAsia="方正黑体_GBK" w:cs="Times New Roman"/>
          <w:kern w:val="24"/>
          <w:sz w:val="32"/>
          <w:szCs w:val="32"/>
        </w:rPr>
        <w:t>附</w:t>
      </w:r>
      <w:r>
        <w:rPr>
          <w:rFonts w:hint="eastAsia" w:ascii="Times New Roman" w:hAnsi="Times New Roman" w:eastAsia="方正黑体_GBK" w:cs="Times New Roman"/>
          <w:kern w:val="24"/>
          <w:sz w:val="32"/>
          <w:szCs w:val="32"/>
          <w:lang w:val="en-US" w:eastAsia="zh-CN"/>
        </w:rPr>
        <w:t>件</w:t>
      </w:r>
      <w:r>
        <w:rPr>
          <w:rFonts w:hint="default" w:ascii="Times New Roman" w:hAnsi="Times New Roman" w:eastAsia="方正黑体_GBK" w:cs="Times New Roman"/>
          <w:kern w:val="24"/>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118" w:beforeLines="20" w:after="176" w:afterLines="30" w:line="600" w:lineRule="exact"/>
        <w:jc w:val="center"/>
        <w:textAlignment w:val="auto"/>
        <w:outlineLvl w:val="9"/>
        <w:rPr>
          <w:rFonts w:hint="default" w:ascii="Times New Roman" w:hAnsi="Times New Roman" w:eastAsia="方正仿宋_GBK" w:cs="Times New Roman"/>
          <w:kern w:val="24"/>
          <w:sz w:val="44"/>
          <w:szCs w:val="44"/>
        </w:rPr>
      </w:pPr>
      <w:r>
        <w:rPr>
          <w:rFonts w:hint="default" w:ascii="Times New Roman" w:hAnsi="Times New Roman" w:eastAsia="方正小标宋_GBK" w:cs="Times New Roman"/>
          <w:kern w:val="24"/>
          <w:sz w:val="44"/>
          <w:szCs w:val="44"/>
          <w:lang w:val="en-US" w:eastAsia="zh-CN"/>
        </w:rPr>
        <w:t>南岸区</w:t>
      </w:r>
      <w:r>
        <w:rPr>
          <w:rFonts w:hint="default" w:ascii="Times New Roman" w:hAnsi="Times New Roman" w:eastAsia="方正小标宋_GBK" w:cs="Times New Roman"/>
          <w:kern w:val="24"/>
          <w:sz w:val="44"/>
          <w:szCs w:val="44"/>
        </w:rPr>
        <w:t>生态环境随机抽查事项清单</w:t>
      </w:r>
    </w:p>
    <w:tbl>
      <w:tblPr>
        <w:tblStyle w:val="7"/>
        <w:tblW w:w="14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37"/>
        <w:gridCol w:w="1712"/>
        <w:gridCol w:w="4609"/>
        <w:gridCol w:w="2880"/>
        <w:gridCol w:w="1154"/>
        <w:gridCol w:w="1577"/>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blHeader/>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序号</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发起部门</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抽查事项名称</w:t>
            </w:r>
          </w:p>
        </w:tc>
        <w:tc>
          <w:tcPr>
            <w:tcW w:w="46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检查内容</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检查对象</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抽查频次</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抽查比例</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抽取对象数量（家）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5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w:t>
            </w:r>
          </w:p>
        </w:tc>
        <w:tc>
          <w:tcPr>
            <w:tcW w:w="11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lang w:eastAsia="zh-CN"/>
              </w:rPr>
            </w:pPr>
            <w:r>
              <w:rPr>
                <w:rFonts w:hint="default" w:ascii="Times New Roman" w:hAnsi="Times New Roman" w:eastAsia="方正仿宋_GBK" w:cs="Times New Roman"/>
                <w:sz w:val="24"/>
                <w:lang w:val="en-US" w:eastAsia="zh-CN"/>
              </w:rPr>
              <w:t>水科</w:t>
            </w:r>
          </w:p>
        </w:tc>
        <w:tc>
          <w:tcPr>
            <w:tcW w:w="17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水污染防治设施运行情况</w:t>
            </w:r>
          </w:p>
        </w:tc>
        <w:tc>
          <w:tcPr>
            <w:tcW w:w="46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51" w:rightChars="-25"/>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1.是否有排污许可证。</w:t>
            </w:r>
          </w:p>
          <w:p>
            <w:pPr>
              <w:spacing w:line="320" w:lineRule="exact"/>
              <w:ind w:right="-51" w:rightChars="-25"/>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2.入河排污口设置是否审批。</w:t>
            </w:r>
          </w:p>
          <w:p>
            <w:pPr>
              <w:spacing w:line="320" w:lineRule="exact"/>
              <w:ind w:right="-51" w:rightChars="-25"/>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3.污水排放是否达标。</w:t>
            </w:r>
          </w:p>
          <w:p>
            <w:pPr>
              <w:spacing w:line="320" w:lineRule="exact"/>
              <w:ind w:right="-51" w:rightChars="-25"/>
              <w:rPr>
                <w:rFonts w:hint="default" w:ascii="Times New Roman" w:hAnsi="Times New Roman" w:eastAsia="方正仿宋_GBK" w:cs="Times New Roman"/>
                <w:sz w:val="24"/>
              </w:rPr>
            </w:pPr>
            <w:r>
              <w:rPr>
                <w:rFonts w:hint="default" w:ascii="Times New Roman" w:hAnsi="Times New Roman" w:eastAsia="方正仿宋_GBK" w:cs="Times New Roman"/>
                <w:color w:val="000000"/>
                <w:sz w:val="24"/>
              </w:rPr>
              <w:t>4.是否安装在线监测设施</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1.</w:t>
            </w:r>
            <w:r>
              <w:rPr>
                <w:rFonts w:hint="default" w:ascii="Times New Roman" w:hAnsi="Times New Roman" w:eastAsia="方正仿宋_GBK" w:cs="Times New Roman"/>
                <w:color w:val="000000"/>
                <w:sz w:val="24"/>
              </w:rPr>
              <w:t>城市、建制乡镇污水处理厂</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1次/年</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5</w:t>
            </w:r>
            <w:r>
              <w:rPr>
                <w:rFonts w:hint="default" w:ascii="Times New Roman" w:hAnsi="Times New Roman" w:eastAsia="方正仿宋_GBK" w:cs="Times New Roman"/>
                <w:sz w:val="24"/>
                <w:lang w:val="en-US" w:eastAsia="zh-CN"/>
              </w:rPr>
              <w:t>0</w:t>
            </w:r>
            <w:r>
              <w:rPr>
                <w:rFonts w:hint="default" w:ascii="Times New Roman" w:hAnsi="Times New Roman" w:eastAsia="方正仿宋_GBK" w:cs="Times New Roman"/>
                <w:sz w:val="24"/>
              </w:rPr>
              <w:t>%</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000000"/>
                <w:sz w:val="24"/>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c>
          <w:tcPr>
            <w:tcW w:w="17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c>
          <w:tcPr>
            <w:tcW w:w="46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z w:val="24"/>
              </w:rPr>
            </w:pPr>
            <w:r>
              <w:rPr>
                <w:rFonts w:hint="default" w:ascii="Times New Roman" w:hAnsi="Times New Roman" w:eastAsia="方正仿宋_GBK" w:cs="Times New Roman"/>
                <w:color w:val="000000"/>
                <w:sz w:val="24"/>
                <w:lang w:val="en-US" w:eastAsia="zh-CN"/>
              </w:rPr>
              <w:t>2</w:t>
            </w:r>
            <w:r>
              <w:rPr>
                <w:rFonts w:hint="default" w:ascii="Times New Roman" w:hAnsi="Times New Roman" w:eastAsia="方正仿宋_GBK" w:cs="Times New Roman"/>
                <w:sz w:val="24"/>
              </w:rPr>
              <w:t>.</w:t>
            </w:r>
            <w:r>
              <w:rPr>
                <w:rFonts w:hint="default" w:ascii="Times New Roman" w:hAnsi="Times New Roman" w:eastAsia="方正仿宋_GBK" w:cs="Times New Roman"/>
                <w:color w:val="000000"/>
                <w:sz w:val="24"/>
              </w:rPr>
              <w:t>涉水重点工业企业污水处理设施</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1次/年</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25</w:t>
            </w:r>
            <w:r>
              <w:rPr>
                <w:rFonts w:hint="default" w:ascii="Times New Roman" w:hAnsi="Times New Roman" w:eastAsia="方正仿宋_GBK" w:cs="Times New Roman"/>
                <w:sz w:val="24"/>
              </w:rPr>
              <w:t>%</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5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2</w:t>
            </w:r>
          </w:p>
        </w:tc>
        <w:tc>
          <w:tcPr>
            <w:tcW w:w="1137" w:type="dxa"/>
            <w:vMerge w:val="restart"/>
            <w:tcBorders>
              <w:top w:val="single" w:color="auto" w:sz="4" w:space="0"/>
              <w:left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lang w:eastAsia="zh-CN"/>
              </w:rPr>
            </w:pPr>
            <w:r>
              <w:rPr>
                <w:rFonts w:hint="default" w:ascii="Times New Roman" w:hAnsi="Times New Roman" w:eastAsia="方正仿宋_GBK" w:cs="Times New Roman"/>
                <w:sz w:val="24"/>
              </w:rPr>
              <w:t>大气</w:t>
            </w:r>
            <w:r>
              <w:rPr>
                <w:rFonts w:hint="default" w:ascii="Times New Roman" w:hAnsi="Times New Roman" w:eastAsia="方正仿宋_GBK" w:cs="Times New Roman"/>
                <w:sz w:val="24"/>
                <w:lang w:val="en-US" w:eastAsia="zh-CN"/>
              </w:rPr>
              <w:t>科 （辐射科）</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大气污染防治设施运行情况</w:t>
            </w: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w:t>
            </w:r>
            <w:r>
              <w:rPr>
                <w:rFonts w:hint="default" w:ascii="Times New Roman" w:hAnsi="Times New Roman" w:eastAsia="方正仿宋_GBK" w:cs="Times New Roman"/>
                <w:color w:val="000000"/>
                <w:sz w:val="24"/>
              </w:rPr>
              <w:t>.</w:t>
            </w:r>
            <w:r>
              <w:rPr>
                <w:rFonts w:hint="default" w:ascii="Times New Roman" w:hAnsi="Times New Roman" w:eastAsia="方正仿宋_GBK" w:cs="Times New Roman"/>
                <w:sz w:val="24"/>
              </w:rPr>
              <w:t>污染治理设施运行和污染物排放状况。</w:t>
            </w:r>
          </w:p>
          <w:p>
            <w:pPr>
              <w:spacing w:line="320" w:lineRule="exact"/>
              <w:ind w:left="-51" w:leftChars="-25" w:right="-51" w:rightChars="-25"/>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2</w:t>
            </w:r>
            <w:r>
              <w:rPr>
                <w:rFonts w:hint="default" w:ascii="Times New Roman" w:hAnsi="Times New Roman" w:eastAsia="方正仿宋_GBK" w:cs="Times New Roman"/>
                <w:color w:val="000000"/>
                <w:sz w:val="24"/>
              </w:rPr>
              <w:t>.</w:t>
            </w:r>
            <w:r>
              <w:rPr>
                <w:rFonts w:hint="default" w:ascii="Times New Roman" w:hAnsi="Times New Roman" w:eastAsia="方正仿宋_GBK" w:cs="Times New Roman"/>
                <w:sz w:val="24"/>
              </w:rPr>
              <w:t>是否建立环境管理台账。</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涉气重点企业、城区涉挥发性有机物企业、油库加油站。</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1次/年</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10</w:t>
            </w:r>
            <w:r>
              <w:rPr>
                <w:rFonts w:hint="default" w:ascii="Times New Roman" w:hAnsi="Times New Roman" w:eastAsia="方正仿宋_GBK" w:cs="Times New Roman"/>
                <w:sz w:val="24"/>
              </w:rPr>
              <w:t>%</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7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000000"/>
                <w:sz w:val="24"/>
              </w:rPr>
            </w:pPr>
          </w:p>
        </w:tc>
        <w:tc>
          <w:tcPr>
            <w:tcW w:w="1137"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涉消耗臭氧层物质（ODS）企业检查</w:t>
            </w:r>
          </w:p>
        </w:tc>
        <w:tc>
          <w:tcPr>
            <w:tcW w:w="4609"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20" w:lineRule="exact"/>
              <w:ind w:left="-51" w:leftChars="-25" w:right="-51" w:rightChars="-25"/>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企业和单位涉消耗臭氧层物质的品种、用途、数量是否与备案信息一致。</w:t>
            </w:r>
          </w:p>
          <w:p>
            <w:pPr>
              <w:spacing w:line="320" w:lineRule="exact"/>
              <w:ind w:left="-51" w:leftChars="-25" w:right="-51" w:rightChars="-25"/>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企业和单位涉消耗臭氧层物质活动有关生产经营活动的原始资料是否保存完善。</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涉消耗臭氧层物质（ODS）备案企业。</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1次/年</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100</w:t>
            </w:r>
            <w:r>
              <w:rPr>
                <w:rFonts w:hint="default" w:ascii="Times New Roman" w:hAnsi="Times New Roman" w:eastAsia="方正仿宋_GBK" w:cs="Times New Roman"/>
                <w:sz w:val="24"/>
              </w:rPr>
              <w:t>%</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sz w:val="24"/>
                <w:lang w:val="en-US" w:eastAsia="zh-CN"/>
              </w:rPr>
              <w:t>3</w:t>
            </w:r>
          </w:p>
        </w:tc>
        <w:tc>
          <w:tcPr>
            <w:tcW w:w="1137"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辐射类建设项目环评及批复落实情况、</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三同时</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制度落实情况</w:t>
            </w: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51" w:rightChars="-25"/>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按照生态环境部和市生态环境局有关要求，重点检查辐射类建设项目环境影响报告书（表）及批复要求落实情况</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建设项目环境保护</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三同时</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及竣工环境保护自主验收有关制度落实情况。</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2019年以来</w:t>
            </w:r>
            <w:r>
              <w:rPr>
                <w:rFonts w:hint="default" w:ascii="Times New Roman" w:hAnsi="Times New Roman" w:eastAsia="方正仿宋_GBK" w:cs="Times New Roman"/>
                <w:sz w:val="24"/>
                <w:lang w:eastAsia="zh-CN"/>
              </w:rPr>
              <w:t>区</w:t>
            </w:r>
            <w:r>
              <w:rPr>
                <w:rFonts w:hint="default" w:ascii="Times New Roman" w:hAnsi="Times New Roman" w:eastAsia="方正仿宋_GBK" w:cs="Times New Roman"/>
                <w:sz w:val="24"/>
              </w:rPr>
              <w:t>生态环境局审批的辐射类建设项目</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1次/年</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10</w:t>
            </w:r>
            <w:r>
              <w:rPr>
                <w:rFonts w:hint="default" w:ascii="Times New Roman" w:hAnsi="Times New Roman" w:eastAsia="方正仿宋_GBK" w:cs="Times New Roman"/>
                <w:sz w:val="24"/>
                <w:lang w:val="en-US" w:eastAsia="zh-CN"/>
              </w:rPr>
              <w:t>0</w:t>
            </w:r>
            <w:r>
              <w:rPr>
                <w:rFonts w:hint="default" w:ascii="Times New Roman" w:hAnsi="Times New Roman" w:eastAsia="方正仿宋_GBK" w:cs="Times New Roman"/>
                <w:sz w:val="24"/>
              </w:rPr>
              <w:t>%</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sz w:val="24"/>
                <w:lang w:val="en-US" w:eastAsia="zh-CN"/>
              </w:rPr>
              <w:t>4</w:t>
            </w:r>
          </w:p>
        </w:tc>
        <w:tc>
          <w:tcPr>
            <w:tcW w:w="1137"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辐射安全许可制度落实及执行情况</w:t>
            </w:r>
          </w:p>
        </w:tc>
        <w:tc>
          <w:tcPr>
            <w:tcW w:w="460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20" w:lineRule="exact"/>
              <w:ind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1.辐射源基本情况。</w:t>
            </w:r>
          </w:p>
          <w:p>
            <w:pPr>
              <w:numPr>
                <w:ilvl w:val="0"/>
                <w:numId w:val="0"/>
              </w:numPr>
              <w:spacing w:line="320" w:lineRule="exact"/>
              <w:ind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2.辐射安全防护设施与运行情况。</w:t>
            </w:r>
          </w:p>
          <w:p>
            <w:pPr>
              <w:numPr>
                <w:ilvl w:val="0"/>
                <w:numId w:val="0"/>
              </w:numPr>
              <w:spacing w:line="320" w:lineRule="exact"/>
              <w:ind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3.法规执行情况。</w:t>
            </w:r>
          </w:p>
          <w:p>
            <w:pPr>
              <w:numPr>
                <w:ilvl w:val="0"/>
                <w:numId w:val="0"/>
              </w:numPr>
              <w:spacing w:line="320" w:lineRule="exact"/>
              <w:ind w:left="-51" w:leftChars="-25" w:right="-51" w:rightChars="-25" w:firstLine="0" w:firstLineChars="0"/>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4.管理制度与执行情况。</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lang w:eastAsia="zh-CN"/>
              </w:rPr>
              <w:t>区</w:t>
            </w:r>
            <w:r>
              <w:rPr>
                <w:rFonts w:hint="default" w:ascii="Times New Roman" w:hAnsi="Times New Roman" w:eastAsia="方正仿宋_GBK" w:cs="Times New Roman"/>
                <w:sz w:val="24"/>
              </w:rPr>
              <w:t>生态环境局核发辐射安全许可证的单位</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rPr>
              <w:t>1次/年</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pacing w:val="-20"/>
                <w:sz w:val="24"/>
              </w:rPr>
            </w:pPr>
            <w:r>
              <w:rPr>
                <w:rFonts w:hint="default" w:ascii="Times New Roman" w:hAnsi="Times New Roman" w:eastAsia="方正仿宋_GBK" w:cs="Times New Roman"/>
                <w:spacing w:val="-20"/>
                <w:sz w:val="24"/>
              </w:rPr>
              <w:t>一般检查对象，每年抽查20%；</w:t>
            </w:r>
          </w:p>
          <w:p>
            <w:pPr>
              <w:spacing w:line="320" w:lineRule="exact"/>
              <w:ind w:left="-51" w:leftChars="-25" w:right="-51" w:rightChars="-25"/>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pacing w:val="-20"/>
                <w:sz w:val="24"/>
              </w:rPr>
              <w:t>重点检查对象，每季度抽查25%。</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val="en-US" w:eastAsia="zh-CN"/>
              </w:rPr>
              <w:t>5</w:t>
            </w:r>
          </w:p>
        </w:tc>
        <w:tc>
          <w:tcPr>
            <w:tcW w:w="1137" w:type="dxa"/>
            <w:vMerge w:val="restart"/>
            <w:tcBorders>
              <w:top w:val="single" w:color="auto" w:sz="4" w:space="0"/>
              <w:left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p>
          <w:p>
            <w:pPr>
              <w:spacing w:line="320" w:lineRule="exact"/>
              <w:ind w:left="-51" w:leftChars="-25" w:right="-51" w:rightChars="-25"/>
              <w:jc w:val="center"/>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rPr>
              <w:t>土壤</w:t>
            </w:r>
            <w:r>
              <w:rPr>
                <w:rFonts w:hint="default" w:ascii="Times New Roman" w:hAnsi="Times New Roman" w:eastAsia="方正仿宋_GBK" w:cs="Times New Roman"/>
                <w:sz w:val="24"/>
                <w:lang w:val="en-US" w:eastAsia="zh-CN"/>
              </w:rPr>
              <w:t>科</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土壤污染重点监管单位隐患排查和自行监测情况</w:t>
            </w: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1.是否按年度向生态环境主管部门报告有毒有害物质排放；</w:t>
            </w:r>
          </w:p>
          <w:p>
            <w:pPr>
              <w:spacing w:line="320" w:lineRule="exact"/>
              <w:ind w:left="-51" w:leftChars="-25" w:right="-51" w:rightChars="-25"/>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2.是否建立土壤污染隐患排查制度并按要求开展隐患排查；</w:t>
            </w:r>
          </w:p>
          <w:p>
            <w:pPr>
              <w:spacing w:line="320" w:lineRule="exact"/>
              <w:ind w:left="-51" w:leftChars="-25" w:right="-51" w:rightChars="-25"/>
              <w:rPr>
                <w:rFonts w:hint="default" w:ascii="Times New Roman" w:hAnsi="Times New Roman" w:eastAsia="方正仿宋_GBK" w:cs="Times New Roman"/>
                <w:b/>
                <w:sz w:val="24"/>
              </w:rPr>
            </w:pPr>
            <w:r>
              <w:rPr>
                <w:rFonts w:hint="default" w:ascii="Times New Roman" w:hAnsi="Times New Roman" w:eastAsia="方正仿宋_GBK" w:cs="Times New Roman"/>
                <w:bCs/>
                <w:sz w:val="24"/>
              </w:rPr>
              <w:t>3.是否制定、实施自行监测方案，并将监测数据报生态环境主管部门和按照规定公开相关信息。</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土壤污染重点监管单位</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1次/年</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100</w:t>
            </w:r>
            <w:r>
              <w:rPr>
                <w:rFonts w:hint="default" w:ascii="Times New Roman" w:hAnsi="Times New Roman" w:eastAsia="方正仿宋_GBK" w:cs="Times New Roman"/>
                <w:sz w:val="24"/>
              </w:rPr>
              <w:t>%</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val="en-US" w:eastAsia="zh-CN"/>
              </w:rPr>
              <w:t>6</w:t>
            </w:r>
          </w:p>
        </w:tc>
        <w:tc>
          <w:tcPr>
            <w:tcW w:w="1137"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建设用地土壤污染状况调查开展情况</w:t>
            </w: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1.是否按照《土壤法》第59条用途变更为住宅、公共管理与公共服务用地的，变更前按照规定进行土壤污染状况调查。</w:t>
            </w:r>
          </w:p>
          <w:p>
            <w:pPr>
              <w:spacing w:line="320" w:lineRule="exact"/>
              <w:ind w:left="-51" w:leftChars="-25" w:right="-51" w:rightChars="-25"/>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w:t>
            </w:r>
            <w:r>
              <w:rPr>
                <w:rFonts w:hint="default" w:ascii="Times New Roman" w:hAnsi="Times New Roman" w:eastAsia="方正仿宋_GBK" w:cs="Times New Roman"/>
                <w:sz w:val="24"/>
              </w:rPr>
              <w:t>是否及时将</w:t>
            </w:r>
            <w:r>
              <w:rPr>
                <w:rFonts w:hint="default" w:ascii="Times New Roman" w:hAnsi="Times New Roman" w:eastAsia="方正仿宋_GBK" w:cs="Times New Roman"/>
                <w:bCs/>
                <w:sz w:val="24"/>
              </w:rPr>
              <w:t>土壤污染状况监测数据、调查报告等上传全国土壤环境信息平台。</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土壤污染责任人或土地使用权人</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1次/年</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25</w:t>
            </w:r>
            <w:r>
              <w:rPr>
                <w:rFonts w:hint="default" w:ascii="Times New Roman" w:hAnsi="Times New Roman" w:eastAsia="方正仿宋_GBK" w:cs="Times New Roman"/>
                <w:sz w:val="24"/>
              </w:rPr>
              <w:t>%</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5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val="en-US" w:eastAsia="zh-CN"/>
              </w:rPr>
              <w:t>7</w:t>
            </w:r>
          </w:p>
        </w:tc>
        <w:tc>
          <w:tcPr>
            <w:tcW w:w="1137" w:type="dxa"/>
            <w:vMerge w:val="continue"/>
            <w:tcBorders>
              <w:left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lang w:val="en-US" w:eastAsia="zh-CN"/>
              </w:rPr>
            </w:pPr>
          </w:p>
        </w:tc>
        <w:tc>
          <w:tcPr>
            <w:tcW w:w="17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Pr>
                <w:rFonts w:hint="default" w:ascii="Times New Roman" w:hAnsi="Times New Roman" w:eastAsia="宋体" w:cs="Times New Roman"/>
                <w:sz w:val="21"/>
                <w:szCs w:val="22"/>
              </w:rPr>
            </w:pPr>
            <w:r>
              <w:rPr>
                <w:rFonts w:hint="default" w:ascii="Times New Roman" w:hAnsi="Times New Roman" w:eastAsia="方正仿宋_GBK" w:cs="Times New Roman"/>
                <w:sz w:val="24"/>
                <w:szCs w:val="22"/>
              </w:rPr>
              <w:t>危险废物规范化环境管理评估</w:t>
            </w:r>
          </w:p>
        </w:tc>
        <w:tc>
          <w:tcPr>
            <w:tcW w:w="46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1.是否按经营许可类别、规模规范经营活动。</w:t>
            </w:r>
          </w:p>
          <w:p>
            <w:pPr>
              <w:spacing w:line="320" w:lineRule="exact"/>
              <w:ind w:left="-51" w:lef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2.是否执行危险废物管理计划、申报登记、应急预案、转移联单、危险废物经营记录簿等危险废物规范化管理制度。</w:t>
            </w:r>
          </w:p>
          <w:p>
            <w:pPr>
              <w:spacing w:line="320" w:lineRule="exact"/>
              <w:ind w:left="-51" w:lef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3.是否建立规范的贮存设施并分类分区规范贮存</w:t>
            </w:r>
            <w:r>
              <w:rPr>
                <w:rFonts w:hint="default" w:ascii="Times New Roman" w:hAnsi="Times New Roman" w:eastAsia="方正仿宋_GBK" w:cs="Times New Roman"/>
                <w:sz w:val="24"/>
                <w:lang w:eastAsia="zh-CN"/>
              </w:rPr>
              <w:t>。</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危险废物经营单位</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1次/年</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jc w:val="center"/>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100%</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7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000000"/>
                <w:sz w:val="24"/>
              </w:rPr>
            </w:pPr>
          </w:p>
        </w:tc>
        <w:tc>
          <w:tcPr>
            <w:tcW w:w="1137"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c>
          <w:tcPr>
            <w:tcW w:w="17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sz w:val="21"/>
                <w:szCs w:val="22"/>
              </w:rPr>
            </w:pPr>
          </w:p>
        </w:tc>
        <w:tc>
          <w:tcPr>
            <w:tcW w:w="46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年产生量</w:t>
            </w:r>
            <w:r>
              <w:rPr>
                <w:rFonts w:hint="default" w:ascii="Times New Roman" w:hAnsi="Times New Roman" w:eastAsia="方正仿宋_GBK" w:cs="Times New Roman"/>
                <w:sz w:val="24"/>
                <w:lang w:val="en-US" w:eastAsia="zh-CN"/>
              </w:rPr>
              <w:t>50</w:t>
            </w:r>
            <w:r>
              <w:rPr>
                <w:rFonts w:hint="default" w:ascii="Times New Roman" w:hAnsi="Times New Roman" w:eastAsia="方正仿宋_GBK" w:cs="Times New Roman"/>
                <w:sz w:val="24"/>
              </w:rPr>
              <w:t>吨及以上或拥有危险废物自行利用处置设施的重点危险废物产生单位</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1次/年</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jc w:val="center"/>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40%</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val="en-US" w:eastAsia="zh-CN"/>
              </w:rPr>
              <w:t>8</w:t>
            </w:r>
          </w:p>
        </w:tc>
        <w:tc>
          <w:tcPr>
            <w:tcW w:w="1137" w:type="dxa"/>
            <w:vMerge w:val="restart"/>
            <w:tcBorders>
              <w:top w:val="single" w:color="auto" w:sz="4" w:space="0"/>
              <w:left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执法支队</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污染源日常监督检查，以及突发环境事件应急预案备案情况、环境安全隐患情况</w:t>
            </w: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1.重点排污单位的日常监督检查。</w:t>
            </w:r>
          </w:p>
          <w:p>
            <w:pPr>
              <w:spacing w:line="320" w:lineRule="exact"/>
              <w:ind w:left="-51" w:leftChars="-25"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2.企业突发环境事件应急管理检查。突发环境事件风险评估，确定风险等级情况；应急预案制定备案情况；建立健全隐患排查治理制度，隐患排查治理和建立档案情况；突发环境事件应急培训情况；必要环境应急装备和物资储备情况；应急预案及演练公开情况。</w:t>
            </w:r>
          </w:p>
          <w:p>
            <w:pPr>
              <w:spacing w:line="320" w:lineRule="exact"/>
              <w:ind w:left="-51" w:leftChars="-25"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3.企业突发环境事件风险防控措施检查。突发水环境事件、大气环境事件风险防控措施。</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w:t>
            </w:r>
            <w:r>
              <w:rPr>
                <w:rFonts w:hint="default" w:ascii="Times New Roman" w:hAnsi="Times New Roman" w:eastAsia="方正仿宋_GBK" w:cs="Times New Roman"/>
                <w:sz w:val="24"/>
              </w:rPr>
              <w:t>重点排污单位</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lang w:val="en-US" w:eastAsia="zh-CN"/>
              </w:rPr>
              <w:t>区级监管单位</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1次/年</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市级100%</w:t>
            </w:r>
          </w:p>
          <w:p>
            <w:pPr>
              <w:spacing w:line="320" w:lineRule="exact"/>
              <w:ind w:left="-51" w:leftChars="-25" w:right="-51" w:rightChars="-25"/>
              <w:jc w:val="center"/>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区级50%</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lang w:val="en-US"/>
              </w:rPr>
            </w:pPr>
            <w:r>
              <w:rPr>
                <w:rFonts w:hint="default" w:ascii="Times New Roman" w:hAnsi="Times New Roman" w:eastAsia="方正仿宋_GBK" w:cs="Times New Roman"/>
                <w:sz w:val="24"/>
                <w:lang w:val="en-US" w:eastAsia="zh-CN"/>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6"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val="en-US" w:eastAsia="zh-CN"/>
              </w:rPr>
              <w:t>9</w:t>
            </w:r>
          </w:p>
        </w:tc>
        <w:tc>
          <w:tcPr>
            <w:tcW w:w="1137" w:type="dxa"/>
            <w:vMerge w:val="continue"/>
            <w:tcBorders>
              <w:left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建设项目环评及批复落实情况、</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三同时</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制度落实情况</w:t>
            </w:r>
          </w:p>
        </w:tc>
        <w:tc>
          <w:tcPr>
            <w:tcW w:w="4609" w:type="dxa"/>
            <w:tcBorders>
              <w:top w:val="single" w:color="auto" w:sz="4" w:space="0"/>
              <w:left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按照生态环境部和市生态环境局有关要求，重点检查检查建设项目环境影响报告书（表）及批复要求落实情况；以及建设项目环境保护</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三同时</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及竣工环境保护自主验收有关制度落实情况。</w:t>
            </w:r>
          </w:p>
        </w:tc>
        <w:tc>
          <w:tcPr>
            <w:tcW w:w="2880" w:type="dxa"/>
            <w:tcBorders>
              <w:top w:val="single" w:color="auto" w:sz="4" w:space="0"/>
              <w:left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rPr>
              <w:t>市生态环境局审批建设项目</w:t>
            </w:r>
            <w:r>
              <w:rPr>
                <w:rFonts w:hint="default" w:ascii="Times New Roman" w:hAnsi="Times New Roman" w:eastAsia="方正仿宋_GBK" w:cs="Times New Roman"/>
                <w:sz w:val="24"/>
                <w:lang w:eastAsia="zh-CN"/>
              </w:rPr>
              <w:t>，区</w:t>
            </w:r>
            <w:r>
              <w:rPr>
                <w:rFonts w:hint="default" w:ascii="Times New Roman" w:hAnsi="Times New Roman" w:eastAsia="方正仿宋_GBK" w:cs="Times New Roman"/>
                <w:sz w:val="24"/>
                <w:lang w:val="en-US" w:eastAsia="zh-CN"/>
              </w:rPr>
              <w:t>生态环境局审批建设项目</w:t>
            </w:r>
          </w:p>
        </w:tc>
        <w:tc>
          <w:tcPr>
            <w:tcW w:w="1154" w:type="dxa"/>
            <w:tcBorders>
              <w:top w:val="single" w:color="auto" w:sz="4" w:space="0"/>
              <w:left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项目开工建设后至投入生产或使用1年内抽查1次</w:t>
            </w:r>
          </w:p>
        </w:tc>
        <w:tc>
          <w:tcPr>
            <w:tcW w:w="1577" w:type="dxa"/>
            <w:tcBorders>
              <w:top w:val="single" w:color="auto" w:sz="4" w:space="0"/>
              <w:left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eastAsia="zh-CN"/>
              </w:rPr>
              <w:t>市</w:t>
            </w:r>
            <w:r>
              <w:rPr>
                <w:rFonts w:hint="default" w:ascii="Times New Roman" w:hAnsi="Times New Roman" w:eastAsia="方正仿宋_GBK" w:cs="Times New Roman"/>
                <w:sz w:val="24"/>
              </w:rPr>
              <w:t>批项目抽查100%，</w:t>
            </w:r>
            <w:r>
              <w:rPr>
                <w:rFonts w:hint="default" w:ascii="Times New Roman" w:hAnsi="Times New Roman" w:eastAsia="方正仿宋_GBK" w:cs="Times New Roman"/>
                <w:sz w:val="24"/>
                <w:lang w:eastAsia="zh-CN"/>
              </w:rPr>
              <w:t>区</w:t>
            </w:r>
            <w:r>
              <w:rPr>
                <w:rFonts w:hint="default" w:ascii="Times New Roman" w:hAnsi="Times New Roman" w:eastAsia="方正仿宋_GBK" w:cs="Times New Roman"/>
                <w:sz w:val="24"/>
              </w:rPr>
              <w:t>批项目抽查</w:t>
            </w:r>
            <w:r>
              <w:rPr>
                <w:rFonts w:hint="default" w:ascii="Times New Roman" w:hAnsi="Times New Roman" w:eastAsia="方正仿宋_GBK" w:cs="Times New Roman"/>
                <w:sz w:val="24"/>
                <w:lang w:val="en-US" w:eastAsia="zh-CN"/>
              </w:rPr>
              <w:t>10</w:t>
            </w:r>
            <w:r>
              <w:rPr>
                <w:rFonts w:hint="default" w:ascii="Times New Roman" w:hAnsi="Times New Roman" w:eastAsia="方正仿宋_GBK" w:cs="Times New Roman"/>
                <w:sz w:val="24"/>
              </w:rPr>
              <w:t>%</w:t>
            </w:r>
          </w:p>
        </w:tc>
        <w:tc>
          <w:tcPr>
            <w:tcW w:w="1151" w:type="dxa"/>
            <w:tcBorders>
              <w:top w:val="single" w:color="auto" w:sz="4" w:space="0"/>
              <w:left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lang w:val="en-US"/>
              </w:rPr>
            </w:pPr>
            <w:r>
              <w:rPr>
                <w:rFonts w:hint="default" w:ascii="Times New Roman" w:hAnsi="Times New Roman" w:eastAsia="方正仿宋_GBK" w:cs="Times New Roman"/>
                <w:sz w:val="24"/>
                <w:lang w:val="en-US" w:eastAsia="zh-CN"/>
              </w:rPr>
              <w:t>根据审批项目数量确定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56" w:type="dxa"/>
            <w:vMerge w:val="continue"/>
            <w:tcBorders>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cs="Times New Roman"/>
              </w:rPr>
            </w:pPr>
          </w:p>
        </w:tc>
        <w:tc>
          <w:tcPr>
            <w:tcW w:w="1137" w:type="dxa"/>
            <w:vMerge w:val="continue"/>
            <w:tcBorders>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cs="Times New Roman"/>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rPr>
              <w:t>排污许可制度落实及执行情况</w:t>
            </w:r>
          </w:p>
        </w:tc>
        <w:tc>
          <w:tcPr>
            <w:tcW w:w="4609" w:type="dxa"/>
            <w:tcBorders>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lang w:eastAsia="zh-CN"/>
              </w:rPr>
              <w:t>重点检查企业持证排污、按证排污和证后管理制度落实情况。</w:t>
            </w:r>
          </w:p>
        </w:tc>
        <w:tc>
          <w:tcPr>
            <w:tcW w:w="2880" w:type="dxa"/>
            <w:tcBorders>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核发重点管理类排污许可证的企业</w:t>
            </w:r>
          </w:p>
        </w:tc>
        <w:tc>
          <w:tcPr>
            <w:tcW w:w="1154" w:type="dxa"/>
            <w:tcBorders>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1次/年</w:t>
            </w:r>
          </w:p>
        </w:tc>
        <w:tc>
          <w:tcPr>
            <w:tcW w:w="1577" w:type="dxa"/>
            <w:tcBorders>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10%</w:t>
            </w:r>
          </w:p>
        </w:tc>
        <w:tc>
          <w:tcPr>
            <w:tcW w:w="1151" w:type="dxa"/>
            <w:tcBorders>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sz w:val="24"/>
                <w:lang w:val="en-US"/>
              </w:rPr>
            </w:pPr>
            <w:r>
              <w:rPr>
                <w:rFonts w:hint="default" w:ascii="Times New Roman" w:hAnsi="Times New Roman" w:eastAsia="方正仿宋_GBK" w:cs="Times New Roman"/>
                <w:sz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sz w:val="24"/>
                <w:lang w:val="en-US" w:eastAsia="zh-CN"/>
              </w:rPr>
              <w:t>10</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lang w:eastAsia="zh-CN"/>
              </w:rPr>
              <w:t>综合管理科</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lang w:eastAsia="zh-CN"/>
              </w:rPr>
              <w:t>告知承诺制</w:t>
            </w:r>
            <w:r>
              <w:rPr>
                <w:rFonts w:hint="default" w:ascii="Times New Roman" w:hAnsi="Times New Roman" w:eastAsia="方正仿宋_GBK" w:cs="Times New Roman"/>
                <w:color w:val="auto"/>
                <w:sz w:val="24"/>
              </w:rPr>
              <w:t>环评报告质量</w:t>
            </w:r>
            <w:r>
              <w:rPr>
                <w:rFonts w:hint="default" w:ascii="Times New Roman" w:hAnsi="Times New Roman" w:eastAsia="方正仿宋_GBK" w:cs="Times New Roman"/>
                <w:color w:val="auto"/>
                <w:sz w:val="24"/>
                <w:lang w:eastAsia="zh-CN"/>
              </w:rPr>
              <w:t>复核</w:t>
            </w: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1.环评报告编制的规范性。</w:t>
            </w:r>
          </w:p>
          <w:p>
            <w:pPr>
              <w:spacing w:line="320" w:lineRule="exact"/>
              <w:ind w:left="-51" w:leftChars="-25" w:right="-51" w:rightChars="-25"/>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2.环评报告编制质量。</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环评文件编制单位</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按</w:t>
            </w:r>
            <w:r>
              <w:rPr>
                <w:rFonts w:hint="default" w:ascii="Times New Roman" w:hAnsi="Times New Roman" w:eastAsia="方正仿宋_GBK" w:cs="Times New Roman"/>
                <w:color w:val="auto"/>
                <w:sz w:val="24"/>
                <w:lang w:eastAsia="zh-CN"/>
              </w:rPr>
              <w:t>市局</w:t>
            </w:r>
            <w:r>
              <w:rPr>
                <w:rFonts w:hint="default" w:ascii="Times New Roman" w:hAnsi="Times New Roman" w:eastAsia="方正仿宋_GBK" w:cs="Times New Roman"/>
                <w:color w:val="auto"/>
                <w:sz w:val="24"/>
              </w:rPr>
              <w:t>年度监管工作方案执行</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按</w:t>
            </w:r>
            <w:r>
              <w:rPr>
                <w:rFonts w:hint="default" w:ascii="Times New Roman" w:hAnsi="Times New Roman" w:eastAsia="方正仿宋_GBK" w:cs="Times New Roman"/>
                <w:color w:val="auto"/>
                <w:sz w:val="24"/>
                <w:lang w:eastAsia="zh-CN"/>
              </w:rPr>
              <w:t>市局</w:t>
            </w:r>
            <w:r>
              <w:rPr>
                <w:rFonts w:hint="default" w:ascii="Times New Roman" w:hAnsi="Times New Roman" w:eastAsia="方正仿宋_GBK" w:cs="Times New Roman"/>
                <w:color w:val="auto"/>
                <w:sz w:val="24"/>
              </w:rPr>
              <w:t>年度监管工作方案执行</w:t>
            </w:r>
            <w:r>
              <w:rPr>
                <w:rFonts w:hint="default" w:ascii="Times New Roman" w:hAnsi="Times New Roman" w:eastAsia="方正仿宋_GBK" w:cs="Times New Roman"/>
                <w:color w:val="auto"/>
                <w:sz w:val="24"/>
                <w:lang w:eastAsia="zh-CN"/>
              </w:rPr>
              <w:t>，委托</w:t>
            </w:r>
            <w:r>
              <w:rPr>
                <w:rFonts w:hint="default" w:ascii="Times New Roman" w:hAnsi="Times New Roman" w:eastAsia="方正仿宋_GBK" w:cs="Times New Roman"/>
                <w:color w:val="auto"/>
                <w:sz w:val="24"/>
              </w:rPr>
              <w:t>重庆市</w:t>
            </w:r>
            <w:r>
              <w:rPr>
                <w:rFonts w:hint="default" w:ascii="Times New Roman" w:hAnsi="Times New Roman" w:eastAsia="方正仿宋_GBK" w:cs="Times New Roman"/>
                <w:color w:val="auto"/>
                <w:sz w:val="24"/>
                <w:lang w:eastAsia="zh-CN"/>
              </w:rPr>
              <w:t>生态</w:t>
            </w:r>
            <w:r>
              <w:rPr>
                <w:rFonts w:hint="default" w:ascii="Times New Roman" w:hAnsi="Times New Roman" w:eastAsia="方正仿宋_GBK" w:cs="Times New Roman"/>
                <w:color w:val="auto"/>
                <w:sz w:val="24"/>
              </w:rPr>
              <w:t>环境技术评估专家库</w:t>
            </w:r>
            <w:r>
              <w:rPr>
                <w:rFonts w:hint="default" w:ascii="Times New Roman" w:hAnsi="Times New Roman" w:eastAsia="方正仿宋_GBK" w:cs="Times New Roman"/>
                <w:color w:val="auto"/>
                <w:sz w:val="24"/>
                <w:lang w:eastAsia="zh-CN"/>
              </w:rPr>
              <w:t>内专家实施</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51" w:leftChars="-25" w:right="-51" w:rightChars="-25"/>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按</w:t>
            </w:r>
            <w:r>
              <w:rPr>
                <w:rFonts w:hint="default" w:ascii="Times New Roman" w:hAnsi="Times New Roman" w:eastAsia="方正仿宋_GBK" w:cs="Times New Roman"/>
                <w:color w:val="auto"/>
                <w:sz w:val="24"/>
                <w:lang w:eastAsia="zh-CN"/>
              </w:rPr>
              <w:t>市局</w:t>
            </w:r>
            <w:r>
              <w:rPr>
                <w:rFonts w:hint="default" w:ascii="Times New Roman" w:hAnsi="Times New Roman" w:eastAsia="方正仿宋_GBK" w:cs="Times New Roman"/>
                <w:color w:val="auto"/>
                <w:sz w:val="24"/>
              </w:rPr>
              <w:t>年度监管工作方案执行</w:t>
            </w:r>
          </w:p>
        </w:tc>
      </w:tr>
    </w:tbl>
    <w:p>
      <w:pPr>
        <w:pStyle w:val="4"/>
        <w:rPr>
          <w:rFonts w:hint="default" w:ascii="Times New Roman" w:hAnsi="Times New Roman" w:cs="Times New Roman"/>
          <w:lang w:val="en-US" w:eastAsia="zh-CN"/>
        </w:rPr>
        <w:sectPr>
          <w:footerReference r:id="rId9" w:type="default"/>
          <w:footerReference r:id="rId10" w:type="even"/>
          <w:pgSz w:w="16840" w:h="11907" w:orient="landscape"/>
          <w:pgMar w:top="1587" w:right="1134" w:bottom="1474" w:left="1134" w:header="851" w:footer="1134" w:gutter="0"/>
          <w:pgNumType w:fmt="numberInDash"/>
          <w:cols w:space="720" w:num="1"/>
          <w:rtlGutter w:val="0"/>
          <w:docGrid w:type="linesAndChars" w:linePitch="579" w:charSpace="-842"/>
        </w:sectPr>
      </w:pPr>
      <w:bookmarkStart w:id="1" w:name="csdw"/>
      <w:bookmarkEnd w:id="1"/>
    </w:p>
    <w:p>
      <w:pPr>
        <w:pStyle w:val="4"/>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w:t>
      </w:r>
      <w:r>
        <w:rPr>
          <w:rFonts w:hint="eastAsia" w:ascii="Times New Roman" w:hAnsi="Times New Roman" w:eastAsia="方正黑体_GBK" w:cs="Times New Roman"/>
          <w:sz w:val="32"/>
          <w:szCs w:val="32"/>
          <w:lang w:val="en-US" w:eastAsia="zh-CN"/>
        </w:rPr>
        <w:t>件</w:t>
      </w:r>
      <w:r>
        <w:rPr>
          <w:rFonts w:hint="default" w:ascii="Times New Roman" w:hAnsi="Times New Roman" w:eastAsia="方正黑体_GBK" w:cs="Times New Roman"/>
          <w:sz w:val="32"/>
          <w:szCs w:val="32"/>
          <w:lang w:val="en-US" w:eastAsia="zh-CN"/>
        </w:rPr>
        <w:t>2</w:t>
      </w:r>
    </w:p>
    <w:p>
      <w:pPr>
        <w:keepNext w:val="0"/>
        <w:keepLines w:val="0"/>
        <w:pageBreakBefore w:val="0"/>
        <w:widowControl/>
        <w:kinsoku/>
        <w:wordWrap/>
        <w:overflowPunct/>
        <w:topLinePunct w:val="0"/>
        <w:autoSpaceDE/>
        <w:autoSpaceDN/>
        <w:bidi w:val="0"/>
        <w:adjustRightInd/>
        <w:snapToGrid w:val="0"/>
        <w:spacing w:before="118" w:beforeLines="20" w:after="118" w:afterLines="20" w:line="240" w:lineRule="auto"/>
        <w:ind w:left="0" w:leftChars="0" w:right="0" w:rightChars="0" w:firstLine="0" w:firstLineChars="0"/>
        <w:jc w:val="center"/>
        <w:textAlignment w:val="auto"/>
        <w:outlineLvl w:val="9"/>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kern w:val="24"/>
          <w:sz w:val="36"/>
          <w:szCs w:val="36"/>
          <w:lang w:val="en-US" w:eastAsia="zh-CN"/>
        </w:rPr>
        <w:t>南岸区“双随机、一公开”两库名单</w:t>
      </w:r>
    </w:p>
    <w:p>
      <w:pPr>
        <w:keepNext w:val="0"/>
        <w:keepLines w:val="0"/>
        <w:pageBreakBefore w:val="0"/>
        <w:widowControl/>
        <w:kinsoku/>
        <w:wordWrap/>
        <w:overflowPunct/>
        <w:topLinePunct w:val="0"/>
        <w:autoSpaceDE/>
        <w:autoSpaceDN/>
        <w:bidi w:val="0"/>
        <w:adjustRightInd/>
        <w:snapToGrid w:val="0"/>
        <w:spacing w:before="118" w:beforeLines="20" w:after="118" w:afterLines="20" w:line="240" w:lineRule="auto"/>
        <w:ind w:left="0" w:leftChars="0" w:right="0" w:rightChars="0" w:firstLine="0" w:firstLineChars="0"/>
        <w:jc w:val="center"/>
        <w:textAlignment w:val="auto"/>
        <w:outlineLvl w:val="9"/>
        <w:rPr>
          <w:rFonts w:hint="default" w:ascii="Times New Roman" w:hAnsi="Times New Roman" w:eastAsia="方正小标宋_GBK" w:cs="Times New Roman"/>
          <w:sz w:val="36"/>
          <w:szCs w:val="36"/>
          <w:lang w:eastAsia="zh-CN"/>
        </w:rPr>
      </w:pPr>
    </w:p>
    <w:p>
      <w:pPr>
        <w:keepNext w:val="0"/>
        <w:keepLines w:val="0"/>
        <w:pageBreakBefore w:val="0"/>
        <w:widowControl/>
        <w:kinsoku/>
        <w:wordWrap/>
        <w:overflowPunct/>
        <w:topLinePunct w:val="0"/>
        <w:autoSpaceDE/>
        <w:autoSpaceDN/>
        <w:bidi w:val="0"/>
        <w:adjustRightInd/>
        <w:snapToGrid w:val="0"/>
        <w:spacing w:before="118" w:beforeLines="20" w:after="118" w:afterLines="20" w:line="240" w:lineRule="auto"/>
        <w:ind w:left="0" w:leftChars="0" w:right="0" w:rightChars="0" w:firstLine="0" w:firstLineChars="0"/>
        <w:jc w:val="center"/>
        <w:textAlignment w:val="auto"/>
        <w:outlineLvl w:val="9"/>
        <w:rPr>
          <w:rFonts w:hint="default" w:ascii="Times New Roman" w:hAnsi="Times New Roman" w:eastAsia="方正小标宋_GBK" w:cs="Times New Roman"/>
          <w:sz w:val="36"/>
          <w:szCs w:val="36"/>
          <w:vertAlign w:val="baseline"/>
          <w:lang w:val="en-US" w:eastAsia="zh-CN"/>
        </w:rPr>
      </w:pPr>
      <w:r>
        <w:rPr>
          <w:rFonts w:hint="default" w:ascii="Times New Roman" w:hAnsi="Times New Roman" w:eastAsia="方正小标宋_GBK" w:cs="Times New Roman"/>
          <w:sz w:val="36"/>
          <w:szCs w:val="36"/>
          <w:lang w:eastAsia="zh-CN"/>
        </w:rPr>
        <w:t>检查人员</w:t>
      </w:r>
      <w:r>
        <w:rPr>
          <w:rFonts w:hint="default" w:ascii="Times New Roman" w:hAnsi="Times New Roman" w:eastAsia="方正小标宋_GBK" w:cs="Times New Roman"/>
          <w:sz w:val="36"/>
          <w:szCs w:val="36"/>
          <w:lang w:val="en-US" w:eastAsia="zh-CN"/>
        </w:rPr>
        <w:t>库名单</w:t>
      </w:r>
    </w:p>
    <w:tbl>
      <w:tblPr>
        <w:tblStyle w:val="8"/>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2163"/>
        <w:gridCol w:w="261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22"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kern w:val="0"/>
                <w:sz w:val="24"/>
                <w:szCs w:val="24"/>
                <w:lang w:val="en-US" w:eastAsia="zh-CN" w:bidi="ar"/>
              </w:rPr>
            </w:pPr>
            <w:r>
              <w:rPr>
                <w:rFonts w:hint="default" w:ascii="Times New Roman" w:hAnsi="Times New Roman" w:eastAsia="方正小标宋_GBK" w:cs="Times New Roman"/>
                <w:color w:val="auto"/>
                <w:kern w:val="0"/>
                <w:sz w:val="24"/>
                <w:szCs w:val="24"/>
                <w:lang w:val="en-US" w:eastAsia="zh-CN" w:bidi="ar"/>
              </w:rPr>
              <w:t>姓名</w:t>
            </w:r>
          </w:p>
        </w:tc>
        <w:tc>
          <w:tcPr>
            <w:tcW w:w="216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kern w:val="0"/>
                <w:sz w:val="24"/>
                <w:szCs w:val="24"/>
                <w:lang w:val="en-US" w:eastAsia="zh-CN" w:bidi="ar"/>
              </w:rPr>
            </w:pPr>
            <w:r>
              <w:rPr>
                <w:rFonts w:hint="default" w:ascii="Times New Roman" w:hAnsi="Times New Roman" w:eastAsia="方正小标宋_GBK" w:cs="Times New Roman"/>
                <w:color w:val="auto"/>
                <w:kern w:val="0"/>
                <w:sz w:val="24"/>
                <w:szCs w:val="24"/>
                <w:lang w:val="en-US" w:eastAsia="zh-CN" w:bidi="ar"/>
              </w:rPr>
              <w:t>科室</w:t>
            </w:r>
          </w:p>
        </w:tc>
        <w:tc>
          <w:tcPr>
            <w:tcW w:w="2610"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kern w:val="0"/>
                <w:sz w:val="24"/>
                <w:szCs w:val="24"/>
                <w:lang w:val="en-US" w:eastAsia="zh-CN" w:bidi="ar"/>
              </w:rPr>
            </w:pPr>
            <w:r>
              <w:rPr>
                <w:rFonts w:hint="default" w:ascii="Times New Roman" w:hAnsi="Times New Roman" w:eastAsia="方正小标宋_GBK" w:cs="Times New Roman"/>
                <w:color w:val="auto"/>
                <w:kern w:val="0"/>
                <w:sz w:val="24"/>
                <w:szCs w:val="24"/>
                <w:lang w:val="en-US" w:eastAsia="zh-CN" w:bidi="ar"/>
              </w:rPr>
              <w:t>监管项目</w:t>
            </w:r>
          </w:p>
        </w:tc>
        <w:tc>
          <w:tcPr>
            <w:tcW w:w="328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kern w:val="0"/>
                <w:sz w:val="24"/>
                <w:szCs w:val="24"/>
                <w:lang w:val="en-US" w:eastAsia="zh-CN" w:bidi="ar"/>
              </w:rPr>
            </w:pPr>
            <w:r>
              <w:rPr>
                <w:rFonts w:hint="default" w:ascii="Times New Roman" w:hAnsi="Times New Roman" w:eastAsia="方正小标宋_GBK" w:cs="Times New Roman"/>
                <w:color w:val="auto"/>
                <w:kern w:val="0"/>
                <w:sz w:val="24"/>
                <w:szCs w:val="24"/>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22"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eastAsia="zh-CN" w:bidi="ar"/>
              </w:rPr>
            </w:pPr>
            <w:r>
              <w:rPr>
                <w:rFonts w:hint="default" w:ascii="Times New Roman" w:hAnsi="Times New Roman" w:eastAsia="方正仿宋_GBK" w:cs="Times New Roman"/>
                <w:color w:val="auto"/>
                <w:kern w:val="0"/>
                <w:sz w:val="24"/>
                <w:lang w:eastAsia="zh-CN" w:bidi="ar"/>
              </w:rPr>
              <w:t>赵俐</w:t>
            </w:r>
          </w:p>
        </w:tc>
        <w:tc>
          <w:tcPr>
            <w:tcW w:w="216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大气科</w:t>
            </w:r>
          </w:p>
        </w:tc>
        <w:tc>
          <w:tcPr>
            <w:tcW w:w="2610"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eastAsia="zh-CN" w:bidi="ar"/>
              </w:rPr>
              <w:t>大气</w:t>
            </w:r>
          </w:p>
        </w:tc>
        <w:tc>
          <w:tcPr>
            <w:tcW w:w="328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val="en-US" w:eastAsia="zh-CN" w:bidi="ar"/>
              </w:rPr>
              <w:t>62514586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22"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eastAsia="zh-CN" w:bidi="ar"/>
              </w:rPr>
            </w:pPr>
            <w:r>
              <w:rPr>
                <w:rFonts w:hint="default" w:ascii="Times New Roman" w:hAnsi="Times New Roman" w:eastAsia="方正仿宋_GBK" w:cs="Times New Roman"/>
                <w:color w:val="auto"/>
                <w:kern w:val="0"/>
                <w:sz w:val="24"/>
                <w:lang w:eastAsia="zh-CN" w:bidi="ar"/>
              </w:rPr>
              <w:t>孙勤宇</w:t>
            </w:r>
          </w:p>
        </w:tc>
        <w:tc>
          <w:tcPr>
            <w:tcW w:w="216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大气科</w:t>
            </w:r>
          </w:p>
        </w:tc>
        <w:tc>
          <w:tcPr>
            <w:tcW w:w="2610"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eastAsia="zh-CN" w:bidi="ar"/>
              </w:rPr>
              <w:t>核与辐射</w:t>
            </w:r>
          </w:p>
        </w:tc>
        <w:tc>
          <w:tcPr>
            <w:tcW w:w="328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val="en-US" w:eastAsia="zh-CN" w:bidi="ar"/>
              </w:rPr>
              <w:t>62816719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22" w:type="dxa"/>
            <w:noWrap w:val="0"/>
            <w:vAlign w:val="top"/>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eastAsia="zh-CN" w:bidi="ar"/>
              </w:rPr>
              <w:t>李雪梅</w:t>
            </w:r>
          </w:p>
        </w:tc>
        <w:tc>
          <w:tcPr>
            <w:tcW w:w="2163" w:type="dxa"/>
            <w:noWrap w:val="0"/>
            <w:vAlign w:val="top"/>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水科</w:t>
            </w:r>
          </w:p>
        </w:tc>
        <w:tc>
          <w:tcPr>
            <w:tcW w:w="2610"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重点排污单位、水源地</w:t>
            </w:r>
          </w:p>
        </w:tc>
        <w:tc>
          <w:tcPr>
            <w:tcW w:w="3283" w:type="dxa"/>
            <w:noWrap w:val="0"/>
            <w:vAlign w:val="top"/>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val="en-US" w:eastAsia="zh-CN" w:bidi="ar"/>
              </w:rPr>
              <w:t>62911279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22" w:type="dxa"/>
            <w:noWrap w:val="0"/>
            <w:vAlign w:val="top"/>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eastAsia="zh-CN" w:bidi="ar"/>
              </w:rPr>
              <w:t>苏达维</w:t>
            </w:r>
          </w:p>
        </w:tc>
        <w:tc>
          <w:tcPr>
            <w:tcW w:w="2163" w:type="dxa"/>
            <w:noWrap w:val="0"/>
            <w:vAlign w:val="top"/>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水科</w:t>
            </w:r>
          </w:p>
        </w:tc>
        <w:tc>
          <w:tcPr>
            <w:tcW w:w="2610"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污水处理厂</w:t>
            </w:r>
          </w:p>
        </w:tc>
        <w:tc>
          <w:tcPr>
            <w:tcW w:w="3283" w:type="dxa"/>
            <w:noWrap w:val="0"/>
            <w:vAlign w:val="top"/>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val="en-US" w:eastAsia="zh-CN" w:bidi="ar"/>
              </w:rPr>
              <w:t>62911279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22"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李文琴</w:t>
            </w:r>
          </w:p>
        </w:tc>
        <w:tc>
          <w:tcPr>
            <w:tcW w:w="216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综合管理科</w:t>
            </w:r>
          </w:p>
        </w:tc>
        <w:tc>
          <w:tcPr>
            <w:tcW w:w="2610"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环评审批</w:t>
            </w:r>
          </w:p>
        </w:tc>
        <w:tc>
          <w:tcPr>
            <w:tcW w:w="328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62825147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22"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eastAsia="zh-CN" w:bidi="ar"/>
              </w:rPr>
            </w:pPr>
            <w:r>
              <w:rPr>
                <w:rFonts w:hint="default" w:ascii="Times New Roman" w:hAnsi="Times New Roman" w:eastAsia="方正仿宋_GBK" w:cs="Times New Roman"/>
                <w:color w:val="auto"/>
                <w:kern w:val="0"/>
                <w:sz w:val="24"/>
                <w:lang w:eastAsia="zh-CN" w:bidi="ar"/>
              </w:rPr>
              <w:t>易小华</w:t>
            </w:r>
          </w:p>
        </w:tc>
        <w:tc>
          <w:tcPr>
            <w:tcW w:w="216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土壤科</w:t>
            </w:r>
          </w:p>
        </w:tc>
        <w:tc>
          <w:tcPr>
            <w:tcW w:w="2610"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土壤</w:t>
            </w:r>
          </w:p>
        </w:tc>
        <w:tc>
          <w:tcPr>
            <w:tcW w:w="328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62919380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22"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eastAsia="zh-CN" w:bidi="ar"/>
              </w:rPr>
            </w:pPr>
            <w:r>
              <w:rPr>
                <w:rFonts w:hint="default" w:ascii="Times New Roman" w:hAnsi="Times New Roman" w:eastAsia="方正仿宋_GBK" w:cs="Times New Roman"/>
                <w:color w:val="auto"/>
                <w:kern w:val="0"/>
                <w:sz w:val="24"/>
                <w:lang w:eastAsia="zh-CN" w:bidi="ar"/>
              </w:rPr>
              <w:t>马文</w:t>
            </w:r>
          </w:p>
        </w:tc>
        <w:tc>
          <w:tcPr>
            <w:tcW w:w="216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土壤科</w:t>
            </w:r>
          </w:p>
        </w:tc>
        <w:tc>
          <w:tcPr>
            <w:tcW w:w="2610"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土壤</w:t>
            </w:r>
          </w:p>
        </w:tc>
        <w:tc>
          <w:tcPr>
            <w:tcW w:w="328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62919380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22"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eastAsia="zh-CN" w:bidi="ar"/>
              </w:rPr>
            </w:pPr>
            <w:r>
              <w:rPr>
                <w:rFonts w:hint="default" w:ascii="Times New Roman" w:hAnsi="Times New Roman" w:eastAsia="方正仿宋_GBK" w:cs="Times New Roman"/>
                <w:color w:val="auto"/>
                <w:kern w:val="0"/>
                <w:sz w:val="24"/>
                <w:lang w:eastAsia="zh-CN" w:bidi="ar"/>
              </w:rPr>
              <w:t>周昆朋</w:t>
            </w:r>
          </w:p>
        </w:tc>
        <w:tc>
          <w:tcPr>
            <w:tcW w:w="216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土壤科</w:t>
            </w:r>
          </w:p>
        </w:tc>
        <w:tc>
          <w:tcPr>
            <w:tcW w:w="2610"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固废</w:t>
            </w:r>
          </w:p>
        </w:tc>
        <w:tc>
          <w:tcPr>
            <w:tcW w:w="328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62919380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22"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eastAsia="zh-CN" w:bidi="ar"/>
              </w:rPr>
            </w:pPr>
            <w:r>
              <w:rPr>
                <w:rFonts w:hint="default" w:ascii="Times New Roman" w:hAnsi="Times New Roman" w:eastAsia="方正仿宋_GBK" w:cs="Times New Roman"/>
                <w:color w:val="auto"/>
                <w:kern w:val="0"/>
                <w:sz w:val="24"/>
                <w:lang w:eastAsia="zh-CN" w:bidi="ar"/>
              </w:rPr>
              <w:t>刘小娟</w:t>
            </w:r>
          </w:p>
        </w:tc>
        <w:tc>
          <w:tcPr>
            <w:tcW w:w="216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土壤科</w:t>
            </w:r>
          </w:p>
        </w:tc>
        <w:tc>
          <w:tcPr>
            <w:tcW w:w="2610"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固废</w:t>
            </w:r>
          </w:p>
        </w:tc>
        <w:tc>
          <w:tcPr>
            <w:tcW w:w="3283"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62919380</w:t>
            </w:r>
          </w:p>
        </w:tc>
      </w:tr>
    </w:tbl>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2021年重点排污单位名录</w:t>
      </w:r>
    </w:p>
    <w:tbl>
      <w:tblPr>
        <w:tblStyle w:val="7"/>
        <w:tblW w:w="0" w:type="auto"/>
        <w:tblInd w:w="0" w:type="dxa"/>
        <w:tblLayout w:type="fixed"/>
        <w:tblCellMar>
          <w:top w:w="0" w:type="dxa"/>
          <w:left w:w="108" w:type="dxa"/>
          <w:bottom w:w="0" w:type="dxa"/>
          <w:right w:w="108" w:type="dxa"/>
        </w:tblCellMar>
      </w:tblPr>
      <w:tblGrid>
        <w:gridCol w:w="787"/>
        <w:gridCol w:w="1420"/>
        <w:gridCol w:w="5835"/>
        <w:gridCol w:w="1398"/>
      </w:tblGrid>
      <w:tr>
        <w:tblPrEx>
          <w:tblCellMar>
            <w:top w:w="0" w:type="dxa"/>
            <w:left w:w="108" w:type="dxa"/>
            <w:bottom w:w="0" w:type="dxa"/>
            <w:right w:w="108" w:type="dxa"/>
          </w:tblCellMar>
        </w:tblPrEx>
        <w:trPr>
          <w:trHeight w:val="20" w:hRule="atLeast"/>
          <w:tblHeader/>
        </w:trPr>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rPr>
            </w:pPr>
            <w:r>
              <w:rPr>
                <w:rFonts w:hint="default" w:ascii="Times New Roman" w:hAnsi="Times New Roman" w:eastAsia="方正黑体_GBK" w:cs="Times New Roman"/>
                <w:b w:val="0"/>
                <w:bCs/>
                <w:color w:val="auto"/>
                <w:kern w:val="0"/>
                <w:sz w:val="24"/>
              </w:rPr>
              <w:t>序号</w:t>
            </w:r>
          </w:p>
        </w:tc>
        <w:tc>
          <w:tcPr>
            <w:tcW w:w="14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rPr>
            </w:pPr>
            <w:r>
              <w:rPr>
                <w:rFonts w:hint="default" w:ascii="Times New Roman" w:hAnsi="Times New Roman" w:eastAsia="方正黑体_GBK" w:cs="Times New Roman"/>
                <w:b w:val="0"/>
                <w:bCs/>
                <w:color w:val="auto"/>
                <w:kern w:val="0"/>
                <w:sz w:val="24"/>
              </w:rPr>
              <w:t>所属地区</w:t>
            </w:r>
          </w:p>
        </w:tc>
        <w:tc>
          <w:tcPr>
            <w:tcW w:w="58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rPr>
            </w:pPr>
            <w:r>
              <w:rPr>
                <w:rFonts w:hint="default" w:ascii="Times New Roman" w:hAnsi="Times New Roman" w:eastAsia="方正黑体_GBK" w:cs="Times New Roman"/>
                <w:b w:val="0"/>
                <w:bCs/>
                <w:color w:val="auto"/>
                <w:kern w:val="0"/>
                <w:sz w:val="24"/>
              </w:rPr>
              <w:t>企事业单位详细名称</w:t>
            </w:r>
          </w:p>
        </w:tc>
        <w:tc>
          <w:tcPr>
            <w:tcW w:w="13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rPr>
            </w:pPr>
            <w:r>
              <w:rPr>
                <w:rFonts w:hint="default" w:ascii="Times New Roman" w:hAnsi="Times New Roman" w:eastAsia="方正黑体_GBK" w:cs="Times New Roman"/>
                <w:b w:val="0"/>
                <w:bCs/>
                <w:color w:val="auto"/>
                <w:kern w:val="0"/>
                <w:sz w:val="24"/>
              </w:rPr>
              <w:t>类别</w:t>
            </w:r>
          </w:p>
        </w:tc>
      </w:tr>
      <w:tr>
        <w:tblPrEx>
          <w:tblCellMar>
            <w:top w:w="0" w:type="dxa"/>
            <w:left w:w="108" w:type="dxa"/>
            <w:bottom w:w="0" w:type="dxa"/>
            <w:right w:w="108" w:type="dxa"/>
          </w:tblCellMar>
        </w:tblPrEx>
        <w:trPr>
          <w:trHeight w:val="20" w:hRule="atLeast"/>
        </w:trPr>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南岸区</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eastAsia="zh-CN" w:bidi="ar"/>
              </w:rPr>
            </w:pPr>
            <w:r>
              <w:rPr>
                <w:rFonts w:hint="default" w:ascii="Times New Roman" w:hAnsi="Times New Roman" w:eastAsia="方正仿宋_GBK" w:cs="Times New Roman"/>
                <w:color w:val="auto"/>
                <w:kern w:val="0"/>
                <w:sz w:val="24"/>
                <w:lang w:eastAsia="zh-CN" w:bidi="ar"/>
              </w:rPr>
              <w:t>重庆力宏精细化工有限公司</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eastAsia="zh-CN" w:bidi="ar"/>
              </w:rPr>
            </w:pPr>
            <w:r>
              <w:rPr>
                <w:rFonts w:hint="default" w:ascii="Times New Roman" w:hAnsi="Times New Roman" w:eastAsia="方正仿宋_GBK" w:cs="Times New Roman"/>
                <w:color w:val="auto"/>
                <w:kern w:val="0"/>
                <w:sz w:val="24"/>
                <w:lang w:eastAsia="zh-CN" w:bidi="ar"/>
              </w:rPr>
              <w:t>气</w:t>
            </w:r>
          </w:p>
        </w:tc>
      </w:tr>
      <w:tr>
        <w:tblPrEx>
          <w:tblCellMar>
            <w:top w:w="0" w:type="dxa"/>
            <w:left w:w="108" w:type="dxa"/>
            <w:bottom w:w="0" w:type="dxa"/>
            <w:right w:w="108" w:type="dxa"/>
          </w:tblCellMar>
        </w:tblPrEx>
        <w:trPr>
          <w:trHeight w:val="20" w:hRule="atLeast"/>
        </w:trPr>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2</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南岸区</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重庆长江电工工业集团有限公司</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水</w:t>
            </w:r>
            <w:r>
              <w:rPr>
                <w:rFonts w:hint="default" w:ascii="Times New Roman" w:hAnsi="Times New Roman" w:eastAsia="方正仿宋_GBK" w:cs="Times New Roman"/>
                <w:color w:val="auto"/>
                <w:kern w:val="0"/>
                <w:sz w:val="24"/>
                <w:lang w:eastAsia="zh-CN" w:bidi="ar"/>
              </w:rPr>
              <w:t>，</w:t>
            </w:r>
            <w:r>
              <w:rPr>
                <w:rFonts w:hint="default" w:ascii="Times New Roman" w:hAnsi="Times New Roman" w:eastAsia="方正仿宋_GBK" w:cs="Times New Roman"/>
                <w:color w:val="auto"/>
                <w:kern w:val="0"/>
                <w:sz w:val="24"/>
                <w:lang w:bidi="ar"/>
              </w:rPr>
              <w:t>土</w:t>
            </w:r>
          </w:p>
        </w:tc>
      </w:tr>
      <w:tr>
        <w:tblPrEx>
          <w:tblCellMar>
            <w:top w:w="0" w:type="dxa"/>
            <w:left w:w="108" w:type="dxa"/>
            <w:bottom w:w="0" w:type="dxa"/>
            <w:right w:w="108" w:type="dxa"/>
          </w:tblCellMar>
        </w:tblPrEx>
        <w:trPr>
          <w:trHeight w:val="20" w:hRule="atLeast"/>
        </w:trPr>
        <w:tc>
          <w:tcPr>
            <w:tcW w:w="7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3</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南岸区</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重庆莱美药业股份有限公司</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水</w:t>
            </w:r>
          </w:p>
        </w:tc>
      </w:tr>
      <w:tr>
        <w:tblPrEx>
          <w:tblCellMar>
            <w:top w:w="0" w:type="dxa"/>
            <w:left w:w="108" w:type="dxa"/>
            <w:bottom w:w="0" w:type="dxa"/>
            <w:right w:w="108" w:type="dxa"/>
          </w:tblCellMar>
        </w:tblPrEx>
        <w:trPr>
          <w:trHeight w:val="20" w:hRule="atLeast"/>
        </w:trPr>
        <w:tc>
          <w:tcPr>
            <w:tcW w:w="7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4</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南岸区</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重庆博森电气（集团）有限公司</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水</w:t>
            </w:r>
            <w:r>
              <w:rPr>
                <w:rFonts w:hint="default" w:ascii="Times New Roman" w:hAnsi="Times New Roman" w:eastAsia="方正仿宋_GBK" w:cs="Times New Roman"/>
                <w:color w:val="auto"/>
                <w:kern w:val="0"/>
                <w:sz w:val="24"/>
                <w:lang w:eastAsia="zh-CN" w:bidi="ar"/>
              </w:rPr>
              <w:t>，</w:t>
            </w:r>
            <w:r>
              <w:rPr>
                <w:rFonts w:hint="default" w:ascii="Times New Roman" w:hAnsi="Times New Roman" w:eastAsia="方正仿宋_GBK" w:cs="Times New Roman"/>
                <w:color w:val="auto"/>
                <w:kern w:val="0"/>
                <w:sz w:val="24"/>
                <w:lang w:bidi="ar"/>
              </w:rPr>
              <w:t>土</w:t>
            </w:r>
          </w:p>
        </w:tc>
      </w:tr>
      <w:tr>
        <w:tblPrEx>
          <w:tblCellMar>
            <w:top w:w="0" w:type="dxa"/>
            <w:left w:w="108" w:type="dxa"/>
            <w:bottom w:w="0" w:type="dxa"/>
            <w:right w:w="108" w:type="dxa"/>
          </w:tblCellMar>
        </w:tblPrEx>
        <w:trPr>
          <w:trHeight w:val="20" w:hRule="atLeast"/>
        </w:trPr>
        <w:tc>
          <w:tcPr>
            <w:tcW w:w="7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5</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南岸区</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重庆市东部水务技术开发有限公司</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水</w:t>
            </w:r>
          </w:p>
        </w:tc>
      </w:tr>
      <w:tr>
        <w:tblPrEx>
          <w:tblCellMar>
            <w:top w:w="0" w:type="dxa"/>
            <w:left w:w="108" w:type="dxa"/>
            <w:bottom w:w="0" w:type="dxa"/>
            <w:right w:w="108" w:type="dxa"/>
          </w:tblCellMar>
        </w:tblPrEx>
        <w:trPr>
          <w:trHeight w:val="20" w:hRule="atLeast"/>
        </w:trPr>
        <w:tc>
          <w:tcPr>
            <w:tcW w:w="7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6</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南岸区</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重庆市天友乳品二厂有限公司</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水</w:t>
            </w:r>
          </w:p>
        </w:tc>
      </w:tr>
      <w:tr>
        <w:tblPrEx>
          <w:tblCellMar>
            <w:top w:w="0" w:type="dxa"/>
            <w:left w:w="108" w:type="dxa"/>
            <w:bottom w:w="0" w:type="dxa"/>
            <w:right w:w="108" w:type="dxa"/>
          </w:tblCellMar>
        </w:tblPrEx>
        <w:trPr>
          <w:trHeight w:val="20" w:hRule="atLeast"/>
        </w:trPr>
        <w:tc>
          <w:tcPr>
            <w:tcW w:w="7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7</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南岸区</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重庆市排水有限公司鸡冠石污水处理厂</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水</w:t>
            </w:r>
          </w:p>
        </w:tc>
      </w:tr>
      <w:tr>
        <w:tblPrEx>
          <w:tblCellMar>
            <w:top w:w="0" w:type="dxa"/>
            <w:left w:w="108" w:type="dxa"/>
            <w:bottom w:w="0" w:type="dxa"/>
            <w:right w:w="108" w:type="dxa"/>
          </w:tblCellMar>
        </w:tblPrEx>
        <w:trPr>
          <w:trHeight w:val="20" w:hRule="atLeast"/>
        </w:trPr>
        <w:tc>
          <w:tcPr>
            <w:tcW w:w="7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8</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南岸区</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重庆港城污水处理有限公司</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水</w:t>
            </w:r>
          </w:p>
        </w:tc>
      </w:tr>
      <w:tr>
        <w:tblPrEx>
          <w:tblCellMar>
            <w:top w:w="0" w:type="dxa"/>
            <w:left w:w="108" w:type="dxa"/>
            <w:bottom w:w="0" w:type="dxa"/>
            <w:right w:w="108" w:type="dxa"/>
          </w:tblCellMar>
        </w:tblPrEx>
        <w:trPr>
          <w:trHeight w:val="20" w:hRule="atLeast"/>
        </w:trPr>
        <w:tc>
          <w:tcPr>
            <w:tcW w:w="7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9</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南岸区</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国家电投集团远达环保催化剂有限公司</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土</w:t>
            </w:r>
          </w:p>
        </w:tc>
      </w:tr>
    </w:tbl>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涉气重点企业名单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4440"/>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57" w:type="dxa"/>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序号</w:t>
            </w:r>
          </w:p>
        </w:tc>
        <w:tc>
          <w:tcPr>
            <w:tcW w:w="4440" w:type="dxa"/>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单位名称</w:t>
            </w:r>
          </w:p>
        </w:tc>
        <w:tc>
          <w:tcPr>
            <w:tcW w:w="3255" w:type="dxa"/>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重庆新华印务有限公司（开拓路厂）</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南岸区长生桥镇开拓路6号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4"/>
                <w:szCs w:val="24"/>
                <w:vertAlign w:val="baseline"/>
                <w:lang w:val="en-US" w:eastAsia="zh-CN"/>
              </w:rPr>
              <w:t>重庆新华印务有限公司（牡丹路厂）</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4"/>
                <w:szCs w:val="24"/>
                <w:vertAlign w:val="baseline"/>
                <w:lang w:val="en-US" w:eastAsia="zh-CN"/>
              </w:rPr>
              <w:t>南岸区长生桥镇牡丹路16号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重庆长江轴承股份有限公司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南岸区长生桥镇蔷薇路11号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重庆市宏声铝箔包装材料有限公司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南岸区花园路街道桃园二路3号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重庆江南印务有限公司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南岸区花园路街道白鹤路46号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6</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重庆金菱汽车（集团）有限公司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南岸区花园路街道白鹤路工业园区1号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7</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重庆华辉涂料有限公司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南岸区长生桥镇茶花社区玉马路20号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8</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重庆跨世纪汽车维修有限公司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南岸区长生桥镇樱花路2号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9</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重庆美的通用制冷设备有限公司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南岸区长生桥镇茶花社区蔷薇路15号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10</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重庆拓维印务有限公司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南岸区长生桥镇江迎路11-7号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11</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中国电子科技集团公司第四十四研究所</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南岸区花园路街道花园路14号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12</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中国电子科技集团公司第二十四研究所</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南岸区花园路街道花园路14号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13</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中国电子科技集团公司第二十六研究所</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南岸区花园路街道花园路14号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14</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重庆迪马工业有限责任公司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南岸区长电路8号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16</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重庆市现代高新汽车服务有限公司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南岸区白鹤路100号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17</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重庆商社德奥汽车有限公司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南岸区经开区海峡路300号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18</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重庆商社西星汽车销售服务有限公司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南岸区经开区海峡路111号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19</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重庆强力汽车销售服务有限公司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南岸区海棠溪街道学府大道81号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20</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重庆万博汽车有限公司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南岸区海棠溪街道六公里正街1号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22</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重庆市庆德宝汽车销售服务有限公司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南岸区长生桥镇通江大道121号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23</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重庆百事达华众汽车销售服务有限公司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南岸区花园路街道南湖路12号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25</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重庆同捷汽车销售有限公司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南岸区海棠溪街道辅仁路8号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27</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重庆世纪沪力汽车销售服务有限公司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南岸区南坪东路41号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28</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重庆百事达东本汽车销售服务有限公司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南岸区花园路街道南湖路12号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29</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重庆泰诺汽车销售有限公司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南岸区南坪镇康恒路19号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30</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重庆银迅汽车销售服务有限公司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南岸区海棠溪街道学府大道96号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31</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重庆柒安电线电缆</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南岸区花园路街道回龙工业园区73号地块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32</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eastAsia="zh-CN" w:bidi="ar-SA"/>
              </w:rPr>
              <w:t>重庆长安铃木汽车有限公司重庆销售服务中心</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重庆市南岸区南坪大石路56号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33</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eastAsia="zh-CN" w:bidi="ar-SA"/>
              </w:rPr>
              <w:t>重庆渝润汽车服务有限公司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重庆市南岸区白鹤路61号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34</w:t>
            </w:r>
          </w:p>
        </w:tc>
        <w:tc>
          <w:tcPr>
            <w:tcW w:w="4440" w:type="dxa"/>
            <w:noWrap w:val="0"/>
            <w:vAlign w:val="bottom"/>
          </w:tcPr>
          <w:p>
            <w:pPr>
              <w:spacing w:line="400" w:lineRule="exact"/>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重庆名建汽车销售有限公司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南岸区学府大道58号附1号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35</w:t>
            </w:r>
          </w:p>
        </w:tc>
        <w:tc>
          <w:tcPr>
            <w:tcW w:w="4440" w:type="dxa"/>
            <w:noWrap w:val="0"/>
            <w:vAlign w:val="bottom"/>
          </w:tcPr>
          <w:p>
            <w:pPr>
              <w:spacing w:line="400" w:lineRule="exact"/>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eastAsia="zh-CN" w:bidi="ar-SA"/>
              </w:rPr>
              <w:t>重庆同捷汽车销售有限公司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重庆市南岸区辅向路8号8栋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36</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eastAsia="zh-CN" w:bidi="ar-SA"/>
              </w:rPr>
              <w:t>重庆万友尊达汽车销售服务有限公司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重庆市南岸区光电路18号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37</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eastAsia="zh-CN" w:bidi="ar-SA"/>
              </w:rPr>
              <w:t>重庆恒永汽车销售有限公司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学府大道42号附3号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38</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eastAsia="zh-CN" w:bidi="ar-SA"/>
              </w:rPr>
              <w:t>重庆美心麦森门业有限责任公司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重庆市南岸区白鹤路56号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39</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kern w:val="0"/>
                <w:sz w:val="24"/>
                <w:szCs w:val="24"/>
                <w:lang w:val="en-US" w:eastAsia="zh-CN" w:bidi="ar-SA"/>
              </w:rPr>
              <w:t>重庆中烟工业有限责任公司重庆卷烟厂</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重庆市南岸区涂山路579号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40</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kern w:val="0"/>
                <w:sz w:val="24"/>
                <w:szCs w:val="24"/>
                <w:lang w:val="en-US" w:eastAsia="zh-CN" w:bidi="ar-SA"/>
              </w:rPr>
              <w:t>重庆长江电工工业集团有限公司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茶园新区长电路1号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41</w:t>
            </w:r>
          </w:p>
        </w:tc>
        <w:tc>
          <w:tcPr>
            <w:tcW w:w="4440" w:type="dxa"/>
            <w:noWrap w:val="0"/>
            <w:vAlign w:val="center"/>
          </w:tcPr>
          <w:p>
            <w:pPr>
              <w:spacing w:line="360" w:lineRule="exact"/>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kern w:val="0"/>
                <w:sz w:val="24"/>
                <w:szCs w:val="24"/>
                <w:lang w:val="en-US" w:eastAsia="zh-CN" w:bidi="ar-SA"/>
              </w:rPr>
              <w:t>太极集团重庆桐君阁药厂有限公司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南岸区江峡路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42</w:t>
            </w:r>
          </w:p>
        </w:tc>
        <w:tc>
          <w:tcPr>
            <w:tcW w:w="4440" w:type="dxa"/>
            <w:noWrap w:val="0"/>
            <w:vAlign w:val="center"/>
          </w:tcPr>
          <w:p>
            <w:pPr>
              <w:spacing w:line="360" w:lineRule="exact"/>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kern w:val="0"/>
                <w:sz w:val="24"/>
                <w:szCs w:val="24"/>
                <w:lang w:val="en-US" w:eastAsia="zh-CN" w:bidi="ar-SA"/>
              </w:rPr>
              <w:t>国家电投集团远达环保催化剂有限公司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江峡路11号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43</w:t>
            </w:r>
          </w:p>
        </w:tc>
        <w:tc>
          <w:tcPr>
            <w:tcW w:w="4440" w:type="dxa"/>
            <w:noWrap w:val="0"/>
            <w:vAlign w:val="center"/>
          </w:tcPr>
          <w:p>
            <w:pPr>
              <w:spacing w:line="36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重庆机床(集团)有限责任公司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南岸区江溪路6号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44</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重庆南部公共交通有限公司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重庆市南坪东路六号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45</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重庆市乐缘复合包装制品有限责任公司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重庆市南岸区樱花路10号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46</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重庆腾升塔式起重机有限公司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南岸区长电路4号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47</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重庆东杰汽车销售服务有限公司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重庆市南岸区花园路街道丹龙路79号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48</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重庆永达南星汽车销售服务有限公司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重庆市南岸区辅仁路6号2号楼1、2层商业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49</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重庆三达广告印务装璜有限公司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重庆市南岸区江峡路8号3号厂房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50</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重庆圣华曦药业股份有限公司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南岸区江桥路8号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51</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重庆宏劲印务有限责任公司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重庆市南岸区长电路3号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center"/>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52</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重庆昊晟玻璃股份有限公司</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长生桥镇茶园长电路6号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7" w:type="dxa"/>
            <w:noWrap w:val="0"/>
            <w:vAlign w:val="top"/>
          </w:tcPr>
          <w:p>
            <w:pPr>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53</w:t>
            </w:r>
          </w:p>
        </w:tc>
        <w:tc>
          <w:tcPr>
            <w:tcW w:w="44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鸡冠石污水处理厂污泥干化中心</w:t>
            </w:r>
          </w:p>
        </w:tc>
        <w:tc>
          <w:tcPr>
            <w:tcW w:w="32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南岸区鸡冠石正街99号</w:t>
            </w:r>
          </w:p>
        </w:tc>
      </w:tr>
    </w:tbl>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涉消耗臭氧层物质（ODS）备案企业</w:t>
      </w:r>
    </w:p>
    <w:tbl>
      <w:tblPr>
        <w:tblStyle w:val="8"/>
        <w:tblpPr w:leftFromText="180" w:rightFromText="180" w:vertAnchor="text" w:tblpXSpec="center" w:tblpY="1"/>
        <w:tblOverlap w:val="never"/>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5839"/>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527" w:type="dxa"/>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序号</w:t>
            </w:r>
          </w:p>
        </w:tc>
        <w:tc>
          <w:tcPr>
            <w:tcW w:w="5839" w:type="dxa"/>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单  位  名  称</w:t>
            </w:r>
          </w:p>
        </w:tc>
        <w:tc>
          <w:tcPr>
            <w:tcW w:w="1972" w:type="dxa"/>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行业类别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1527"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p>
        </w:tc>
        <w:tc>
          <w:tcPr>
            <w:tcW w:w="5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重欣程制冷配件有限公司库板工厂</w:t>
            </w:r>
          </w:p>
        </w:tc>
        <w:tc>
          <w:tcPr>
            <w:tcW w:w="19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泡沫发泡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1527"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w:t>
            </w:r>
          </w:p>
        </w:tc>
        <w:tc>
          <w:tcPr>
            <w:tcW w:w="5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重庆市美的制冷设备有限公司</w:t>
            </w:r>
          </w:p>
        </w:tc>
        <w:tc>
          <w:tcPr>
            <w:tcW w:w="19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制冷行业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1527"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w:t>
            </w:r>
          </w:p>
        </w:tc>
        <w:tc>
          <w:tcPr>
            <w:tcW w:w="5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重庆通用工业（集团）有限公司</w:t>
            </w:r>
          </w:p>
        </w:tc>
        <w:tc>
          <w:tcPr>
            <w:tcW w:w="19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制冷行业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1527"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w:t>
            </w:r>
          </w:p>
        </w:tc>
        <w:tc>
          <w:tcPr>
            <w:tcW w:w="5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重庆美心麦森门业有限公司</w:t>
            </w:r>
          </w:p>
        </w:tc>
        <w:tc>
          <w:tcPr>
            <w:tcW w:w="19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泡沫发泡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527"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w:t>
            </w:r>
          </w:p>
        </w:tc>
        <w:tc>
          <w:tcPr>
            <w:tcW w:w="5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重庆市顺治达包装材料有限责任公司</w:t>
            </w:r>
          </w:p>
        </w:tc>
        <w:tc>
          <w:tcPr>
            <w:tcW w:w="19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泡沫发泡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527"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6</w:t>
            </w:r>
          </w:p>
        </w:tc>
        <w:tc>
          <w:tcPr>
            <w:tcW w:w="5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重庆海达通科技有限公司</w:t>
            </w:r>
          </w:p>
        </w:tc>
        <w:tc>
          <w:tcPr>
            <w:tcW w:w="19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泡沫发泡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527"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7</w:t>
            </w:r>
          </w:p>
        </w:tc>
        <w:tc>
          <w:tcPr>
            <w:tcW w:w="5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重庆美的通用制冷设备有限公司</w:t>
            </w:r>
          </w:p>
        </w:tc>
        <w:tc>
          <w:tcPr>
            <w:tcW w:w="19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制冷行业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527"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8</w:t>
            </w:r>
          </w:p>
        </w:tc>
        <w:tc>
          <w:tcPr>
            <w:tcW w:w="5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重庆美心蒙迪门业制造有限公司</w:t>
            </w:r>
          </w:p>
        </w:tc>
        <w:tc>
          <w:tcPr>
            <w:tcW w:w="19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泡沫发泡</w:t>
            </w:r>
          </w:p>
        </w:tc>
      </w:tr>
    </w:tbl>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涉核与辐射企业</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889"/>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序号</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单  位  名  称</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南岸大田输变电项目（变电部分）</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三同时项目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重庆现代女子医院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重庆圣保罗医院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重庆交通大学医院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重庆市南岸区人民医院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6</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重庆雅博尔口腔门诊部有限责任公司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7</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重庆市南岸区铜元局街道社区卫生服务中心</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8</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重庆创太达尔康医院有限责任公司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康平医院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10</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重庆市邮电大学医院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11</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重庆市南岸区中西医结合医院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12</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重庆市南岸区南山街道社区卫生服务中心</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13</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重庆市南岸区第三人民医院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14</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重庆市南岸区中医院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15</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重庆市渝都监狱医院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16</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重庆市南岸区疾病预防控制中心</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17</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重庆市南岸区刘愉口腔诊所</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18</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重庆市南岸区峡口镇卫生院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19</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西南计算机有限责任公司职工医院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20</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重庆康达医院有限公司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21</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重庆工商大学</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22</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重庆美的制冷设备有限公司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23</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重庆市南岸区迎龙镇卫生院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24</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重庆市南岸区广阳镇卫生院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25</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重庆和技环境检测有限公司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26</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重庆市南岸区妇幼保健计划生育服务中心</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27</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重庆市南岸区鸡冠石镇卫生院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28</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重庆盛景医院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29</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重庆国晟中西医结合医院有限公司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30</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重庆卫东益民口腔门诊部</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31</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南岸八益口腔门诊部</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32</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重庆国医堂医院有限公司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33</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重庆名望宝康动物医院有限公司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34</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重庆中颐颐康口腔门诊部</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35</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重庆华西口腔弹子石门诊部</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36</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重庆远大中西医结合医院有限公司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37</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重庆华医中西医结合医院有限公司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38</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重庆南岸慈济护理院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39</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重庆南城医院有限责任公司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40</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维沃移动通信（重庆）有限公司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41</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南岸贝格口腔门诊部</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42</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重庆小米熊儿童医院有限公司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43</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重庆慈铭奥亚健康管理有限公司江南体检中心</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44</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重庆南岸华仁护理院</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45</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重庆慈佑中西医结合医院有限公司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46</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重庆成佳牙博士口腔医院有限公司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47</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南岸区丰齐口腔门诊部</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48</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重庆南岸摩尔口腔医院有限公司</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49</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重庆泰康拜博口腔医院管理有限公司南岸区口腔诊所</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50</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重庆济慈口腔医院管理有限公司南岸茶园口腔诊所</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51</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南岸张龙珍口腔诊所</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52</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重庆维乐口腔诊所管理连锁有限公司南岸口腔诊所</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53</w:t>
            </w:r>
          </w:p>
        </w:tc>
        <w:tc>
          <w:tcPr>
            <w:tcW w:w="68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重庆南岸区龙门浩街道社区卫生服务中心</w:t>
            </w: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许可证</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污水处理厂名录</w:t>
      </w:r>
    </w:p>
    <w:tbl>
      <w:tblPr>
        <w:tblStyle w:val="8"/>
        <w:tblpPr w:leftFromText="180" w:rightFromText="180" w:vertAnchor="text" w:horzAnchor="page" w:tblpXSpec="center" w:tblpY="16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295"/>
        <w:gridCol w:w="3495"/>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eastAsia="zh-CN"/>
              </w:rPr>
            </w:pPr>
            <w:r>
              <w:rPr>
                <w:rFonts w:hint="default" w:ascii="Times New Roman" w:hAnsi="Times New Roman" w:eastAsia="方正黑体_GBK" w:cs="Times New Roman"/>
                <w:b w:val="0"/>
                <w:bCs/>
                <w:color w:val="auto"/>
                <w:kern w:val="0"/>
                <w:sz w:val="24"/>
                <w:lang w:eastAsia="zh-CN"/>
              </w:rPr>
              <w:t>序号</w:t>
            </w:r>
          </w:p>
        </w:tc>
        <w:tc>
          <w:tcPr>
            <w:tcW w:w="2295" w:type="dxa"/>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eastAsia="zh-CN"/>
              </w:rPr>
            </w:pPr>
            <w:r>
              <w:rPr>
                <w:rFonts w:hint="default" w:ascii="Times New Roman" w:hAnsi="Times New Roman" w:eastAsia="方正黑体_GBK" w:cs="Times New Roman"/>
                <w:b w:val="0"/>
                <w:bCs/>
                <w:color w:val="auto"/>
                <w:kern w:val="0"/>
                <w:sz w:val="24"/>
                <w:lang w:eastAsia="zh-CN"/>
              </w:rPr>
              <w:t>名称</w:t>
            </w:r>
          </w:p>
        </w:tc>
        <w:tc>
          <w:tcPr>
            <w:tcW w:w="3495" w:type="dxa"/>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eastAsia="zh-CN"/>
              </w:rPr>
            </w:pPr>
            <w:r>
              <w:rPr>
                <w:rFonts w:hint="default" w:ascii="Times New Roman" w:hAnsi="Times New Roman" w:eastAsia="方正黑体_GBK" w:cs="Times New Roman"/>
                <w:b w:val="0"/>
                <w:bCs/>
                <w:color w:val="auto"/>
                <w:kern w:val="0"/>
                <w:sz w:val="24"/>
                <w:lang w:eastAsia="zh-CN"/>
              </w:rPr>
              <w:t>地址</w:t>
            </w:r>
          </w:p>
        </w:tc>
        <w:tc>
          <w:tcPr>
            <w:tcW w:w="2925" w:type="dxa"/>
            <w:noWrap w:val="0"/>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rPr>
            </w:pPr>
            <w:r>
              <w:rPr>
                <w:rFonts w:hint="default" w:ascii="Times New Roman" w:hAnsi="Times New Roman" w:eastAsia="方正黑体_GBK" w:cs="Times New Roman"/>
                <w:b w:val="0"/>
                <w:bCs/>
                <w:color w:val="auto"/>
                <w:kern w:val="0"/>
                <w:sz w:val="24"/>
                <w:lang w:val="en-US" w:eastAsia="zh-CN"/>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center"/>
          </w:tcPr>
          <w:p>
            <w:pPr>
              <w:keepNext w:val="0"/>
              <w:keepLines w:val="0"/>
              <w:pageBreakBefore w:val="0"/>
              <w:kinsoku/>
              <w:wordWrap/>
              <w:overflowPunct/>
              <w:topLinePunct w:val="0"/>
              <w:autoSpaceDE/>
              <w:autoSpaceDN/>
              <w:bidi w:val="0"/>
              <w:adjustRightInd/>
              <w:spacing w:line="400" w:lineRule="exact"/>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w:t>
            </w:r>
          </w:p>
        </w:tc>
        <w:tc>
          <w:tcPr>
            <w:tcW w:w="2295"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鸡冠石污水处理厂</w:t>
            </w:r>
          </w:p>
        </w:tc>
        <w:tc>
          <w:tcPr>
            <w:tcW w:w="3495"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val="en-US" w:eastAsia="zh-CN" w:bidi="ar"/>
              </w:rPr>
              <w:t>重庆市南岸区鸡冠石镇正街99号</w:t>
            </w:r>
          </w:p>
        </w:tc>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GB18918-2002一级A标准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center"/>
          </w:tcPr>
          <w:p>
            <w:pPr>
              <w:keepNext w:val="0"/>
              <w:keepLines w:val="0"/>
              <w:pageBreakBefore w:val="0"/>
              <w:kinsoku/>
              <w:wordWrap/>
              <w:overflowPunct/>
              <w:topLinePunct w:val="0"/>
              <w:autoSpaceDE/>
              <w:autoSpaceDN/>
              <w:bidi w:val="0"/>
              <w:adjustRightInd/>
              <w:spacing w:line="400" w:lineRule="exact"/>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w:t>
            </w:r>
          </w:p>
        </w:tc>
        <w:tc>
          <w:tcPr>
            <w:tcW w:w="2295"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茶园污水处理厂</w:t>
            </w:r>
          </w:p>
        </w:tc>
        <w:tc>
          <w:tcPr>
            <w:tcW w:w="3495"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重庆市南岸区迎龙镇四坪村</w:t>
            </w:r>
          </w:p>
        </w:tc>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GB18918-2002一级A标准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center"/>
          </w:tcPr>
          <w:p>
            <w:pPr>
              <w:keepNext w:val="0"/>
              <w:keepLines w:val="0"/>
              <w:pageBreakBefore w:val="0"/>
              <w:kinsoku/>
              <w:wordWrap/>
              <w:overflowPunct/>
              <w:topLinePunct w:val="0"/>
              <w:autoSpaceDE/>
              <w:autoSpaceDN/>
              <w:bidi w:val="0"/>
              <w:adjustRightInd/>
              <w:spacing w:line="400" w:lineRule="exact"/>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w:t>
            </w:r>
          </w:p>
        </w:tc>
        <w:tc>
          <w:tcPr>
            <w:tcW w:w="2295"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港城污水处理厂</w:t>
            </w:r>
          </w:p>
        </w:tc>
        <w:tc>
          <w:tcPr>
            <w:tcW w:w="3495"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重庆市南岸区广阳镇明月沱社区</w:t>
            </w:r>
          </w:p>
        </w:tc>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GB18918-2002一级A标准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center"/>
          </w:tcPr>
          <w:p>
            <w:pPr>
              <w:keepNext w:val="0"/>
              <w:keepLines w:val="0"/>
              <w:pageBreakBefore w:val="0"/>
              <w:kinsoku/>
              <w:wordWrap/>
              <w:overflowPunct/>
              <w:topLinePunct w:val="0"/>
              <w:autoSpaceDE/>
              <w:autoSpaceDN/>
              <w:bidi w:val="0"/>
              <w:adjustRightInd/>
              <w:spacing w:line="400" w:lineRule="exact"/>
              <w:jc w:val="center"/>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w:t>
            </w:r>
          </w:p>
        </w:tc>
        <w:tc>
          <w:tcPr>
            <w:tcW w:w="2295"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石院子污水处理厂</w:t>
            </w:r>
          </w:p>
        </w:tc>
        <w:tc>
          <w:tcPr>
            <w:tcW w:w="3495" w:type="dxa"/>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szCs w:val="24"/>
                <w:lang w:eastAsia="zh-CN" w:bidi="ar"/>
              </w:rPr>
            </w:pPr>
            <w:r>
              <w:rPr>
                <w:rFonts w:hint="default" w:ascii="Times New Roman" w:hAnsi="Times New Roman" w:eastAsia="方正仿宋_GBK" w:cs="Times New Roman"/>
                <w:color w:val="auto"/>
                <w:kern w:val="0"/>
                <w:sz w:val="24"/>
                <w:szCs w:val="24"/>
                <w:lang w:eastAsia="zh-CN" w:bidi="ar"/>
              </w:rPr>
              <w:t>重庆市南岸区南山街道金竹村石院子组</w:t>
            </w:r>
          </w:p>
        </w:tc>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i w:val="0"/>
                <w:color w:val="000000"/>
                <w:kern w:val="0"/>
                <w:sz w:val="24"/>
                <w:szCs w:val="24"/>
                <w:u w:val="none"/>
                <w:lang w:val="en-US" w:eastAsia="zh-CN" w:bidi="ar"/>
              </w:rPr>
              <w:t>GB18918-2002一级B标准</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vertAlign w:val="baseline"/>
          <w:lang w:val="en-US"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农村污水处理设施</w:t>
      </w:r>
    </w:p>
    <w:tbl>
      <w:tblPr>
        <w:tblStyle w:val="7"/>
        <w:tblW w:w="9238" w:type="dxa"/>
        <w:tblInd w:w="0" w:type="dxa"/>
        <w:tblLayout w:type="fixed"/>
        <w:tblCellMar>
          <w:top w:w="0" w:type="dxa"/>
          <w:left w:w="0" w:type="dxa"/>
          <w:bottom w:w="0" w:type="dxa"/>
          <w:right w:w="0" w:type="dxa"/>
        </w:tblCellMar>
      </w:tblPr>
      <w:tblGrid>
        <w:gridCol w:w="3070"/>
        <w:gridCol w:w="3460"/>
        <w:gridCol w:w="1237"/>
        <w:gridCol w:w="1471"/>
      </w:tblGrid>
      <w:tr>
        <w:tblPrEx>
          <w:tblCellMar>
            <w:top w:w="0" w:type="dxa"/>
            <w:left w:w="0" w:type="dxa"/>
            <w:bottom w:w="0" w:type="dxa"/>
            <w:right w:w="0" w:type="dxa"/>
          </w:tblCellMar>
        </w:tblPrEx>
        <w:trPr>
          <w:trHeight w:val="270" w:hRule="atLeast"/>
        </w:trPr>
        <w:tc>
          <w:tcPr>
            <w:tcW w:w="30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eastAsia="zh-CN"/>
              </w:rPr>
            </w:pPr>
            <w:r>
              <w:rPr>
                <w:rFonts w:hint="default" w:ascii="Times New Roman" w:hAnsi="Times New Roman" w:eastAsia="方正黑体_GBK" w:cs="Times New Roman"/>
                <w:b w:val="0"/>
                <w:bCs/>
                <w:color w:val="auto"/>
                <w:kern w:val="0"/>
                <w:sz w:val="24"/>
                <w:lang w:val="en-US" w:eastAsia="zh-CN"/>
              </w:rPr>
              <w:t>点位</w:t>
            </w:r>
          </w:p>
        </w:tc>
        <w:tc>
          <w:tcPr>
            <w:tcW w:w="34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eastAsia="zh-CN"/>
              </w:rPr>
            </w:pPr>
            <w:r>
              <w:rPr>
                <w:rFonts w:hint="default" w:ascii="Times New Roman" w:hAnsi="Times New Roman" w:eastAsia="方正黑体_GBK" w:cs="Times New Roman"/>
                <w:b w:val="0"/>
                <w:bCs/>
                <w:color w:val="auto"/>
                <w:kern w:val="0"/>
                <w:sz w:val="24"/>
                <w:lang w:val="en-US" w:eastAsia="zh-CN"/>
              </w:rPr>
              <w:t>污水站名称</w:t>
            </w:r>
          </w:p>
        </w:tc>
        <w:tc>
          <w:tcPr>
            <w:tcW w:w="12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eastAsia="zh-CN"/>
              </w:rPr>
            </w:pPr>
            <w:r>
              <w:rPr>
                <w:rFonts w:hint="default" w:ascii="Times New Roman" w:hAnsi="Times New Roman" w:eastAsia="方正黑体_GBK" w:cs="Times New Roman"/>
                <w:b w:val="0"/>
                <w:bCs/>
                <w:color w:val="auto"/>
                <w:kern w:val="0"/>
                <w:sz w:val="24"/>
                <w:lang w:val="en-US" w:eastAsia="zh-CN"/>
              </w:rPr>
              <w:t>污水处理设施建设数量</w:t>
            </w:r>
          </w:p>
        </w:tc>
        <w:tc>
          <w:tcPr>
            <w:tcW w:w="14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eastAsia="zh-CN"/>
              </w:rPr>
            </w:pPr>
            <w:r>
              <w:rPr>
                <w:rFonts w:hint="default" w:ascii="Times New Roman" w:hAnsi="Times New Roman" w:eastAsia="方正黑体_GBK" w:cs="Times New Roman"/>
                <w:b w:val="0"/>
                <w:bCs/>
                <w:color w:val="auto"/>
                <w:kern w:val="0"/>
                <w:sz w:val="24"/>
                <w:lang w:val="en-US" w:eastAsia="zh-CN"/>
              </w:rPr>
              <w:t>污水处理设施设计规模（m3/d）</w:t>
            </w:r>
          </w:p>
        </w:tc>
      </w:tr>
      <w:tr>
        <w:tblPrEx>
          <w:tblCellMar>
            <w:top w:w="0" w:type="dxa"/>
            <w:left w:w="0" w:type="dxa"/>
            <w:bottom w:w="0" w:type="dxa"/>
            <w:right w:w="0" w:type="dxa"/>
          </w:tblCellMar>
        </w:tblPrEx>
        <w:trPr>
          <w:trHeight w:val="715" w:hRule="atLeast"/>
        </w:trPr>
        <w:tc>
          <w:tcPr>
            <w:tcW w:w="30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0"/>
                <w:szCs w:val="20"/>
                <w:u w:val="none"/>
              </w:rPr>
            </w:pPr>
          </w:p>
        </w:tc>
        <w:tc>
          <w:tcPr>
            <w:tcW w:w="34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0"/>
                <w:szCs w:val="20"/>
                <w:u w:val="none"/>
              </w:rPr>
            </w:pPr>
          </w:p>
        </w:tc>
        <w:tc>
          <w:tcPr>
            <w:tcW w:w="14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广阳镇银湖村污水处理设施</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广阳镇银湖村污水处理设施</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250</w:t>
            </w: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广阳镇新六村污水处理设施</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喻家沱污水处理站</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50</w:t>
            </w: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峡口镇大石村乐和·馥康农民新村</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峡口镇大石村乐和·馥康农民新村微动力污水处理设施</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21</w:t>
            </w: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迎龙镇清油洞村仰天窝新农村</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迎龙镇清油洞村仰天窝新农村新农村集中式污水处理站</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40</w:t>
            </w: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南山街道放牛村大竹林生化处理池</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南山街道放牛村大竹林生化处理池</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100</w:t>
            </w:r>
          </w:p>
        </w:tc>
      </w:tr>
      <w:tr>
        <w:tblPrEx>
          <w:tblCellMar>
            <w:top w:w="0" w:type="dxa"/>
            <w:left w:w="0" w:type="dxa"/>
            <w:bottom w:w="0" w:type="dxa"/>
            <w:right w:w="0" w:type="dxa"/>
          </w:tblCellMar>
        </w:tblPrEx>
        <w:trPr>
          <w:trHeight w:val="48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南山街道放牛村堰塘湾集中式污水处理设施</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放牛村堰塘湾集中式污水处理设施</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40</w:t>
            </w: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长生桥镇广福水库</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广福水库农村生活污水处理设施</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20</w:t>
            </w:r>
          </w:p>
        </w:tc>
      </w:tr>
      <w:tr>
        <w:tblPrEx>
          <w:tblCellMar>
            <w:top w:w="0" w:type="dxa"/>
            <w:left w:w="0" w:type="dxa"/>
            <w:bottom w:w="0" w:type="dxa"/>
            <w:right w:w="0" w:type="dxa"/>
          </w:tblCellMar>
        </w:tblPrEx>
        <w:trPr>
          <w:trHeight w:val="48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长生桥镇茶园村祠堂坡一体化处理设施</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茶园村祠堂坡一体化处理设施</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20</w:t>
            </w:r>
          </w:p>
        </w:tc>
      </w:tr>
      <w:tr>
        <w:tblPrEx>
          <w:tblCellMar>
            <w:top w:w="0" w:type="dxa"/>
            <w:left w:w="0" w:type="dxa"/>
            <w:bottom w:w="0" w:type="dxa"/>
            <w:right w:w="0" w:type="dxa"/>
          </w:tblCellMar>
        </w:tblPrEx>
        <w:trPr>
          <w:trHeight w:val="48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长生桥镇广福村王家沟生活污水一体化处理设施</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广福村王家沟生活污水一体化处理设施</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40</w:t>
            </w:r>
          </w:p>
        </w:tc>
      </w:tr>
      <w:tr>
        <w:tblPrEx>
          <w:tblCellMar>
            <w:top w:w="0" w:type="dxa"/>
            <w:left w:w="0" w:type="dxa"/>
            <w:bottom w:w="0" w:type="dxa"/>
            <w:right w:w="0" w:type="dxa"/>
          </w:tblCellMar>
        </w:tblPrEx>
        <w:trPr>
          <w:trHeight w:val="48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长生桥镇南山水库农村生活污水处理设施</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南山水库农村生活污水处理设施</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20</w:t>
            </w: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大竹林映山红园</w:t>
            </w:r>
          </w:p>
        </w:tc>
        <w:tc>
          <w:tcPr>
            <w:tcW w:w="3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放牛村大竹林映山红园</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30</w:t>
            </w: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双龙村木耳坪2号</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木耳坪张家院子污水处理站</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40</w:t>
            </w: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石龙村大屋基组88号</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1#污水处理设备</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30</w:t>
            </w: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石龙村朱家冲组33号</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2#污水处理设备</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100</w:t>
            </w: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石龙村老泥湾组43号</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5#污水处理设备</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100</w:t>
            </w: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石龙村老泥湾组18号</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10#污水处理设备</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30</w:t>
            </w: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石龙村慧江搅拌站</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3#污水处理设备</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30</w:t>
            </w:r>
          </w:p>
        </w:tc>
      </w:tr>
      <w:tr>
        <w:tblPrEx>
          <w:tblCellMar>
            <w:top w:w="0" w:type="dxa"/>
            <w:left w:w="0" w:type="dxa"/>
            <w:bottom w:w="0" w:type="dxa"/>
            <w:right w:w="0" w:type="dxa"/>
          </w:tblCellMar>
        </w:tblPrEx>
        <w:trPr>
          <w:trHeight w:val="270" w:hRule="atLeast"/>
        </w:trPr>
        <w:tc>
          <w:tcPr>
            <w:tcW w:w="3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涂山镇莲花村畜牧组15号附1号</w:t>
            </w:r>
          </w:p>
        </w:tc>
        <w:tc>
          <w:tcPr>
            <w:tcW w:w="34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莲花村污水处理站</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100</w:t>
            </w:r>
          </w:p>
        </w:tc>
      </w:tr>
    </w:tbl>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水源地名录</w:t>
      </w:r>
    </w:p>
    <w:tbl>
      <w:tblPr>
        <w:tblStyle w:val="7"/>
        <w:tblW w:w="0" w:type="auto"/>
        <w:jc w:val="center"/>
        <w:tblLayout w:type="fixed"/>
        <w:tblCellMar>
          <w:top w:w="0" w:type="dxa"/>
          <w:left w:w="0" w:type="dxa"/>
          <w:bottom w:w="0" w:type="dxa"/>
          <w:right w:w="0" w:type="dxa"/>
        </w:tblCellMar>
      </w:tblPr>
      <w:tblGrid>
        <w:gridCol w:w="5903"/>
        <w:gridCol w:w="1522"/>
        <w:gridCol w:w="2014"/>
      </w:tblGrid>
      <w:tr>
        <w:tblPrEx>
          <w:tblCellMar>
            <w:top w:w="0" w:type="dxa"/>
            <w:left w:w="0" w:type="dxa"/>
            <w:bottom w:w="0" w:type="dxa"/>
            <w:right w:w="0" w:type="dxa"/>
          </w:tblCellMar>
        </w:tblPrEx>
        <w:trPr>
          <w:trHeight w:val="840" w:hRule="atLeast"/>
          <w:jc w:val="center"/>
        </w:trPr>
        <w:tc>
          <w:tcPr>
            <w:tcW w:w="59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水源地标准名称</w:t>
            </w:r>
          </w:p>
        </w:tc>
        <w:tc>
          <w:tcPr>
            <w:tcW w:w="353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所在行政区域</w:t>
            </w:r>
          </w:p>
        </w:tc>
      </w:tr>
      <w:tr>
        <w:tblPrEx>
          <w:tblCellMar>
            <w:top w:w="0" w:type="dxa"/>
            <w:left w:w="0" w:type="dxa"/>
            <w:bottom w:w="0" w:type="dxa"/>
            <w:right w:w="0" w:type="dxa"/>
          </w:tblCellMar>
        </w:tblPrEx>
        <w:trPr>
          <w:trHeight w:val="840" w:hRule="atLeast"/>
          <w:jc w:val="center"/>
        </w:trPr>
        <w:tc>
          <w:tcPr>
            <w:tcW w:w="59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p>
        </w:tc>
        <w:tc>
          <w:tcPr>
            <w:tcW w:w="1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区县</w:t>
            </w:r>
          </w:p>
        </w:tc>
        <w:tc>
          <w:tcPr>
            <w:tcW w:w="2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乡镇</w:t>
            </w:r>
          </w:p>
        </w:tc>
      </w:tr>
      <w:tr>
        <w:tblPrEx>
          <w:tblCellMar>
            <w:top w:w="0" w:type="dxa"/>
            <w:left w:w="0" w:type="dxa"/>
            <w:bottom w:w="0" w:type="dxa"/>
            <w:right w:w="0" w:type="dxa"/>
          </w:tblCellMar>
        </w:tblPrEx>
        <w:trPr>
          <w:trHeight w:val="840" w:hRule="atLeast"/>
          <w:jc w:val="center"/>
        </w:trPr>
        <w:tc>
          <w:tcPr>
            <w:tcW w:w="5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南岸区白洋滩水厂长江水源地</w:t>
            </w:r>
          </w:p>
        </w:tc>
        <w:tc>
          <w:tcPr>
            <w:tcW w:w="1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南岸区</w:t>
            </w:r>
          </w:p>
        </w:tc>
        <w:tc>
          <w:tcPr>
            <w:tcW w:w="2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南坪镇</w:t>
            </w:r>
          </w:p>
        </w:tc>
      </w:tr>
      <w:tr>
        <w:tblPrEx>
          <w:tblCellMar>
            <w:top w:w="0" w:type="dxa"/>
            <w:left w:w="0" w:type="dxa"/>
            <w:bottom w:w="0" w:type="dxa"/>
            <w:right w:w="0" w:type="dxa"/>
          </w:tblCellMar>
        </w:tblPrEx>
        <w:trPr>
          <w:trHeight w:val="840" w:hRule="atLeast"/>
          <w:jc w:val="center"/>
        </w:trPr>
        <w:tc>
          <w:tcPr>
            <w:tcW w:w="5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南岸区黄桷渡水厂长江水源地</w:t>
            </w:r>
          </w:p>
        </w:tc>
        <w:tc>
          <w:tcPr>
            <w:tcW w:w="1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南岸区</w:t>
            </w:r>
          </w:p>
        </w:tc>
        <w:tc>
          <w:tcPr>
            <w:tcW w:w="2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南坪街道</w:t>
            </w:r>
          </w:p>
        </w:tc>
      </w:tr>
      <w:tr>
        <w:tblPrEx>
          <w:tblCellMar>
            <w:top w:w="0" w:type="dxa"/>
            <w:left w:w="0" w:type="dxa"/>
            <w:bottom w:w="0" w:type="dxa"/>
            <w:right w:w="0" w:type="dxa"/>
          </w:tblCellMar>
        </w:tblPrEx>
        <w:trPr>
          <w:trHeight w:val="840" w:hRule="atLeast"/>
          <w:jc w:val="center"/>
        </w:trPr>
        <w:tc>
          <w:tcPr>
            <w:tcW w:w="5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南岸区明月沱水厂长江水源地</w:t>
            </w:r>
          </w:p>
        </w:tc>
        <w:tc>
          <w:tcPr>
            <w:tcW w:w="1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南岸区</w:t>
            </w:r>
          </w:p>
        </w:tc>
        <w:tc>
          <w:tcPr>
            <w:tcW w:w="2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广阳镇</w:t>
            </w:r>
          </w:p>
        </w:tc>
      </w:tr>
      <w:tr>
        <w:tblPrEx>
          <w:tblCellMar>
            <w:top w:w="0" w:type="dxa"/>
            <w:left w:w="0" w:type="dxa"/>
            <w:bottom w:w="0" w:type="dxa"/>
            <w:right w:w="0" w:type="dxa"/>
          </w:tblCellMar>
        </w:tblPrEx>
        <w:trPr>
          <w:trHeight w:val="779" w:hRule="atLeast"/>
          <w:jc w:val="center"/>
        </w:trPr>
        <w:tc>
          <w:tcPr>
            <w:tcW w:w="5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南岸区迎龙湖水库水源地</w:t>
            </w:r>
          </w:p>
        </w:tc>
        <w:tc>
          <w:tcPr>
            <w:tcW w:w="1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南岸区</w:t>
            </w:r>
          </w:p>
        </w:tc>
        <w:tc>
          <w:tcPr>
            <w:tcW w:w="2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迎龙镇</w:t>
            </w:r>
          </w:p>
        </w:tc>
      </w:tr>
    </w:tbl>
    <w:p>
      <w:pPr>
        <w:jc w:val="center"/>
        <w:rPr>
          <w:rFonts w:hint="default" w:ascii="Times New Roman" w:hAnsi="Times New Roman" w:eastAsia="方正小标宋_GBK" w:cs="Times New Roman"/>
          <w:sz w:val="36"/>
          <w:szCs w:val="36"/>
          <w:lang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危废经营单位</w:t>
      </w:r>
    </w:p>
    <w:tbl>
      <w:tblPr>
        <w:tblStyle w:val="8"/>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7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521" w:type="dxa"/>
            <w:noWrap w:val="0"/>
            <w:vAlign w:val="top"/>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序号</w:t>
            </w:r>
          </w:p>
        </w:tc>
        <w:tc>
          <w:tcPr>
            <w:tcW w:w="7778" w:type="dxa"/>
            <w:noWrap w:val="0"/>
            <w:vAlign w:val="top"/>
          </w:tcPr>
          <w:p>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单  位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521" w:type="dxa"/>
            <w:noWrap w:val="0"/>
            <w:vAlign w:val="center"/>
          </w:tcPr>
          <w:p>
            <w:pPr>
              <w:pStyle w:val="2"/>
              <w:keepNext/>
              <w:keepLines/>
              <w:pageBreakBefore w:val="0"/>
              <w:widowControl w:val="0"/>
              <w:kinsoku/>
              <w:wordWrap/>
              <w:overflowPunct/>
              <w:topLinePunct w:val="0"/>
              <w:autoSpaceDE/>
              <w:autoSpaceDN/>
              <w:bidi w:val="0"/>
              <w:adjustRightInd w:val="0"/>
              <w:snapToGrid w:val="0"/>
              <w:spacing w:line="260" w:lineRule="exact"/>
              <w:jc w:val="center"/>
              <w:textAlignment w:val="baseline"/>
              <w:rPr>
                <w:rFonts w:hint="default" w:ascii="Times New Roman" w:hAnsi="Times New Roman" w:eastAsia="方正仿宋_GBK" w:cs="Times New Roman"/>
                <w:b w:val="0"/>
                <w:bCs/>
                <w:sz w:val="24"/>
                <w:szCs w:val="24"/>
                <w:vertAlign w:val="baseline"/>
                <w:lang w:val="en-US" w:eastAsia="zh-CN"/>
              </w:rPr>
            </w:pPr>
            <w:r>
              <w:rPr>
                <w:rFonts w:hint="default" w:ascii="Times New Roman" w:hAnsi="Times New Roman" w:eastAsia="方正仿宋_GBK" w:cs="Times New Roman"/>
                <w:b w:val="0"/>
                <w:bCs/>
                <w:sz w:val="24"/>
                <w:szCs w:val="24"/>
                <w:vertAlign w:val="baseline"/>
                <w:lang w:val="en-US" w:eastAsia="zh-CN"/>
              </w:rPr>
              <w:t>1</w:t>
            </w:r>
          </w:p>
        </w:tc>
        <w:tc>
          <w:tcPr>
            <w:tcW w:w="77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重庆油润再生资源开发有限公司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521" w:type="dxa"/>
            <w:noWrap w:val="0"/>
            <w:vAlign w:val="center"/>
          </w:tcPr>
          <w:p>
            <w:pPr>
              <w:pStyle w:val="2"/>
              <w:keepNext/>
              <w:keepLines/>
              <w:pageBreakBefore w:val="0"/>
              <w:widowControl w:val="0"/>
              <w:kinsoku/>
              <w:wordWrap/>
              <w:overflowPunct/>
              <w:topLinePunct w:val="0"/>
              <w:autoSpaceDE/>
              <w:autoSpaceDN/>
              <w:bidi w:val="0"/>
              <w:adjustRightInd w:val="0"/>
              <w:snapToGrid w:val="0"/>
              <w:spacing w:line="260" w:lineRule="exact"/>
              <w:jc w:val="center"/>
              <w:textAlignment w:val="baseline"/>
              <w:rPr>
                <w:rFonts w:hint="default" w:ascii="Times New Roman" w:hAnsi="Times New Roman" w:eastAsia="方正仿宋_GBK" w:cs="Times New Roman"/>
                <w:b w:val="0"/>
                <w:bCs/>
                <w:sz w:val="24"/>
                <w:szCs w:val="24"/>
                <w:vertAlign w:val="baseline"/>
                <w:lang w:val="en-US" w:eastAsia="zh-CN"/>
              </w:rPr>
            </w:pPr>
            <w:r>
              <w:rPr>
                <w:rFonts w:hint="default" w:ascii="Times New Roman" w:hAnsi="Times New Roman" w:eastAsia="方正仿宋_GBK" w:cs="Times New Roman"/>
                <w:b w:val="0"/>
                <w:bCs/>
                <w:sz w:val="24"/>
                <w:szCs w:val="24"/>
                <w:vertAlign w:val="baseline"/>
                <w:lang w:val="en-US" w:eastAsia="zh-CN"/>
              </w:rPr>
              <w:t>2</w:t>
            </w:r>
          </w:p>
        </w:tc>
        <w:tc>
          <w:tcPr>
            <w:tcW w:w="77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重庆雄淦建材有限公司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521" w:type="dxa"/>
            <w:noWrap w:val="0"/>
            <w:vAlign w:val="center"/>
          </w:tcPr>
          <w:p>
            <w:pPr>
              <w:pStyle w:val="2"/>
              <w:keepNext/>
              <w:keepLines/>
              <w:pageBreakBefore w:val="0"/>
              <w:widowControl w:val="0"/>
              <w:kinsoku/>
              <w:wordWrap/>
              <w:overflowPunct/>
              <w:topLinePunct w:val="0"/>
              <w:autoSpaceDE/>
              <w:autoSpaceDN/>
              <w:bidi w:val="0"/>
              <w:adjustRightInd w:val="0"/>
              <w:snapToGrid w:val="0"/>
              <w:spacing w:line="260" w:lineRule="exact"/>
              <w:jc w:val="center"/>
              <w:textAlignment w:val="baseline"/>
              <w:rPr>
                <w:rFonts w:hint="default" w:ascii="Times New Roman" w:hAnsi="Times New Roman" w:eastAsia="方正仿宋_GBK" w:cs="Times New Roman"/>
                <w:b w:val="0"/>
                <w:bCs/>
                <w:sz w:val="24"/>
                <w:szCs w:val="24"/>
                <w:vertAlign w:val="baseline"/>
                <w:lang w:val="en-US" w:eastAsia="zh-CN"/>
              </w:rPr>
            </w:pPr>
            <w:r>
              <w:rPr>
                <w:rFonts w:hint="default" w:ascii="Times New Roman" w:hAnsi="Times New Roman" w:eastAsia="方正仿宋_GBK" w:cs="Times New Roman"/>
                <w:b w:val="0"/>
                <w:bCs/>
                <w:sz w:val="24"/>
                <w:szCs w:val="24"/>
                <w:vertAlign w:val="baseline"/>
                <w:lang w:val="en-US" w:eastAsia="zh-CN"/>
              </w:rPr>
              <w:t>3</w:t>
            </w:r>
          </w:p>
        </w:tc>
        <w:tc>
          <w:tcPr>
            <w:tcW w:w="77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重庆弘嘉再生资源有限公司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521" w:type="dxa"/>
            <w:noWrap w:val="0"/>
            <w:vAlign w:val="center"/>
          </w:tcPr>
          <w:p>
            <w:pPr>
              <w:pStyle w:val="2"/>
              <w:keepNext/>
              <w:keepLines/>
              <w:pageBreakBefore w:val="0"/>
              <w:widowControl w:val="0"/>
              <w:kinsoku/>
              <w:wordWrap/>
              <w:overflowPunct/>
              <w:topLinePunct w:val="0"/>
              <w:autoSpaceDE/>
              <w:autoSpaceDN/>
              <w:bidi w:val="0"/>
              <w:adjustRightInd w:val="0"/>
              <w:snapToGrid w:val="0"/>
              <w:spacing w:line="260" w:lineRule="exact"/>
              <w:jc w:val="center"/>
              <w:textAlignment w:val="baseline"/>
              <w:rPr>
                <w:rFonts w:hint="default" w:ascii="Times New Roman" w:hAnsi="Times New Roman" w:eastAsia="方正仿宋_GBK" w:cs="Times New Roman"/>
                <w:b w:val="0"/>
                <w:bCs/>
                <w:sz w:val="24"/>
                <w:szCs w:val="24"/>
                <w:vertAlign w:val="baseline"/>
                <w:lang w:val="en-US" w:eastAsia="zh-CN"/>
              </w:rPr>
            </w:pPr>
            <w:r>
              <w:rPr>
                <w:rFonts w:hint="default" w:ascii="Times New Roman" w:hAnsi="Times New Roman" w:eastAsia="方正仿宋_GBK" w:cs="Times New Roman"/>
                <w:b w:val="0"/>
                <w:bCs/>
                <w:sz w:val="24"/>
                <w:szCs w:val="24"/>
                <w:vertAlign w:val="baseline"/>
                <w:lang w:val="en-US" w:eastAsia="zh-CN"/>
              </w:rPr>
              <w:t>4</w:t>
            </w:r>
          </w:p>
        </w:tc>
        <w:tc>
          <w:tcPr>
            <w:tcW w:w="77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重庆雅丽洁环保科技有限公司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1521" w:type="dxa"/>
            <w:noWrap w:val="0"/>
            <w:vAlign w:val="center"/>
          </w:tcPr>
          <w:p>
            <w:pPr>
              <w:pStyle w:val="2"/>
              <w:keepNext/>
              <w:keepLines/>
              <w:pageBreakBefore w:val="0"/>
              <w:widowControl w:val="0"/>
              <w:kinsoku/>
              <w:wordWrap/>
              <w:overflowPunct/>
              <w:topLinePunct w:val="0"/>
              <w:autoSpaceDE/>
              <w:autoSpaceDN/>
              <w:bidi w:val="0"/>
              <w:adjustRightInd w:val="0"/>
              <w:snapToGrid w:val="0"/>
              <w:spacing w:line="260" w:lineRule="exact"/>
              <w:jc w:val="center"/>
              <w:textAlignment w:val="baseline"/>
              <w:rPr>
                <w:rFonts w:hint="default" w:ascii="Times New Roman" w:hAnsi="Times New Roman" w:eastAsia="方正仿宋_GBK" w:cs="Times New Roman"/>
                <w:b w:val="0"/>
                <w:bCs/>
                <w:sz w:val="24"/>
                <w:szCs w:val="24"/>
                <w:vertAlign w:val="baseline"/>
                <w:lang w:val="en-US" w:eastAsia="zh-CN"/>
              </w:rPr>
            </w:pPr>
            <w:r>
              <w:rPr>
                <w:rFonts w:hint="default" w:ascii="Times New Roman" w:hAnsi="Times New Roman" w:eastAsia="方正仿宋_GBK" w:cs="Times New Roman"/>
                <w:b w:val="0"/>
                <w:bCs/>
                <w:sz w:val="24"/>
                <w:szCs w:val="24"/>
                <w:vertAlign w:val="baseline"/>
                <w:lang w:val="en-US" w:eastAsia="zh-CN"/>
              </w:rPr>
              <w:t>5</w:t>
            </w:r>
          </w:p>
        </w:tc>
        <w:tc>
          <w:tcPr>
            <w:tcW w:w="77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重庆雷佳机电有限公司</w:t>
            </w:r>
          </w:p>
        </w:tc>
      </w:tr>
    </w:tbl>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2020年危废年产生量50吨及以上企业名单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6797"/>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序号</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单  位  名  称</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重庆宏劲印务有限责任公司</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重庆圣华曦药业股份有限公司</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重庆科瑞制药（集团）有限公司</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重庆和诚电器有限公司</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5</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重庆美的制冷设备有限公司</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6</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国家电投集团远达环保催化剂有限公司</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7</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重庆华辉涂料有限公司</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8</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重庆南部公共交通有限公司A</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9</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重庆齐信汽车零部件有限公司</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10</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重庆秉信包装有限公司</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11</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中国电子科技集团公司第四十四研究所</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12</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重庆长江轴承股份有限公司</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13</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重庆博森电气（集团）有限公司</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14</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重庆长江电工工业集团有限公司</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15</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重庆恒冠科技有限公司</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16</w:t>
            </w:r>
          </w:p>
        </w:tc>
        <w:tc>
          <w:tcPr>
            <w:tcW w:w="67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中国电子科技集团公司第二十六研究所</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bl>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正在开展管控和修复的地块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6440"/>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序号</w:t>
            </w:r>
          </w:p>
        </w:tc>
        <w:tc>
          <w:tcPr>
            <w:tcW w:w="64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单  位  名  称</w:t>
            </w: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w:t>
            </w:r>
          </w:p>
        </w:tc>
        <w:tc>
          <w:tcPr>
            <w:tcW w:w="64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齐信汽车零部件有限公司污染地块</w:t>
            </w: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（四公里）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w:t>
            </w:r>
          </w:p>
        </w:tc>
        <w:tc>
          <w:tcPr>
            <w:tcW w:w="64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重庆江南卷尺厂污染地块</w:t>
            </w: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（渝航大道旁）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w:t>
            </w:r>
          </w:p>
        </w:tc>
        <w:tc>
          <w:tcPr>
            <w:tcW w:w="64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圣华曦污染地块</w:t>
            </w: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4"/>
                <w:szCs w:val="24"/>
                <w:lang w:val="en-US" w:eastAsia="zh-CN" w:bidi="ar"/>
              </w:rPr>
              <w:t>（渝航大道旁）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w:t>
            </w:r>
          </w:p>
        </w:tc>
        <w:tc>
          <w:tcPr>
            <w:tcW w:w="64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江南化工厂污染地块</w:t>
            </w: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5</w:t>
            </w:r>
          </w:p>
        </w:tc>
        <w:tc>
          <w:tcPr>
            <w:tcW w:w="64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川东化工（集团）有限公司川东化工厂污染地块</w:t>
            </w: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6</w:t>
            </w:r>
          </w:p>
        </w:tc>
        <w:tc>
          <w:tcPr>
            <w:tcW w:w="64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石龙电镀污染地块</w:t>
            </w: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7</w:t>
            </w:r>
          </w:p>
        </w:tc>
        <w:tc>
          <w:tcPr>
            <w:tcW w:w="64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重庆华南无机盐工业有限公司污染地块</w:t>
            </w: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color w:val="333333"/>
                <w:kern w:val="0"/>
                <w:sz w:val="28"/>
                <w:szCs w:val="28"/>
                <w:lang w:val="en-US" w:eastAsia="zh-CN" w:bidi="ar"/>
              </w:rPr>
              <w:t>8</w:t>
            </w:r>
          </w:p>
        </w:tc>
        <w:tc>
          <w:tcPr>
            <w:tcW w:w="64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廖家山片区污染地块</w:t>
            </w: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vertAlign w:val="baseline"/>
                <w:lang w:val="en-US" w:eastAsia="zh-CN"/>
              </w:rPr>
            </w:pPr>
          </w:p>
        </w:tc>
      </w:tr>
    </w:tbl>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p>
    <w:p>
      <w:pPr>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核发重点管理类排污许可证的企业</w:t>
      </w:r>
    </w:p>
    <w:tbl>
      <w:tblPr>
        <w:tblStyle w:val="7"/>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1"/>
        <w:gridCol w:w="5122"/>
        <w:gridCol w:w="2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10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序号</w:t>
            </w:r>
          </w:p>
        </w:tc>
        <w:tc>
          <w:tcPr>
            <w:tcW w:w="5122"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排污单位名称</w:t>
            </w:r>
          </w:p>
        </w:tc>
        <w:tc>
          <w:tcPr>
            <w:tcW w:w="293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行业类别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重庆市庆德宝汽车销售服务有限公司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重庆现代女子医院有限公司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专科医院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重庆东港船舶产业有限公司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金属船舶制造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重庆西成益医院</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国家电投集团远达环保催化剂有限公司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化学试剂和助剂制造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重庆市天友乳品二厂有限公司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液体乳制造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重庆源峰林道路工程有限公司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其他非金属矿物制品制造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重庆市乐缘复合包装制品有限责任公司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重庆博森电气（集团）有限公司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配电开关控制设备制造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10</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重庆陪都药业股份有限公司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中成药生产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重庆圣点食品有限公司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速冻食品制造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重庆通用工业（集团）有限责任公司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通用设备制造业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重庆壳牌能源有限公司涂山路加油站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重庆壳牌能源有限公司南坪东路加油站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重庆圣华曦药业股份有限公司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化学药品原料药制造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重庆同捷汽车销售有限公司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重庆渝泓土地开发有限公司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环境卫生管理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重庆美联城建材有限公司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涂料制造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重庆永达南星汽车销售服务有限公司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20</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重庆钛耀泓浦机械有限公司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内燃机及配件制造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21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重庆吉斯瑞制药有限责任公司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化学药品制剂制造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22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重庆东风南方汽车销售服务有限公司海峡路分公司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23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重庆雄淦建材有限公司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危险废物治理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24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重庆耐捷再生资源回收有限公司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废弃资源综合利用业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25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重庆油润再生资源开发有限公司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危险废物治理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26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重庆市壹品源食品有限责任公司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27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重庆市益卫生态环保科技有限公司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砖瓦、石材等建筑材料制造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28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重庆科瑞制药（集团）有限公司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化学药品制剂制造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29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重庆莱美药业股份有限公司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化学药品制剂制造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30</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重庆市南岸区中医院</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31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重庆力宏精细化工有限公司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食品及饲料添加剂制造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32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重庆国晟中西医结合医院有限公司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33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重庆两江机械制造有限责任公司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摩托车零部件及配件制造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34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重庆讯通精密模具有限公司南岸分公司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塑料零件及其他塑料制品制造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35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重庆神箭汽车传动件有限责任公司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齿轮及齿轮减、变速箱制造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36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重庆机床（集团）有限责任公司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金属加工机械制造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37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重庆帆禄昊粉末冶金有限公司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轴承、齿轮和传动部件制造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38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重庆美的通用制冷设备有限公司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制冷、空调设备制造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39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重庆瑞方渝美压铸有限公司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有色金属铸造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40</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重庆市红石燃气石油有限公司海峡路加油站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41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重庆海联水性涂料有限公司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涂料制造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42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重庆盛安铜业有限公司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有色金属压延加工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43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重庆长江轴承股份有限公司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滚动轴承制造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44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重庆宏声铝箔包装材料有限责任公司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加工纸制造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45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重庆宏劲印务有限责任公司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46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重庆市第五人民医院</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47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重庆宏声铝箔包装材料有限责任公司1</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48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重庆美心麦森门业有限公司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金属门窗制造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49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重庆市贵锦砂石船舶运输有限公司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50</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重庆渝水环保科技有限公司鸡冠石污泥干化中心</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环境卫生管理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51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中国石油天然气股份有限公司重庆销售分公司茶园北加油站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52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重庆华辉涂料有限公司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涂料制造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53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重庆东港集装箱码头有限公司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54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重庆庞博金属制品有限公司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黑色金属铸造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55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重庆安道沥青有限公司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其他非金属矿物制品制造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56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重庆汉氏哈泊装卸有限公司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57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重庆公路运输集团纳溪沟港务有限公司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58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重庆银迅汽车销售服务有限公司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59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重庆商社德奥汽车有限公司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60</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重庆渝润汽车销售服务有限公司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61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重庆百事达渝通汽车销售服务有限公司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62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重庆迎龙化工厂</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食品及饲料添加剂制造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63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重庆市江南机械制造有限公司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有色金属铸造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64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重庆市江贵建材有限公司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65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重庆强力汽车销售服务有限公司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66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重庆运城制版有限公司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印刷专用设备制造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67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重庆跨世纪汽车维修有限公司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68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重庆造纸工业研究设计院有限责任公司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玻璃纤维及制品制造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69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重庆路圣公路工程材料有限公司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其他非金属矿物制品制造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70</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重庆万友汽车销售服务有限公司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71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重庆中油现代交通油料有限责任公司（四公里交通换乘枢纽加油加气站）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72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中国石油天然气股份有限公司重庆销售分公司茶园南加油站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73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中国石油天然气股份有限公司重庆销售分公司平安加油站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74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中国石油天然气股份有限公司重庆销售分公司茶园西加油站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75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中国石油天然气股份有限公司重庆销售分公司沙岚垭加油站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76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重庆渝平加油站有限公司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77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重庆医科大学附属第二医院</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78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重庆市东南医院</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79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中国人民武装警察部队重庆市总队医院</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80</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重庆南城医院有限责任公司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81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重庆老码头地升建材有限公司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82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重庆市南岸区茂霞建材厂</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83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重庆市南岸区精神卫生中心</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专科医院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84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重庆市南岸区中西医结合医院</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85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重庆市第六人民医院</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86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重庆海能实业有限公司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87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中石化长江燃料有限公司重庆分公司廖家凼加油站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88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重庆市南岸区人民医院</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89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重庆龙禹石油有限公司友源加油站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90</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中国石油天然气股份有限公司重庆销售分公司内环高速公路大佛寺外侧加油站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91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中国石油天然气股份有限公司重庆销售分公司海峡路加油站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92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中国石油天然气股份有限公司重庆销售分公司青龙路加油站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93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中国石油天然气股份有限公司重庆销售分公司五公里加油站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94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重庆中油诚源发展有限公司四公里内环加油站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95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重庆中石化和光石油销售有限公司海棠溪加油站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96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重庆新海月实业有限公司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97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中国石油天然气股份有限公司重庆销售分公司南坪加油站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98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中国石油天然气股份有限公司重庆销售分公司柏子桥加油站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99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中国石油天然气股份有限公司重庆销售分公司长生加油站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100</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中国石油天然气股份有限公司重庆销售分公司盘龙加油站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101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中国石油天然气股份有限公司重庆销售分公司宏声路加油站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102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中国石油天然气股份有限公司重庆销售分公司七公里加油站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103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中国石油天然气股份有限公司重庆销售分公司腾龙加油站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104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中国石油天然气股份有限公司重庆销售分公司通江加油站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105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重庆中油诚源发展有限公司内环茶园加油站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106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中国石化销售股份有限公司重庆石油分公司南滨路加油站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107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中国石化销售股份有限公司重庆石油分公司腾龙大道加油站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108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重庆绿巨人食品有限公司绿巨人加油加气站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109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中国石化销售股份有限公司重庆石油分公司茶园加油站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110</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重庆经济技术开发区物业发展有限公司加油站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111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中国石油天然气股份有限公司重庆销售分公司茶园东加油站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112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重庆中烟工业有限责任公司重庆卷烟厂</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卷烟制造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113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重庆渝玖点食品有限公司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114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重庆民泰新农业科技发展集团有限公司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食品及饲料添加剂制造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115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重庆市排水有限公司鸡冠石污水处理厂</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污水处理及其再生利用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116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重庆雅丽洁环保科技有限公司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危险废物治理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117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重庆康达新能源有限公司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生物质能发电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118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重庆蓉小妹餐饮管理有限公司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119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重庆迪马工业有限责任公司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改装汽车制造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120</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重庆左通右达商贸有限公司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121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重庆安特布鲁精酿啤酒有限公司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啤酒制造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122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重庆德庄农产品开发有限公司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123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重庆乾宗火锅调味品有限公司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124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重庆沙亿再生资源回收有限公司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非金属废料和碎屑加工处理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125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重庆野山珍商贸有限公司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肉制品及副产品加工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126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重庆环保投资集团有限公司(石院子污水处理厂)</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污水处理及其再生利用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127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重庆金猫纺织器材有限公司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纺织专用设备制造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128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重庆港城污水处理有限公司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污水处理及其再生利用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129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重庆长江电工工业集团有限公司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其他（保密）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130</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中国石油天然气股份有限公司重庆销售分公司内环高速公路大佛寺内侧加油站</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131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重庆华医中西医结合医院</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132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重庆弘嘉再生资源有限公司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危险废物治理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133</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重庆昊晟玻璃股份有限公司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日用玻璃制品制造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134</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重庆市江南殡仪馆</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殡葬服务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135</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追星汽车服务（重庆）有限公司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136</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重庆金菱汽车（集团）有限公司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137</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领航国创控股集团西南能源有限公司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锂离子电池制造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138</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重庆雷佳机电设备有限公司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危险废物治理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139</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重庆茶园污水处理有限公司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污水处理及其再生利用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140</w:t>
            </w:r>
          </w:p>
        </w:tc>
        <w:tc>
          <w:tcPr>
            <w:tcW w:w="5122" w:type="dxa"/>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重庆云沁思食品有限公司</w:t>
            </w:r>
          </w:p>
        </w:tc>
        <w:tc>
          <w:tcPr>
            <w:tcW w:w="2936" w:type="dxa"/>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141</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重庆鸿川燃料有限公司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101" w:type="dxa"/>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宋体" w:cs="Times New Roman"/>
                <w:i w:val="0"/>
                <w:color w:val="000000"/>
                <w:kern w:val="0"/>
                <w:sz w:val="22"/>
                <w:szCs w:val="22"/>
                <w:u w:val="none"/>
                <w:lang w:val="en-US" w:eastAsia="zh-CN" w:bidi="ar"/>
              </w:rPr>
              <w:t>142</w:t>
            </w:r>
          </w:p>
        </w:tc>
        <w:tc>
          <w:tcPr>
            <w:tcW w:w="5122"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重庆云讯汽车销售服务有限公司</w:t>
            </w:r>
          </w:p>
        </w:tc>
        <w:tc>
          <w:tcPr>
            <w:tcW w:w="2936" w:type="dxa"/>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333333"/>
                <w:kern w:val="0"/>
                <w:sz w:val="24"/>
                <w:szCs w:val="24"/>
                <w:lang w:val="en-US" w:eastAsia="zh-CN" w:bidi="ar"/>
              </w:rPr>
            </w:pPr>
            <w:r>
              <w:rPr>
                <w:rFonts w:hint="default" w:ascii="Times New Roman" w:hAnsi="Times New Roman" w:eastAsia="方正仿宋_GBK" w:cs="Times New Roman"/>
                <w:color w:val="333333"/>
                <w:kern w:val="0"/>
                <w:sz w:val="24"/>
                <w:szCs w:val="24"/>
                <w:lang w:val="en-US" w:eastAsia="zh-CN" w:bidi="ar"/>
              </w:rPr>
              <w:t>汽车修理与维护</w:t>
            </w:r>
          </w:p>
        </w:tc>
      </w:tr>
    </w:tbl>
    <w:p>
      <w:pPr>
        <w:pStyle w:val="2"/>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baseline"/>
        <w:rPr>
          <w:rFonts w:hint="default" w:ascii="Times New Roman" w:hAnsi="Times New Roman" w:eastAsia="方正小标宋_GBK" w:cs="Times New Roman"/>
          <w:kern w:val="2"/>
          <w:sz w:val="36"/>
          <w:szCs w:val="36"/>
          <w:lang w:val="en-US" w:eastAsia="zh-CN" w:bidi="ar-SA"/>
        </w:rPr>
      </w:pPr>
    </w:p>
    <w:p>
      <w:pPr>
        <w:pStyle w:val="2"/>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baseline"/>
        <w:rPr>
          <w:rFonts w:hint="default" w:ascii="Times New Roman" w:hAnsi="Times New Roman" w:eastAsia="方正小标宋_GBK" w:cs="Times New Roman"/>
          <w:kern w:val="2"/>
          <w:sz w:val="36"/>
          <w:szCs w:val="36"/>
          <w:lang w:val="en-US" w:eastAsia="zh-CN" w:bidi="ar-SA"/>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baseline"/>
        <w:rPr>
          <w:rFonts w:hint="default" w:ascii="Times New Roman" w:hAnsi="Times New Roman" w:eastAsia="方正小标宋_GBK" w:cs="Times New Roman"/>
          <w:kern w:val="2"/>
          <w:sz w:val="36"/>
          <w:szCs w:val="36"/>
          <w:lang w:val="en-US" w:eastAsia="zh-CN" w:bidi="ar-SA"/>
        </w:rPr>
      </w:pPr>
      <w:r>
        <w:rPr>
          <w:rFonts w:hint="default" w:ascii="Times New Roman" w:hAnsi="Times New Roman" w:eastAsia="方正小标宋_GBK" w:cs="Times New Roman"/>
          <w:kern w:val="2"/>
          <w:sz w:val="36"/>
          <w:szCs w:val="36"/>
          <w:lang w:val="en-US" w:eastAsia="zh-CN" w:bidi="ar-SA"/>
        </w:rPr>
        <w:t>生态环境保护综合行政执法支队监管企业名单</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5"/>
        <w:gridCol w:w="453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序号</w:t>
            </w:r>
          </w:p>
        </w:tc>
        <w:tc>
          <w:tcPr>
            <w:tcW w:w="453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排污单位名称</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黑体_GBK" w:cs="Times New Roman"/>
                <w:b w:val="0"/>
                <w:bCs/>
                <w:color w:val="auto"/>
                <w:kern w:val="0"/>
                <w:sz w:val="24"/>
                <w:lang w:val="en-US" w:eastAsia="zh-CN"/>
              </w:rPr>
            </w:pPr>
            <w:r>
              <w:rPr>
                <w:rFonts w:hint="default" w:ascii="Times New Roman" w:hAnsi="Times New Roman" w:eastAsia="方正黑体_GBK" w:cs="Times New Roman"/>
                <w:b w:val="0"/>
                <w:bCs/>
                <w:color w:val="auto"/>
                <w:kern w:val="0"/>
                <w:sz w:val="24"/>
                <w:lang w:val="en-US" w:eastAsia="zh-CN"/>
              </w:rPr>
              <w:t>行业类别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重庆科瑞制药（集团）有限公司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化学药品制剂制造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重庆吉斯瑞制药有限责任公司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化学药品制剂制造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西南计算机有限责任公司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专用计算机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中国电子科技集团公司第二十六研究所</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其他电子元件制造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中国电子科技集团公司第二十四研究所</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集成电路制造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中国电子科技集团公司第四十四研究所</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光电子器件制造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重庆帕卡濑精有限公司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专用化学品制造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重庆市渝南自来水有限公司江南水厂</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自来水生产和供应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重庆美心麦森门业有限公司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金属门窗制造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重庆建安仪器有限责任公司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核子及核辐射测量仪器制造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shd w:val="clear" w:color="auto" w:fill="auto"/>
              </w:rPr>
            </w:pPr>
            <w:r>
              <w:rPr>
                <w:rFonts w:hint="default" w:ascii="Times New Roman" w:hAnsi="Times New Roman" w:eastAsia="方正仿宋_GBK" w:cs="Times New Roman"/>
                <w:i w:val="0"/>
                <w:color w:val="000000"/>
                <w:kern w:val="0"/>
                <w:sz w:val="24"/>
                <w:szCs w:val="24"/>
                <w:u w:val="none"/>
                <w:shd w:val="clear" w:color="auto" w:fill="auto"/>
                <w:lang w:val="en-US" w:eastAsia="zh-CN" w:bidi="ar"/>
              </w:rPr>
              <w:t>11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shd w:val="clear" w:color="auto" w:fill="auto"/>
              </w:rPr>
            </w:pPr>
            <w:r>
              <w:rPr>
                <w:rFonts w:hint="default" w:ascii="Times New Roman" w:hAnsi="Times New Roman" w:eastAsia="方正仿宋_GBK" w:cs="Times New Roman"/>
                <w:i w:val="0"/>
                <w:color w:val="000000"/>
                <w:kern w:val="0"/>
                <w:sz w:val="24"/>
                <w:szCs w:val="24"/>
                <w:u w:val="none"/>
                <w:shd w:val="clear" w:color="auto" w:fill="auto"/>
                <w:lang w:val="en-US" w:eastAsia="zh-CN" w:bidi="ar"/>
              </w:rPr>
              <w:t>重庆秉信包装有限公司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shd w:val="clear" w:color="auto" w:fill="auto"/>
              </w:rPr>
            </w:pPr>
            <w:r>
              <w:rPr>
                <w:rFonts w:hint="default" w:ascii="Times New Roman" w:hAnsi="Times New Roman" w:eastAsia="方正仿宋_GBK" w:cs="Times New Roman"/>
                <w:i w:val="0"/>
                <w:color w:val="000000"/>
                <w:kern w:val="0"/>
                <w:sz w:val="24"/>
                <w:szCs w:val="24"/>
                <w:u w:val="none"/>
                <w:shd w:val="clear" w:color="auto" w:fill="auto"/>
                <w:lang w:val="en-US" w:eastAsia="zh-CN" w:bidi="ar"/>
              </w:rPr>
              <w:t>纸和纸板容器制造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重庆美心翼申机械股份有限公司南岸分公司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滚动轴承制造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重庆柒安电线电缆（集团）有限责任公司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电线、电缆制造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重庆宏声铝箔包装材料有限责任公司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加工纸制造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巩诚电装（重庆）有限公司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摩托车零部件及配件制造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重庆上方汽车配件有限责任公司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重庆市南岸区中医院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重庆市南岸区妇幼保健院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妇幼保健院（所、站）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重庆市第六人民医院（重庆市职业病防治院）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重庆市南岸区人民医院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重庆市南岸区龙门浩街道社区卫生服务中心</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社区卫生服务中心（站）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重庆现代女子医院有限公司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专科医院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重庆圣保罗医院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康平医院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重庆国晟中西医结合医院有限公司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重庆爱尔麦格眼科医院有限公司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专科医院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重庆国医堂医院有限公司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重庆华医中西医结合医院有限公司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重庆鹏爱医疗美容医院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专科医院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重庆星宸整形美容医院有限公司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专科医院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重庆西成益医院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综合性医院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重庆市南岸区铜元局街道社区卫生服务中心</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社区卫生服务中心（站）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重庆小米熊儿童医院有限公司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专科医院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重庆强力汽车销售服务有限公司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重庆商社德奥汽车有限公司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重庆同捷汽车销售有限公司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重庆渝润汽车销售服务有限公司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重庆中烟工业有限责任公司重庆卷烟厂</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卷烟制造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中国人民武装警察部队重庆市总队医院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pacing w:val="-20"/>
                <w:kern w:val="0"/>
                <w:sz w:val="24"/>
                <w:szCs w:val="24"/>
                <w:u w:val="none"/>
                <w:lang w:val="en-US" w:eastAsia="zh-CN" w:bidi="ar"/>
              </w:rPr>
              <w:t>重庆宏声铝箔包装材料有限责任公司（一天门）</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重庆市第五人民医院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重庆市南岸区中西医结合医院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重庆盛景医院有限公司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重庆雷佳机电设备有限公司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危险废物治理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重庆市天友乳品二厂有限公司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液体乳制造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重庆美心</w:t>
            </w:r>
            <w:r>
              <w:rPr>
                <w:rStyle w:val="12"/>
                <w:rFonts w:hint="default" w:ascii="Times New Roman" w:hAnsi="Times New Roman" w:eastAsia="方正仿宋_GBK" w:cs="Times New Roman"/>
                <w:lang w:val="en-US" w:eastAsia="zh-CN" w:bidi="ar"/>
              </w:rPr>
              <w:t>(集团)有限公司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商业贸易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重庆海能实业有限公司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重庆新海月实业有限公司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重庆市江南殡仪馆</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殡葬服务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重庆盛安铜业有限公司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有色金属压延加工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重庆金菱汽车（集团）有限公司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追星汽车服务（重庆）有限公司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重庆东风南方汽车销售服务有限公司海峡路分公司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重庆银迅汽车销售服务有限公司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重庆永达南星汽车销售服务有限公司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重庆万友汽车销售服务有限公司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重庆百事达渝通汽车销售服务有限公司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重庆市红石燃气石油有限公司海峡路加油站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中国石油天然气股份有限公司重庆销售分公司平安加油站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中国石油天然气股份有限公司重庆销售分公司沙岚垭加油站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重庆龙禹石油有限公司友源加油站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重庆壳牌能源有限公司南坪东路加油站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中国石油天然气股份有限公司重庆销售分公司青龙路加油站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重庆中油诚源发展有限公司四公里内环加油站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重庆中石化和光石油销售有限公司海棠溪加油站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中国石油天然气股份有限公司重庆销售分公司柏子桥加油站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67</w:t>
            </w:r>
          </w:p>
        </w:tc>
        <w:tc>
          <w:tcPr>
            <w:tcW w:w="4530" w:type="dxa"/>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中国石油天然气股份有限公司重庆销售分公司南坪加油站</w:t>
            </w:r>
          </w:p>
        </w:tc>
        <w:tc>
          <w:tcPr>
            <w:tcW w:w="3435" w:type="dxa"/>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中国石油天然气股份有限公司重庆销售分公司五公里加油站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重庆绿巨人食品有限公司绿巨人加油加气站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重庆壳牌能源有限公司涂山路加油站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重庆中油现代交通油料有限责任公司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重庆经济技术开发区物业发展有限公司加油站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中国石油天然气股份有限公司重庆销售分公司海峡路加油站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中国石油天然气股份有限公司重庆销售分公司七公里加油站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中国石油天然气股份有限公司重庆销售分公司宏声路加油站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中国石油天然气股份有限公司重庆销售分公司内环高速公路大佛寺外侧加油站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中国石油天然气股份有限公司重庆销售分公司盘龙加油站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中国石油天然气股份有限公司重庆销售分公司腾龙加油站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中国石化销售股份有限公司重庆石油分公司南滨路加油站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中国石化销售股份有限公司重庆石油分公司腾龙大道加油站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中石化长江燃料有限公司重庆分公司廖家凼加油站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重庆邮电大学医院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基层医疗卫生服务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重庆汉氏哈泊装卸有限公司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重庆环保投资集团有限公司</w:t>
            </w:r>
            <w:r>
              <w:rPr>
                <w:rStyle w:val="13"/>
                <w:rFonts w:hint="default" w:ascii="Times New Roman" w:hAnsi="Times New Roman" w:eastAsia="方正仿宋_GBK" w:cs="Times New Roman"/>
                <w:lang w:val="en-US" w:eastAsia="zh-CN" w:bidi="ar"/>
              </w:rPr>
              <w:t>(石院子污水处理厂)</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污水处理及其再生利用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重庆市江贵建材有限公司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重庆陪都药业股份有限公司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中成药生产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重庆丹桂静电喷涂有限公司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金属表面处理及热处理加工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中石化长江燃料有限公司重庆分公司鸡冠石加油站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重庆市排水有限公司鸡冠石污水处理厂</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污水处理及再生利用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重庆渝水环保科技有限公司鸡冠石污泥干化中心</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环境卫生管理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重庆市南岸区精神卫生中心</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专科医院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重庆公路运输集团纳溪沟港务有限公司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重庆市南岸区鸡冠石镇卫生院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重庆长江电工工业集团有限公司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其他未列明执照也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重庆美的通用制冷设备有限公司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制冷、空调设备制造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重庆迪马工业有限责任公司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改装汽车制造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重庆长江轴承股份有限公司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滚动轴承制造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重庆瑞方渝美压铸有限公司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有色金属铸造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重庆造纸工业研究设计院有限责任公司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玻璃纤维及制品制造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重庆神箭汽车传动件有限责任公司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齿轮及齿轮减、变速箱制造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重庆通用工业（集团）有限责任公司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通用设备制造业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重庆金猫纺织器材有限公司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纺织、服装和皮革加工专用设备制造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重庆运城制版有限公司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印刷专用设备制造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重庆莱美药业股份有限公司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化学药品制剂制造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重庆市卫生和计划生育委员会医院管理培训中心洗涤分中心</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洗染服务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重庆蓝依坊清洁服务有限公司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洗染服务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重庆野山珍商贸有限公司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肉制品及副产品加工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重庆德庄农产品开发有限公司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重庆禹崔食品有限公司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食品制造业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经济技术开发区官钦餐具消毒配送中心</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其他清洁服务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重庆聪捷食品有限公司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其他农副食品加工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重庆灵龙实业发展有限公司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金属加工机械制造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重庆市瑞迪非标件有限公司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重庆两江机械制造有限责任公司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摩托车零部件及配件制造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重庆华辉涂料有限公司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涂料制造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重庆昊晟玻璃股份有限公司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日用玻璃品制造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重庆市乐缘复合包装制品有限责任公司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重庆耀恒橡胶制品有限责任公司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其他橡胶制品制造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重庆耐捷再生资源回收有限公司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废弃资源综合利用业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重庆富贵万年新材料股份有限公司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塑料薄膜制造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重庆跨世纪汽车维修有限公司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重庆市庆德宝汽车销售服务有限公司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重庆华林天美印务有限公司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印刷和记录媒介复制业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重庆长橡实业有限公司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橡胶零件制造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重庆市一龙管道有限公司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塑料板、管、型材制造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重庆厦安消防设备有限责任公司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塑料板、管、型材制造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重庆新南方工程塑料有限公司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泡沫塑料制造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重庆浪淘砂新型材料有限公司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重庆鸣洋警安电器有限公司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塑料零件及其他塑料制品制造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重庆协成塑料有限公司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塑料薄膜制造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重庆华新天成混凝土有限公司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石膏、水泥制品及类似制品制造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重庆汉信新型建材有限公司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石膏、水泥制品及类似制品制造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重庆派斯克刀具制造股份有限公司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切削工具制造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重庆新华印务有限责任公司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装订及印刷相关服务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重庆腾升塔式起重机有限公司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通用设备制造业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重庆帆禄昊粉末冶金有限公司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轴承、齿轮和传动部件制造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重庆丰铁模具有限公司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塑料零件及其他塑料制品制造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重庆志成汽车零部件制造有限公司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摩托车零部件及配件制造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重庆瑞生机械厂有限公司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通用零部件制造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重庆龙派安吉尔饮品有限公司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瓶（罐）装饮用水制造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重庆维协汽车修理服务有限责任公司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重庆东洋锅炉有限公司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锅炉及辅助设备制造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重庆康希塑料制品有限公司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塑料包装箱及容器制造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重庆鑫升电力设备有限公司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重庆南洋摩托车配件有限责任公司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摩托车零部件及配件制造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重庆汉瞻仪器有限公司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仪器仪表制造业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重庆大环机械制造有限公司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机械零部件加工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重庆华西三利包装刀具有限责任公司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切削工具制造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重庆伊士顿电梯有限责任公司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电梯、自动扶梯及升降机制造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重庆天人自控设备有限公司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水轮机及辅机制造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重庆钛耀泓浦机械有限公司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内燃机及配件制造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重庆中冈电器有限公司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摩托车零部件及配件制造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重庆广益摩托车有限公司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摩托车整车制造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重庆坦承精密机械有限公司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机床功能部件及附件制造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重庆钺行汽车零部件制造有限公司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重庆莹漾机械有限公司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重庆亮友弹簧有限公司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弹簧制造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重庆美联城建材有限公司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涂料制造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重庆和诚电器有限公司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电气机械和器材制造业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重庆市金盾护运中心</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金融押运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重庆英派克机电工业有限公司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工程和技术研究和试验发展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重庆弘劼机械有限公司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重庆意久车辆配件有限公司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摩托车零部件及配件制造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重庆环宇电器有限公司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输配电及控制设备制造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重庆市奇派食品饮料有限公司茶园分厂</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瓶（罐）装饮用水制造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重庆九源机械有限公司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金属切削机床制造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重庆讯通精密模具有限公司南岸分公司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塑料零件及其他塑料制品制造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重庆左通右达商贸有限公司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重庆乾宗火锅调味品有限公司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重庆渝玖点食品有限公司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重庆黄桷庄豆制品加工有限公司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豆制品制造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重庆安特布鲁精酿啤酒有限公司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啤酒制造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重庆会凌电子新技术有限公司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雷达及配套设备制造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重庆西南液压气动成套厂缸分厂</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重庆恒冠科技有限公司南岸分厂</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石油及制品批发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重庆福伦德实业有限公司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其他未列明通用设备制造业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重庆正天环保产业有限公司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塑料零件及其他塑料制品制造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重庆宝讯机械有限公司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金属加工机械制造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重庆雄淦建材有限公司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危险废物治理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重庆弘嘉再生资源有限公司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危险废物治理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重庆厚元汽车配件有限公司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重庆沙亿再生资源回收有限公司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非金属废料和碎屑加工处理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重庆市国信通讯息科技产业有限公司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其他电子设备制造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重庆绿墙装饰建材有限公司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竹制品制造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重庆力臻机电有限公司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其他家用电力器具制造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重庆云网机动车检测设备有限公司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重庆天天检测有限公司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重庆星滔包装印务有限公司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重庆雲德汽车修理厂</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重庆南城医院有限责任公司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重庆市东南医院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重庆医科大学附属第二医院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重庆慈佑中西医结合医院有限公司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重庆宏劲印务有限责任公司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重庆市吉亿信工贸有限公司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重庆乐达通机械制造有限公司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通用设备制造业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重庆聚力康灭菌技术有限公司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专业技术服务业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重庆中油诚源发展有限公司内环茶园加油站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中国石化销售股份有限公司重庆石油分公司茶园加油站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中国石油天然气股份有限公司重庆销售分公司茶园东加油站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中国兵工物资西南有限公司茶园加气站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机动车燃气零售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重庆渝泓土地开发有限公司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环境卫生管理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重庆康达新能源有限公司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生物质能发电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重庆市南岸区长生桥镇卫生院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重庆万丰塑胶有限公司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塑料板、管、型材制造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重庆市东部水务技术开发有限公司朱家岩水厂</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自来水生产和供应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重庆佳美香料有限公司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食品及饲料添加剂制造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重庆任砼混凝土有限公司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石膏、水泥制品及类似制品制造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重庆市水利投资(集团)有限公司（观景口水厂）</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自来水生产和供应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重庆圣点食品有限公司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领航国创控股集团西南能源有限公司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锂离子电池制造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中国石油天然气股份有限公司重庆销售分公司茶园北加油站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中国石油天然气股份有限公司重庆销售分公司茶园西加油站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中国石油天然气股份有限公司重庆销售分公司茶园南加油站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中国石油天然气股份有限公司重庆销售分公司长生加油站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重庆佰纳医疗器械有限公司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药用辅料及包装材料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重庆渝平加油站有限公司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中国石油天然气股份有限公司重庆销售分公司通江加油站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重庆博森电气（集团）有限公司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配电开关控制设备制造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重庆市南岸区峡口镇卫生院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长江重庆航道工程局(长江航道重庆维护疏浚船舶基地)</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其他水上运输辅助活动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重庆圣华曦药业股份有限公司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化学药品原料药制造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太极集团重庆桐君阁药厂有限公司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中成药生产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国家电投集团远达环保催化剂有限公司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化学试剂和助剂制造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重庆机床（集团）有限责任公司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金属加工机械制造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重庆气体压缩机厂有限责任公司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金属加工机械制造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重庆雅丽洁环保科技有限公司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危险废物治理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重庆蓉小妹餐饮管理有限公司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重庆拓维印务有限公司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重庆志晴塑料科技有限公司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塑料零件及其他塑料制品制造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重庆酷仁环保科技有限公司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纸和纸板容器制造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重庆钺行汽车零部件制造有限公司第一分公司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家用空调外机制造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重庆三力达电子有限公司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发电机控制面板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重庆奥黛鸥洗衣有限公司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洗染服务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经济技术开发区普渝洗涤厂</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洗染服务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重庆威丝特洗涤服务有限公司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洗染服务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重庆甘泉洗衣有限责任公司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洗染服务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重庆金桐干洗服务有限公司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洗染服务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重庆强净洗涤有限公司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洗染服务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罗德贵</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洗染服务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重庆贝尔洁酒店用品有限公司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洗染服务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重庆江明洗涤有限公司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洗染服务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重庆赛康洗涤有限公司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洗染服务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重庆汇悦食品有限公司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肉制品及副产品加工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重庆市蓝燕印务有限公司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重庆市科立印务有限公司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重庆零一精密机械有限公司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缝制机械制造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重庆飞能达都工机械有限公司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重庆齐信汽车零部件有限公司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金属加工机械制造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重庆万桥交通科技发展有限公司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其他专用设备制造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重庆鑫地轴承制造有限责任公司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重庆軎门特机电制造有限公司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内燃机及配件制造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重庆浩月实业有限公司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机械零部件加工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重庆市壹品源食品有限责任公司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重庆天海医疗设备有限公司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医疗诊断、监护及治疗设备制造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重庆张张香豆制品有限责任公司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豆制品制造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重庆帕勒美机电有限公司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金属表面处理及热处理加工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重庆亮豪实业有限公司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房地产租赁经营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招商局重庆交通科研设计院有限公司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玻璃纤维增强塑料制品制造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重庆康乾印刷有限公司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重庆嘉东文化传播有限公司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广告产品制作（喷涂）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重庆亮高艺品印务有限公司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269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重庆台声切削刀具有限公司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切削工具制造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重庆诚邦路面材料有限公司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其他未列明制造业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重庆海联水性涂料有限公司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涂料制造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重庆九州通医药有限公司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医药及医疗器材批发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重庆海侨机械制造有限公司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重庆巴怡缘食品有限公司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焙烤食品制造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重庆马思特润滑油有限公司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石油及制品批发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重庆索尔汽车配件有限公司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重庆凌进电子有限公司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重庆隆丰汽车维修有限公司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重庆市南岸区力恒工具制造有限公司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金属非标刀具制造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重庆佳圭科技有限公司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电子产品制造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重庆归正包装技术有限公司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重庆萱铭科技有限公司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塑料零件及其他塑料制品制造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重庆三达广告印务装璜有限公司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书、报刊印刷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重庆丰海坤翔实业(集团)有限公司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橡胶和塑料制品业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重庆美的制冷设备有限公司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家用空气调节器制造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重庆莉莱食品有限公司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肉制品及副产品加工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重庆力宏精细化工有限公司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食品及饲料添加剂制造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重庆市渝都监狱</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电气机械和器材制造业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维沃移动通信（重庆）有限公司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通信终端设备制造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正和绿源检测技术（重庆）有限公司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环境与生态监测检测服务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重庆康誉食品有限公司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肉制品及副产品加工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重庆市巨成混凝土有限公司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石膏、水泥制品及类似制品制造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重庆泰宏新型建材有限公司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石膏、水泥制品及类似制品制造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重庆市南岸区迎龙镇卫生院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重庆生息节能技术有限公司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生物质燃料加工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重庆油润再生资源开发有限公司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危险废物治理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重庆二航商品混凝土有限责任公司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石膏、水泥制品及类似制品制造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重庆东港船舶产业有限公司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金属船舶制造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重庆圣同混凝土有限公司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石膏、水泥制品及类似制品制造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重庆砼磊高新混凝土有限公司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石膏、水泥制品及类似制品制造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重庆路圣公路工程材料有限公司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其他非金属矿物制品制造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重庆市南岸区广阳镇卫生院</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重庆庞博金属制品有限公司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黑色金属铸造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中建佰润商品混凝土重庆有限公司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石膏、水泥制品及类似制品制造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重庆富砼混凝土有限公司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石膏、水泥制品及类似制品制造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重庆市润伟冲压科技有限公司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家用电力器具专用配件制造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重庆科端建材有限公司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石膏、水泥制品及类似制品制造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309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重庆东港集装箱码头有限公司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重庆喜沁新材料技术有限公司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塑料零件及其他塑料制品制造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重庆东立富盛新材料科技有限公司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注塑件加工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重庆港城污水处理有限公司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污水处理及其再生利用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重庆旺润机械有限公司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长江重庆航标器材维修中心</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航道器材维修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重庆市益卫生态环保科技有限公司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砖瓦、石材等建筑材料制造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重庆茶园污水处理有限公司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污水处理及其再生利用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重庆安道沥青有限公司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其他非金属矿物制品制造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重庆迎龙化工厂</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食品及饲料添加剂制造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319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重庆老码头地升建材有限公司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重庆市南岸区茂霞建材厂</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重庆市贵锦砂石船舶运输有限公司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货运港口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重庆市江南机械制造有限公司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有色金属铸造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重庆源峰林道路工程有限公司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其他非金属矿物制品制造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重庆云沁思食品有限公司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其他调味品、发酵制品制造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9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326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中国石油天然气股份有限公司重庆销售分公司大佛寺内侧停车区加油站</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327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重庆云迅汽车销售服务有限公司</w:t>
            </w:r>
          </w:p>
        </w:tc>
        <w:tc>
          <w:tcPr>
            <w:tcW w:w="343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328</w:t>
            </w:r>
          </w:p>
        </w:tc>
        <w:tc>
          <w:tcPr>
            <w:tcW w:w="453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重庆鸿川燃料有限公司</w:t>
            </w:r>
          </w:p>
        </w:tc>
        <w:tc>
          <w:tcPr>
            <w:tcW w:w="343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机动车燃油零售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329</w:t>
            </w:r>
          </w:p>
        </w:tc>
        <w:tc>
          <w:tcPr>
            <w:tcW w:w="453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重庆市沃信食品有限公司</w:t>
            </w:r>
          </w:p>
        </w:tc>
        <w:tc>
          <w:tcPr>
            <w:tcW w:w="343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豆制品制造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330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重庆荣圣聚业包装材料有限公司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塑料薄膜制造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331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重庆联翼森科技有限公司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塑料零件及其他塑料制品制造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332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重庆博士泰康生物科技发展有限公司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卫生材料及医药用品制造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333</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重庆市众钰顺科技有限公司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其他未列明金属制品制造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334</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重庆永渝检验检测技术有限公司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335</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重庆中国三峡博物馆</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自然科学研究和试验发展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336</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圃美多乐活（中国）有限公司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豆制品制造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337</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国科逆凰（重庆）医疗设备有限公司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中药饮片加工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338</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重庆盟讯电子科技有限公司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其他电子设备制造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339</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重庆萌甜巧臻食品有限公司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糖果、巧克力制造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340</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重庆金华汽车制动器有限公司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汽车零部件及配件制造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341</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重庆罗呵呵食品有限公司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淀粉及淀粉制品制造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0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342</w:t>
            </w:r>
          </w:p>
        </w:tc>
        <w:tc>
          <w:tcPr>
            <w:tcW w:w="453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重庆凯捷轻合金有限公司</w:t>
            </w:r>
          </w:p>
        </w:tc>
        <w:tc>
          <w:tcPr>
            <w:tcW w:w="34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汽车零部件及配件制造</w:t>
            </w:r>
          </w:p>
        </w:tc>
      </w:tr>
    </w:tbl>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lang w:val="en-US" w:eastAsia="zh-CN"/>
        </w:rPr>
      </w:pPr>
    </w:p>
    <w:p>
      <w:pPr>
        <w:rPr>
          <w:rFonts w:hint="eastAsia"/>
        </w:rPr>
      </w:pPr>
    </w:p>
    <w:p>
      <w:pPr>
        <w:adjustRightInd w:val="0"/>
        <w:snapToGrid w:val="0"/>
        <w:spacing w:line="600" w:lineRule="exact"/>
        <w:ind w:firstLine="280" w:firstLineChars="100"/>
        <w:rPr>
          <w:rFonts w:hint="default" w:ascii="Times New Roman" w:hAnsi="Times New Roman" w:cs="Times New Roman"/>
          <w:lang w:val="en-US" w:eastAsia="zh-CN"/>
        </w:rPr>
      </w:pPr>
      <w:r>
        <w:rPr>
          <w:rFonts w:hint="default" w:ascii="Times New Roman" w:hAnsi="Times New Roman" w:eastAsia="方正仿宋_GBK" w:cs="Times New Roman"/>
          <w:snapToGrid w:val="0"/>
          <w:kern w:val="0"/>
          <w:sz w:val="28"/>
          <w:szCs w:val="28"/>
          <w:lang w:val="zh-CN"/>
        </w:rPr>
        <mc:AlternateContent>
          <mc:Choice Requires="wps">
            <w:drawing>
              <wp:anchor distT="0" distB="0" distL="114300" distR="114300" simplePos="0" relativeHeight="251664384" behindDoc="0" locked="0" layoutInCell="1" allowOverlap="1">
                <wp:simplePos x="0" y="0"/>
                <wp:positionH relativeFrom="column">
                  <wp:posOffset>17780</wp:posOffset>
                </wp:positionH>
                <wp:positionV relativeFrom="paragraph">
                  <wp:posOffset>59055</wp:posOffset>
                </wp:positionV>
                <wp:extent cx="557974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4.65pt;height:0pt;width:439.35pt;z-index:251664384;mso-width-relative:page;mso-height-relative:page;" filled="f" stroked="t" coordsize="21600,21600" o:gfxdata="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x3c0NQAAAAFAQAADwAAAAAAAAABACAAAAAiAAAAZHJzL2Rvd25yZXYueG1sUEsBAhQA&#10;FAAAAAgAh07iQOq1CxX2AQAA5QMAAA4AAAAAAAAAAQAgAAAAIwEAAGRycy9lMm9Eb2MueG1sUEsF&#10;BgAAAAAGAAYAWQEAAIsFA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napToGrid w:val="0"/>
          <w:color w:val="000000"/>
          <w:kern w:val="0"/>
          <w:szCs w:val="32"/>
          <w:lang w:val="zh-CN"/>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414655</wp:posOffset>
                </wp:positionV>
                <wp:extent cx="557974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32.65pt;height:0pt;width:439.35pt;mso-position-horizontal:center;z-index:251663360;mso-width-relative:page;mso-height-relative:page;" filled="f" stroked="t" coordsize="21600,21600" o:gfxdata="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7Tax9YAAAAGAQAADwAAAAAAAAABACAAAAAiAAAAZHJzL2Rvd25yZXYueG1sUEsB&#10;AhQAFAAAAAgAh07iQC5EYDr3AQAA5QMAAA4AAAAAAAAAAQAgAAAAJQEAAGRycy9lMm9Eb2MueG1s&#10;UEsFBgAAAAAGAAYAWQEAAI4FA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napToGrid w:val="0"/>
          <w:kern w:val="0"/>
          <w:sz w:val="28"/>
          <w:szCs w:val="28"/>
          <w:lang w:val="zh-CN"/>
        </w:rPr>
        <w:t>南岸区</w:t>
      </w:r>
      <w:r>
        <w:rPr>
          <w:rFonts w:hint="default" w:ascii="Times New Roman" w:hAnsi="Times New Roman" w:eastAsia="方正仿宋_GBK" w:cs="Times New Roman"/>
          <w:snapToGrid w:val="0"/>
          <w:kern w:val="0"/>
          <w:sz w:val="28"/>
          <w:szCs w:val="28"/>
          <w:lang w:val="en-US" w:eastAsia="zh-CN"/>
        </w:rPr>
        <w:t>生态环境</w:t>
      </w:r>
      <w:r>
        <w:rPr>
          <w:rFonts w:hint="default" w:ascii="Times New Roman" w:hAnsi="Times New Roman" w:eastAsia="方正仿宋_GBK" w:cs="Times New Roman"/>
          <w:snapToGrid w:val="0"/>
          <w:kern w:val="0"/>
          <w:sz w:val="28"/>
          <w:szCs w:val="28"/>
          <w:lang w:val="zh-CN"/>
        </w:rPr>
        <w:t>局办公室                20</w:t>
      </w:r>
      <w:r>
        <w:rPr>
          <w:rFonts w:hint="default" w:ascii="Times New Roman" w:hAnsi="Times New Roman" w:eastAsia="方正仿宋_GBK" w:cs="Times New Roman"/>
          <w:snapToGrid w:val="0"/>
          <w:kern w:val="0"/>
          <w:sz w:val="28"/>
          <w:szCs w:val="28"/>
          <w:lang w:val="en-US" w:eastAsia="zh-CN"/>
        </w:rPr>
        <w:t>21</w:t>
      </w:r>
      <w:r>
        <w:rPr>
          <w:rFonts w:hint="default" w:ascii="Times New Roman" w:hAnsi="Times New Roman" w:eastAsia="方正仿宋_GBK" w:cs="Times New Roman"/>
          <w:snapToGrid w:val="0"/>
          <w:kern w:val="0"/>
          <w:sz w:val="28"/>
          <w:szCs w:val="28"/>
          <w:lang w:val="zh-CN"/>
        </w:rPr>
        <w:t>年</w:t>
      </w:r>
      <w:r>
        <w:rPr>
          <w:rFonts w:hint="default" w:ascii="Times New Roman" w:hAnsi="Times New Roman" w:eastAsia="方正仿宋_GBK" w:cs="Times New Roman"/>
          <w:snapToGrid w:val="0"/>
          <w:kern w:val="0"/>
          <w:sz w:val="28"/>
          <w:szCs w:val="28"/>
          <w:lang w:val="en-US" w:eastAsia="zh-CN"/>
        </w:rPr>
        <w:t>1</w:t>
      </w:r>
      <w:r>
        <w:rPr>
          <w:rFonts w:hint="eastAsia" w:ascii="Times New Roman" w:hAnsi="Times New Roman" w:eastAsia="方正仿宋_GBK" w:cs="Times New Roman"/>
          <w:snapToGrid w:val="0"/>
          <w:kern w:val="0"/>
          <w:sz w:val="28"/>
          <w:szCs w:val="28"/>
          <w:lang w:val="en-US" w:eastAsia="zh-CN"/>
        </w:rPr>
        <w:t>1</w:t>
      </w:r>
      <w:r>
        <w:rPr>
          <w:rFonts w:hint="default" w:ascii="Times New Roman" w:hAnsi="Times New Roman" w:eastAsia="方正仿宋_GBK" w:cs="Times New Roman"/>
          <w:snapToGrid w:val="0"/>
          <w:kern w:val="0"/>
          <w:sz w:val="28"/>
          <w:szCs w:val="28"/>
          <w:lang w:val="zh-CN"/>
        </w:rPr>
        <w:t>月</w:t>
      </w:r>
      <w:r>
        <w:rPr>
          <w:rFonts w:hint="eastAsia" w:ascii="Times New Roman" w:hAnsi="Times New Roman" w:eastAsia="方正仿宋_GBK" w:cs="Times New Roman"/>
          <w:snapToGrid w:val="0"/>
          <w:kern w:val="0"/>
          <w:sz w:val="28"/>
          <w:szCs w:val="28"/>
          <w:highlight w:val="none"/>
          <w:lang w:val="en-US" w:eastAsia="zh-CN"/>
        </w:rPr>
        <w:t>30</w:t>
      </w:r>
      <w:r>
        <w:rPr>
          <w:rFonts w:hint="default" w:ascii="Times New Roman" w:hAnsi="Times New Roman" w:eastAsia="方正仿宋_GBK" w:cs="Times New Roman"/>
          <w:snapToGrid w:val="0"/>
          <w:kern w:val="0"/>
          <w:sz w:val="28"/>
          <w:szCs w:val="28"/>
          <w:highlight w:val="none"/>
          <w:lang w:val="zh-CN"/>
        </w:rPr>
        <w:t>日</w:t>
      </w:r>
      <w:r>
        <w:rPr>
          <w:rFonts w:hint="default" w:ascii="Times New Roman" w:hAnsi="Times New Roman" w:eastAsia="方正仿宋_GBK" w:cs="Times New Roman"/>
          <w:snapToGrid w:val="0"/>
          <w:kern w:val="0"/>
          <w:sz w:val="28"/>
          <w:szCs w:val="28"/>
          <w:lang w:val="zh-CN"/>
        </w:rPr>
        <w:t xml:space="preserve">印发  </w:t>
      </w:r>
    </w:p>
    <w:sectPr>
      <w:pgSz w:w="11907" w:h="16840"/>
      <w:pgMar w:top="1134" w:right="1474" w:bottom="1134" w:left="1587" w:header="851" w:footer="1134" w:gutter="0"/>
      <w:pgNumType w:fmt="numberInDash"/>
      <w:cols w:space="0" w:num="1"/>
      <w:rtlGutter w:val="0"/>
      <w:docGrid w:type="linesAndChars" w:linePitch="579" w:charSpace="1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firstLine="7840" w:firstLineChars="2800"/>
      <w:rPr>
        <w:rFonts w:hint="eastAsia" w:ascii="宋体" w:hAnsi="宋体" w:eastAsia="宋体"/>
        <w:sz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- 9 -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- 9 -</w:t>
                    </w:r>
                    <w:r>
                      <w:rPr>
                        <w:rFonts w:hint="eastAsia"/>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hint="eastAsia" w:ascii="宋体" w:hAnsi="宋体" w:eastAsia="宋体"/>
        <w:sz w:val="28"/>
      </w:rPr>
    </w:pPr>
    <w:r>
      <w:rPr>
        <w:rFonts w:hint="eastAsia" w:ascii="宋体" w:hAnsi="宋体" w:eastAsia="宋体"/>
        <w:sz w:val="28"/>
      </w:rPr>
      <w:t>—</w:t>
    </w:r>
    <w:r>
      <w:rPr>
        <w:rFonts w:hint="eastAsia" w:ascii="宋体" w:hAnsi="宋体" w:eastAsia="宋体"/>
        <w:sz w:val="28"/>
        <w:lang w:val="en-US" w:eastAsia="zh-CN"/>
      </w:rPr>
      <w:t xml:space="preserve"> </w:t>
    </w:r>
    <w:r>
      <w:rPr>
        <w:rFonts w:ascii="宋体" w:hAnsi="宋体" w:eastAsia="宋体"/>
        <w:sz w:val="28"/>
      </w:rPr>
      <w:fldChar w:fldCharType="begin"/>
    </w:r>
    <w:r>
      <w:rPr>
        <w:rStyle w:val="10"/>
        <w:rFonts w:ascii="宋体" w:hAnsi="宋体" w:eastAsia="宋体"/>
        <w:sz w:val="28"/>
      </w:rPr>
      <w:instrText xml:space="preserve"> PAGE </w:instrText>
    </w:r>
    <w:r>
      <w:rPr>
        <w:rFonts w:ascii="宋体" w:hAnsi="宋体" w:eastAsia="宋体"/>
        <w:sz w:val="28"/>
      </w:rPr>
      <w:fldChar w:fldCharType="separate"/>
    </w:r>
    <w:r>
      <w:rPr>
        <w:rStyle w:val="10"/>
        <w:rFonts w:ascii="宋体" w:hAnsi="宋体" w:eastAsia="宋体"/>
        <w:sz w:val="28"/>
      </w:rPr>
      <w:t>16</w:t>
    </w:r>
    <w:r>
      <w:rPr>
        <w:rFonts w:ascii="宋体" w:hAnsi="宋体" w:eastAsia="宋体"/>
        <w:sz w:val="28"/>
      </w:rPr>
      <w:fldChar w:fldCharType="end"/>
    </w:r>
    <w:r>
      <w:rPr>
        <w:rFonts w:hint="eastAsia" w:ascii="宋体" w:hAnsi="宋体" w:eastAsia="宋体"/>
        <w:sz w:val="28"/>
        <w:lang w:val="en-US" w:eastAsia="zh-CN"/>
      </w:rPr>
      <w:t xml:space="preserve"> </w:t>
    </w:r>
    <w:r>
      <w:rPr>
        <w:rFonts w:hint="eastAsia" w:ascii="宋体" w:hAnsi="宋体" w:eastAsia="宋体"/>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AF24E"/>
    <w:multiLevelType w:val="singleLevel"/>
    <w:tmpl w:val="614AF24E"/>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603A1"/>
    <w:rsid w:val="0577073F"/>
    <w:rsid w:val="072C3570"/>
    <w:rsid w:val="0D174E9D"/>
    <w:rsid w:val="0E4B77B7"/>
    <w:rsid w:val="10DF0562"/>
    <w:rsid w:val="116D51D6"/>
    <w:rsid w:val="1D8603A1"/>
    <w:rsid w:val="2BF60D4E"/>
    <w:rsid w:val="2FB706AD"/>
    <w:rsid w:val="34D75590"/>
    <w:rsid w:val="36F27DEB"/>
    <w:rsid w:val="37F3395B"/>
    <w:rsid w:val="3ECD0020"/>
    <w:rsid w:val="40585192"/>
    <w:rsid w:val="40BD073C"/>
    <w:rsid w:val="53374F2A"/>
    <w:rsid w:val="53F45935"/>
    <w:rsid w:val="55A3186A"/>
    <w:rsid w:val="6F762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4"/>
    <w:basedOn w:val="3"/>
    <w:next w:val="1"/>
    <w:unhideWhenUsed/>
    <w:qFormat/>
    <w:uiPriority w:val="0"/>
    <w:pPr>
      <w:spacing w:before="280" w:after="290" w:line="372" w:lineRule="auto"/>
    </w:pPr>
    <w:rPr>
      <w:rFonts w:hint="default" w:ascii="Arial" w:hAnsi="Arial" w:eastAsia="黑体"/>
      <w:sz w:val="28"/>
    </w:rPr>
  </w:style>
  <w:style w:type="paragraph" w:customStyle="1" w:styleId="3">
    <w:name w:val="Heading2"/>
    <w:basedOn w:val="1"/>
    <w:next w:val="1"/>
    <w:unhideWhenUsed/>
    <w:qFormat/>
    <w:uiPriority w:val="0"/>
    <w:pPr>
      <w:keepNext/>
      <w:keepLines/>
      <w:spacing w:before="260" w:after="260" w:line="416" w:lineRule="auto"/>
      <w:textAlignment w:val="baseline"/>
    </w:pPr>
    <w:rPr>
      <w:rFonts w:hint="default" w:ascii="Cambria" w:hAnsi="Cambria"/>
      <w:b/>
      <w:sz w:val="32"/>
      <w:lang w:val="en-US" w:eastAsia="zh-CN"/>
    </w:rPr>
  </w:style>
  <w:style w:type="paragraph" w:styleId="4">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p0"/>
    <w:basedOn w:val="1"/>
    <w:qFormat/>
    <w:uiPriority w:val="0"/>
    <w:pPr>
      <w:widowControl/>
    </w:pPr>
    <w:rPr>
      <w:kern w:val="0"/>
      <w:szCs w:val="21"/>
    </w:rPr>
  </w:style>
  <w:style w:type="character" w:customStyle="1" w:styleId="12">
    <w:name w:val="font12"/>
    <w:basedOn w:val="9"/>
    <w:qFormat/>
    <w:uiPriority w:val="0"/>
    <w:rPr>
      <w:rFonts w:hint="eastAsia" w:ascii="宋体" w:hAnsi="宋体" w:eastAsia="宋体" w:cs="宋体"/>
      <w:color w:val="000000"/>
      <w:sz w:val="24"/>
      <w:szCs w:val="24"/>
      <w:u w:val="none"/>
    </w:rPr>
  </w:style>
  <w:style w:type="character" w:customStyle="1" w:styleId="13">
    <w:name w:val="font9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2021-10-12T02:46:00Z</dcterms:created>
  <dc:creator>LPT·玥</dc:creator>
  <cp:lastModifiedBy>kongzhijingjie</cp:lastModifiedBy>
  <cp:lastPrinted>2021-11-29T02:27:00Z</cp:lastPrinted>
  <dcterms:modified xsi:type="dcterms:W3CDTF">2025-08-21T08:27:53Z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KSOSaveFontToCloudKey">
    <vt:lpwstr>245308271_btnclosed</vt:lpwstr>
  </property>
  <property fmtid="{D5CDD505-2E9C-101B-9397-08002B2CF9AE}" pid="4" name="ICV">
    <vt:lpwstr>3AA3FC33448A4FBDB6ABF4FDBAD80E19</vt:lpwstr>
  </property>
</Properties>
</file>