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F6982">
      <w:pPr>
        <w:overflowPunct w:val="0"/>
        <w:snapToGrid w:val="0"/>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重庆市南岸区养老服务领域基层政务公开标准目录</w:t>
      </w:r>
    </w:p>
    <w:tbl>
      <w:tblPr>
        <w:tblStyle w:val="4"/>
        <w:tblW w:w="13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54"/>
        <w:gridCol w:w="952"/>
        <w:gridCol w:w="1331"/>
        <w:gridCol w:w="3130"/>
        <w:gridCol w:w="597"/>
        <w:gridCol w:w="803"/>
        <w:gridCol w:w="1630"/>
        <w:gridCol w:w="573"/>
        <w:gridCol w:w="535"/>
        <w:gridCol w:w="516"/>
        <w:gridCol w:w="597"/>
        <w:gridCol w:w="496"/>
        <w:gridCol w:w="446"/>
      </w:tblGrid>
      <w:tr w14:paraId="7000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78" w:type="dxa"/>
            <w:vMerge w:val="restart"/>
            <w:shd w:val="clear" w:color="auto" w:fill="auto"/>
            <w:vAlign w:val="center"/>
          </w:tcPr>
          <w:p w14:paraId="3498CD66">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 号</w:t>
            </w:r>
          </w:p>
        </w:tc>
        <w:tc>
          <w:tcPr>
            <w:tcW w:w="1806" w:type="dxa"/>
            <w:gridSpan w:val="2"/>
            <w:shd w:val="clear" w:color="auto" w:fill="auto"/>
            <w:vAlign w:val="center"/>
          </w:tcPr>
          <w:p w14:paraId="7A658128">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1331" w:type="dxa"/>
            <w:vMerge w:val="restart"/>
            <w:shd w:val="clear" w:color="auto" w:fill="auto"/>
            <w:vAlign w:val="center"/>
          </w:tcPr>
          <w:p w14:paraId="4E978FCF">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 xml:space="preserve">(要素)        </w:t>
            </w:r>
          </w:p>
        </w:tc>
        <w:tc>
          <w:tcPr>
            <w:tcW w:w="3130" w:type="dxa"/>
            <w:vMerge w:val="restart"/>
            <w:shd w:val="clear" w:color="auto" w:fill="auto"/>
            <w:vAlign w:val="center"/>
          </w:tcPr>
          <w:p w14:paraId="425A7D7B">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597" w:type="dxa"/>
            <w:vMerge w:val="restart"/>
            <w:shd w:val="clear" w:color="auto" w:fill="auto"/>
            <w:vAlign w:val="center"/>
          </w:tcPr>
          <w:p w14:paraId="060572AE">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803" w:type="dxa"/>
            <w:vMerge w:val="restart"/>
            <w:shd w:val="clear" w:color="auto" w:fill="auto"/>
            <w:vAlign w:val="center"/>
          </w:tcPr>
          <w:p w14:paraId="2BCD9A84">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1630" w:type="dxa"/>
            <w:vMerge w:val="restart"/>
            <w:shd w:val="clear" w:color="auto" w:fill="auto"/>
            <w:vAlign w:val="center"/>
          </w:tcPr>
          <w:p w14:paraId="558887DC">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公开渠道和载体</w:t>
            </w:r>
          </w:p>
        </w:tc>
        <w:tc>
          <w:tcPr>
            <w:tcW w:w="1108" w:type="dxa"/>
            <w:gridSpan w:val="2"/>
            <w:shd w:val="clear" w:color="auto" w:fill="auto"/>
            <w:vAlign w:val="center"/>
          </w:tcPr>
          <w:p w14:paraId="5C7023D3">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1113" w:type="dxa"/>
            <w:gridSpan w:val="2"/>
            <w:shd w:val="clear" w:color="auto" w:fill="auto"/>
            <w:vAlign w:val="center"/>
          </w:tcPr>
          <w:p w14:paraId="3F2E801A">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942" w:type="dxa"/>
            <w:gridSpan w:val="2"/>
            <w:shd w:val="clear" w:color="auto" w:fill="auto"/>
            <w:vAlign w:val="center"/>
          </w:tcPr>
          <w:p w14:paraId="3FFB8407">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14:paraId="7B3D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78" w:type="dxa"/>
            <w:vMerge w:val="continue"/>
            <w:vAlign w:val="center"/>
          </w:tcPr>
          <w:p w14:paraId="545EBAA8">
            <w:pPr>
              <w:overflowPunct w:val="0"/>
              <w:snapToGrid w:val="0"/>
              <w:jc w:val="left"/>
              <w:rPr>
                <w:rFonts w:ascii="宋体" w:hAnsi="宋体" w:eastAsia="宋体" w:cs="宋体"/>
                <w:b/>
                <w:bCs/>
                <w:color w:val="000000"/>
                <w:kern w:val="0"/>
                <w:sz w:val="18"/>
                <w:szCs w:val="18"/>
              </w:rPr>
            </w:pPr>
          </w:p>
        </w:tc>
        <w:tc>
          <w:tcPr>
            <w:tcW w:w="854" w:type="dxa"/>
            <w:shd w:val="clear" w:color="auto" w:fill="auto"/>
            <w:vAlign w:val="center"/>
          </w:tcPr>
          <w:p w14:paraId="7600189E">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   事项</w:t>
            </w:r>
          </w:p>
        </w:tc>
        <w:tc>
          <w:tcPr>
            <w:tcW w:w="952" w:type="dxa"/>
            <w:shd w:val="clear" w:color="auto" w:fill="auto"/>
            <w:vAlign w:val="center"/>
          </w:tcPr>
          <w:p w14:paraId="55A560A7">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       事项</w:t>
            </w:r>
          </w:p>
        </w:tc>
        <w:tc>
          <w:tcPr>
            <w:tcW w:w="1331" w:type="dxa"/>
            <w:vMerge w:val="continue"/>
            <w:vAlign w:val="center"/>
          </w:tcPr>
          <w:p w14:paraId="4A6DDD71">
            <w:pPr>
              <w:overflowPunct w:val="0"/>
              <w:snapToGrid w:val="0"/>
              <w:jc w:val="left"/>
              <w:rPr>
                <w:rFonts w:ascii="宋体" w:hAnsi="宋体" w:eastAsia="宋体" w:cs="宋体"/>
                <w:b/>
                <w:bCs/>
                <w:color w:val="000000"/>
                <w:kern w:val="0"/>
                <w:sz w:val="18"/>
                <w:szCs w:val="18"/>
              </w:rPr>
            </w:pPr>
          </w:p>
        </w:tc>
        <w:tc>
          <w:tcPr>
            <w:tcW w:w="3130" w:type="dxa"/>
            <w:vMerge w:val="continue"/>
            <w:vAlign w:val="center"/>
          </w:tcPr>
          <w:p w14:paraId="7F50153B">
            <w:pPr>
              <w:overflowPunct w:val="0"/>
              <w:snapToGrid w:val="0"/>
              <w:jc w:val="left"/>
              <w:rPr>
                <w:rFonts w:ascii="宋体" w:hAnsi="宋体" w:eastAsia="宋体" w:cs="宋体"/>
                <w:b/>
                <w:bCs/>
                <w:color w:val="000000"/>
                <w:kern w:val="0"/>
                <w:sz w:val="18"/>
                <w:szCs w:val="18"/>
              </w:rPr>
            </w:pPr>
          </w:p>
        </w:tc>
        <w:tc>
          <w:tcPr>
            <w:tcW w:w="597" w:type="dxa"/>
            <w:vMerge w:val="continue"/>
            <w:vAlign w:val="center"/>
          </w:tcPr>
          <w:p w14:paraId="727CA578">
            <w:pPr>
              <w:overflowPunct w:val="0"/>
              <w:snapToGrid w:val="0"/>
              <w:jc w:val="left"/>
              <w:rPr>
                <w:rFonts w:ascii="宋体" w:hAnsi="宋体" w:eastAsia="宋体" w:cs="宋体"/>
                <w:b/>
                <w:bCs/>
                <w:color w:val="000000"/>
                <w:kern w:val="0"/>
                <w:sz w:val="18"/>
                <w:szCs w:val="18"/>
              </w:rPr>
            </w:pPr>
          </w:p>
        </w:tc>
        <w:tc>
          <w:tcPr>
            <w:tcW w:w="803" w:type="dxa"/>
            <w:vMerge w:val="continue"/>
            <w:vAlign w:val="center"/>
          </w:tcPr>
          <w:p w14:paraId="24DA822B">
            <w:pPr>
              <w:overflowPunct w:val="0"/>
              <w:snapToGrid w:val="0"/>
              <w:jc w:val="left"/>
              <w:rPr>
                <w:rFonts w:ascii="宋体" w:hAnsi="宋体" w:eastAsia="宋体" w:cs="宋体"/>
                <w:b/>
                <w:bCs/>
                <w:color w:val="000000"/>
                <w:kern w:val="0"/>
                <w:sz w:val="18"/>
                <w:szCs w:val="18"/>
              </w:rPr>
            </w:pPr>
          </w:p>
        </w:tc>
        <w:tc>
          <w:tcPr>
            <w:tcW w:w="1630" w:type="dxa"/>
            <w:vMerge w:val="continue"/>
            <w:vAlign w:val="center"/>
          </w:tcPr>
          <w:p w14:paraId="610B6938">
            <w:pPr>
              <w:overflowPunct w:val="0"/>
              <w:snapToGrid w:val="0"/>
              <w:jc w:val="left"/>
              <w:rPr>
                <w:rFonts w:ascii="宋体" w:hAnsi="宋体" w:eastAsia="宋体" w:cs="宋体"/>
                <w:b/>
                <w:bCs/>
                <w:color w:val="000000"/>
                <w:kern w:val="0"/>
                <w:sz w:val="18"/>
                <w:szCs w:val="18"/>
              </w:rPr>
            </w:pPr>
          </w:p>
        </w:tc>
        <w:tc>
          <w:tcPr>
            <w:tcW w:w="573" w:type="dxa"/>
            <w:shd w:val="clear" w:color="auto" w:fill="auto"/>
            <w:vAlign w:val="center"/>
          </w:tcPr>
          <w:p w14:paraId="7A7AFF1B">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全</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社会</w:t>
            </w:r>
          </w:p>
        </w:tc>
        <w:tc>
          <w:tcPr>
            <w:tcW w:w="535" w:type="dxa"/>
            <w:shd w:val="clear" w:color="auto" w:fill="auto"/>
            <w:vAlign w:val="center"/>
          </w:tcPr>
          <w:p w14:paraId="5B7E7135">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特定群体</w:t>
            </w:r>
          </w:p>
        </w:tc>
        <w:tc>
          <w:tcPr>
            <w:tcW w:w="516" w:type="dxa"/>
            <w:shd w:val="clear" w:color="auto" w:fill="auto"/>
            <w:vAlign w:val="center"/>
          </w:tcPr>
          <w:p w14:paraId="0EDCF46E">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tc>
        <w:tc>
          <w:tcPr>
            <w:tcW w:w="597" w:type="dxa"/>
            <w:shd w:val="clear" w:color="auto" w:fill="auto"/>
            <w:vAlign w:val="center"/>
          </w:tcPr>
          <w:p w14:paraId="1FB4B880">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依</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申请</w:t>
            </w:r>
          </w:p>
        </w:tc>
        <w:tc>
          <w:tcPr>
            <w:tcW w:w="496" w:type="dxa"/>
            <w:shd w:val="clear" w:color="auto" w:fill="auto"/>
            <w:vAlign w:val="center"/>
          </w:tcPr>
          <w:p w14:paraId="303B2B5E">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区县级</w:t>
            </w:r>
          </w:p>
        </w:tc>
        <w:tc>
          <w:tcPr>
            <w:tcW w:w="446" w:type="dxa"/>
            <w:shd w:val="clear" w:color="auto" w:fill="auto"/>
            <w:vAlign w:val="center"/>
          </w:tcPr>
          <w:p w14:paraId="1400ED94">
            <w:pPr>
              <w:overflowPunct w:val="0"/>
              <w:snapToGrid w:val="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乡镇级</w:t>
            </w:r>
          </w:p>
        </w:tc>
      </w:tr>
      <w:tr w14:paraId="2989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jc w:val="center"/>
        </w:trPr>
        <w:tc>
          <w:tcPr>
            <w:tcW w:w="578" w:type="dxa"/>
            <w:shd w:val="clear" w:color="auto" w:fill="auto"/>
            <w:vAlign w:val="center"/>
          </w:tcPr>
          <w:p w14:paraId="4034450E">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54" w:type="dxa"/>
            <w:shd w:val="clear" w:color="auto" w:fill="auto"/>
            <w:vAlign w:val="center"/>
          </w:tcPr>
          <w:p w14:paraId="1B8707A0">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法规政策</w:t>
            </w:r>
          </w:p>
        </w:tc>
        <w:tc>
          <w:tcPr>
            <w:tcW w:w="952" w:type="dxa"/>
            <w:shd w:val="clear" w:color="auto" w:fill="auto"/>
            <w:vAlign w:val="center"/>
          </w:tcPr>
          <w:p w14:paraId="32CE6ABD">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w:t>
            </w:r>
          </w:p>
        </w:tc>
        <w:tc>
          <w:tcPr>
            <w:tcW w:w="1331" w:type="dxa"/>
            <w:shd w:val="clear" w:color="auto" w:fill="auto"/>
            <w:vAlign w:val="center"/>
          </w:tcPr>
          <w:p w14:paraId="719AA134">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●文件名称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●文号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●发文部门</w:t>
            </w:r>
          </w:p>
        </w:tc>
        <w:tc>
          <w:tcPr>
            <w:tcW w:w="3130" w:type="dxa"/>
            <w:shd w:val="clear" w:color="auto" w:fill="auto"/>
            <w:vAlign w:val="center"/>
          </w:tcPr>
          <w:p w14:paraId="32204634">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                             ●《养老机构管理办法》           ●《重庆市老年人权益保障条例》                        ●《重庆市养老机构管理办法》                ●信息公开规定</w:t>
            </w:r>
          </w:p>
        </w:tc>
        <w:tc>
          <w:tcPr>
            <w:tcW w:w="597" w:type="dxa"/>
            <w:shd w:val="clear" w:color="auto" w:fill="auto"/>
            <w:vAlign w:val="center"/>
          </w:tcPr>
          <w:p w14:paraId="46A593C1">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制定或获取文件之日起10个工作日内</w:t>
            </w:r>
          </w:p>
        </w:tc>
        <w:tc>
          <w:tcPr>
            <w:tcW w:w="803" w:type="dxa"/>
            <w:shd w:val="clear" w:color="auto" w:fill="auto"/>
            <w:vAlign w:val="center"/>
          </w:tcPr>
          <w:p w14:paraId="1A3124E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6E44E629">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504ABB06">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213B8D77">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2F0F921A">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3F685938">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00524B4A">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008BF790">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9C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jc w:val="center"/>
        </w:trPr>
        <w:tc>
          <w:tcPr>
            <w:tcW w:w="578" w:type="dxa"/>
            <w:shd w:val="clear" w:color="auto" w:fill="auto"/>
            <w:vAlign w:val="center"/>
          </w:tcPr>
          <w:p w14:paraId="6A227A2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54" w:type="dxa"/>
            <w:shd w:val="clear" w:color="auto" w:fill="auto"/>
            <w:vAlign w:val="center"/>
          </w:tcPr>
          <w:p w14:paraId="7C6C1F2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法规政策</w:t>
            </w:r>
          </w:p>
        </w:tc>
        <w:tc>
          <w:tcPr>
            <w:tcW w:w="952" w:type="dxa"/>
            <w:shd w:val="clear" w:color="auto" w:fill="auto"/>
            <w:vAlign w:val="center"/>
          </w:tcPr>
          <w:p w14:paraId="64F0FD80">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政策文件</w:t>
            </w:r>
          </w:p>
        </w:tc>
        <w:tc>
          <w:tcPr>
            <w:tcW w:w="1331" w:type="dxa"/>
            <w:shd w:val="clear" w:color="auto" w:fill="auto"/>
            <w:vAlign w:val="center"/>
          </w:tcPr>
          <w:p w14:paraId="67CE9F2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●文件名称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●文号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●发文部门</w:t>
            </w:r>
          </w:p>
        </w:tc>
        <w:tc>
          <w:tcPr>
            <w:tcW w:w="3130" w:type="dxa"/>
            <w:shd w:val="clear" w:color="auto" w:fill="auto"/>
            <w:vAlign w:val="center"/>
          </w:tcPr>
          <w:p w14:paraId="2A860B15">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●《国务院办公厅关于全面放开养老服务市场提升养老服务质量的若干意见》                           </w:t>
            </w:r>
          </w:p>
          <w:p w14:paraId="62842488">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●《国务院办公厅关于推进养老服务发展的意见》                     ●《重庆市人民政府关于加快推进养老服务业发展的意见》              ●《重庆市人民政府办公厅关于全面放开养老服务市场提升养老服务质量的实施意见》                       ●《重庆市人民政府办公厅关于做好制定和实施老年人照顾服务项目工作的通知》                           ●《重庆市人民政府办公厅关于印发重庆市推进养老服务发展实施方案的通知》                             ●《重庆市民政局 重庆市财政局关于印发〈重庆市养老服务市级财政资金管理办法〉的通知》                       ●《重庆市民政局关于贯彻落实新修改的〈中华人民共和国老年人权益保障法〉和〈重庆市养老机构管理办法〉的通知</w:t>
            </w:r>
          </w:p>
          <w:p w14:paraId="6CF529BC">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●《关于印发〈南岸区加快养老服务业发展专项资金使用管理办法〉的通知》》                           </w:t>
            </w:r>
          </w:p>
          <w:p w14:paraId="4CBC6F35">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●信息公开规定</w:t>
            </w:r>
          </w:p>
          <w:p w14:paraId="14CC774B">
            <w:pPr>
              <w:pStyle w:val="2"/>
              <w:rPr>
                <w:rFonts w:ascii="宋体" w:hAnsi="宋体" w:eastAsia="宋体" w:cs="宋体"/>
                <w:b w:val="0"/>
                <w:color w:val="000000"/>
                <w:kern w:val="0"/>
                <w:sz w:val="18"/>
                <w:szCs w:val="18"/>
              </w:rPr>
            </w:pPr>
          </w:p>
        </w:tc>
        <w:tc>
          <w:tcPr>
            <w:tcW w:w="597" w:type="dxa"/>
            <w:shd w:val="clear" w:color="auto" w:fill="auto"/>
            <w:vAlign w:val="center"/>
          </w:tcPr>
          <w:p w14:paraId="73DC0759">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制定或获取文件之日起10个工作日内</w:t>
            </w:r>
          </w:p>
        </w:tc>
        <w:tc>
          <w:tcPr>
            <w:tcW w:w="803" w:type="dxa"/>
            <w:shd w:val="clear" w:color="auto" w:fill="auto"/>
            <w:vAlign w:val="center"/>
          </w:tcPr>
          <w:p w14:paraId="2C1FCE0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719A9A57">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7D16F2C4">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6013ED73">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031598E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73324F10">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281A14E9">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2FCB30DC">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A35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jc w:val="center"/>
        </w:trPr>
        <w:tc>
          <w:tcPr>
            <w:tcW w:w="578" w:type="dxa"/>
            <w:shd w:val="clear" w:color="auto" w:fill="auto"/>
            <w:vAlign w:val="center"/>
          </w:tcPr>
          <w:p w14:paraId="70EA668E">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4" w:type="dxa"/>
            <w:shd w:val="clear" w:color="auto" w:fill="auto"/>
            <w:vAlign w:val="center"/>
          </w:tcPr>
          <w:p w14:paraId="62726E44">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法规政策</w:t>
            </w:r>
          </w:p>
        </w:tc>
        <w:tc>
          <w:tcPr>
            <w:tcW w:w="952" w:type="dxa"/>
            <w:shd w:val="clear" w:color="auto" w:fill="auto"/>
            <w:vAlign w:val="center"/>
          </w:tcPr>
          <w:p w14:paraId="18ECE28C">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扶持政策措施清单</w:t>
            </w:r>
          </w:p>
        </w:tc>
        <w:tc>
          <w:tcPr>
            <w:tcW w:w="1331" w:type="dxa"/>
            <w:shd w:val="clear" w:color="auto" w:fill="auto"/>
            <w:vAlign w:val="center"/>
          </w:tcPr>
          <w:p w14:paraId="1B4A7A0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●扶持政策措施名称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●扶持对象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●实施部门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●扶持政策措施内容和标准</w:t>
            </w:r>
          </w:p>
        </w:tc>
        <w:tc>
          <w:tcPr>
            <w:tcW w:w="3130" w:type="dxa"/>
            <w:shd w:val="clear" w:color="auto" w:fill="auto"/>
            <w:vAlign w:val="center"/>
          </w:tcPr>
          <w:p w14:paraId="5A04F7D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●《财政部 税务总局 发展改革委 民政部 卫生健康委关于养老、托育、家政等社区家庭服务业税费优惠政策的公告》                                                                ●《重庆市人民政府关于加快推进养老服务业发展的意见》                                                              ●《重庆市人民政府办公厅关于全面放开养老服务市场提升养老服务质量的实施意见》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●《重庆市人民政府办公厅关于印发重庆市推进养老服务发展实施方案的通知》                                                                  ●《重庆市民政局 重庆</w:t>
            </w:r>
            <w:r>
              <w:rPr>
                <w:rFonts w:hint="eastAsia" w:ascii="宋体" w:hAnsi="宋体" w:eastAsia="宋体" w:cs="宋体"/>
                <w:color w:val="000000"/>
                <w:kern w:val="0"/>
                <w:sz w:val="18"/>
                <w:szCs w:val="18"/>
                <w:lang w:eastAsia="zh-CN"/>
              </w:rPr>
              <w:t>市</w:t>
            </w:r>
            <w:r>
              <w:rPr>
                <w:rFonts w:hint="eastAsia" w:ascii="宋体" w:hAnsi="宋体" w:eastAsia="宋体" w:cs="宋体"/>
                <w:color w:val="000000"/>
                <w:kern w:val="0"/>
                <w:sz w:val="18"/>
                <w:szCs w:val="18"/>
              </w:rPr>
              <w:t>财政局 重庆市卫生健康委员会 重庆市残疾人联合会关于印发老年人照顾服务计划实施方案的通知》                                                                                                   ●《重庆市民政局 重庆市财政局 重庆市卫生健康委员会 重庆市残疾人联合会关于印发失能特困人员集中照护工程实施方案的通知》                                 ●信息公开规定</w:t>
            </w:r>
          </w:p>
          <w:p w14:paraId="513D440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●《关于做好经济困难失能老年人等群体集中照护服务工作的通知》</w:t>
            </w:r>
          </w:p>
          <w:p w14:paraId="68254703">
            <w:pPr>
              <w:pStyle w:val="2"/>
              <w:rPr>
                <w:rFonts w:ascii="宋体" w:hAnsi="宋体" w:eastAsia="宋体" w:cs="宋体"/>
                <w:b w:val="0"/>
                <w:color w:val="000000"/>
                <w:kern w:val="0"/>
                <w:sz w:val="18"/>
                <w:szCs w:val="18"/>
              </w:rPr>
            </w:pPr>
          </w:p>
        </w:tc>
        <w:tc>
          <w:tcPr>
            <w:tcW w:w="597" w:type="dxa"/>
            <w:shd w:val="clear" w:color="auto" w:fill="auto"/>
            <w:vAlign w:val="center"/>
          </w:tcPr>
          <w:p w14:paraId="34640101">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制定或获取扶持政策措施之日起10个工作日内</w:t>
            </w:r>
          </w:p>
        </w:tc>
        <w:tc>
          <w:tcPr>
            <w:tcW w:w="803" w:type="dxa"/>
            <w:shd w:val="clear" w:color="auto" w:fill="auto"/>
            <w:vAlign w:val="center"/>
          </w:tcPr>
          <w:p w14:paraId="07DBC840">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1B9362B0">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156C0104">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34F91AA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4FD56C1D">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2F73C860">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47A4C439">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1AA6A8D4">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C9F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jc w:val="center"/>
        </w:trPr>
        <w:tc>
          <w:tcPr>
            <w:tcW w:w="578" w:type="dxa"/>
            <w:shd w:val="clear" w:color="auto" w:fill="auto"/>
            <w:vAlign w:val="center"/>
          </w:tcPr>
          <w:p w14:paraId="011053AD">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54" w:type="dxa"/>
            <w:shd w:val="clear" w:color="auto" w:fill="auto"/>
            <w:vAlign w:val="center"/>
          </w:tcPr>
          <w:p w14:paraId="700567C1">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法规政策</w:t>
            </w:r>
          </w:p>
        </w:tc>
        <w:tc>
          <w:tcPr>
            <w:tcW w:w="952" w:type="dxa"/>
            <w:shd w:val="clear" w:color="auto" w:fill="auto"/>
            <w:vAlign w:val="center"/>
          </w:tcPr>
          <w:p w14:paraId="0B989F4C">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投资指南</w:t>
            </w:r>
          </w:p>
        </w:tc>
        <w:tc>
          <w:tcPr>
            <w:tcW w:w="1331" w:type="dxa"/>
            <w:shd w:val="clear" w:color="auto" w:fill="auto"/>
            <w:vAlign w:val="center"/>
          </w:tcPr>
          <w:p w14:paraId="7FC3AF8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●本区域养老机构投资环境简介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●养老机构投资审批条件及依据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●养老机构投资审批流程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●养老机构投资审批涉及部门和联系方式</w:t>
            </w:r>
          </w:p>
        </w:tc>
        <w:tc>
          <w:tcPr>
            <w:tcW w:w="3130" w:type="dxa"/>
            <w:shd w:val="clear" w:color="auto" w:fill="auto"/>
            <w:vAlign w:val="center"/>
          </w:tcPr>
          <w:p w14:paraId="778FC017">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●信息公开规定</w:t>
            </w:r>
          </w:p>
        </w:tc>
        <w:tc>
          <w:tcPr>
            <w:tcW w:w="597" w:type="dxa"/>
            <w:shd w:val="clear" w:color="auto" w:fill="auto"/>
            <w:vAlign w:val="center"/>
          </w:tcPr>
          <w:p w14:paraId="4EAF607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制定或获取指南之日起10个工作日内</w:t>
            </w:r>
          </w:p>
        </w:tc>
        <w:tc>
          <w:tcPr>
            <w:tcW w:w="803" w:type="dxa"/>
            <w:shd w:val="clear" w:color="auto" w:fill="auto"/>
            <w:vAlign w:val="center"/>
          </w:tcPr>
          <w:p w14:paraId="2764BC0B">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70A28B23">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40C56549">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46410333">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1B1A242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0C1AE9AF">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6614290D">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14:paraId="01560DDF">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0E71162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393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8" w:type="dxa"/>
            <w:shd w:val="clear" w:color="auto" w:fill="auto"/>
            <w:vAlign w:val="center"/>
          </w:tcPr>
          <w:p w14:paraId="3DC3D11C">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54" w:type="dxa"/>
            <w:shd w:val="clear" w:color="auto" w:fill="auto"/>
            <w:vAlign w:val="center"/>
          </w:tcPr>
          <w:p w14:paraId="6467C5B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业务办理</w:t>
            </w:r>
          </w:p>
        </w:tc>
        <w:tc>
          <w:tcPr>
            <w:tcW w:w="952" w:type="dxa"/>
            <w:shd w:val="clear" w:color="auto" w:fill="auto"/>
            <w:vAlign w:val="center"/>
          </w:tcPr>
          <w:p w14:paraId="4706097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机构备案</w:t>
            </w:r>
          </w:p>
        </w:tc>
        <w:tc>
          <w:tcPr>
            <w:tcW w:w="1331" w:type="dxa"/>
            <w:shd w:val="clear" w:color="auto" w:fill="auto"/>
            <w:vAlign w:val="center"/>
          </w:tcPr>
          <w:p w14:paraId="087D724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●备案申请材料清单及样式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●备案流程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●办理时间、地点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w:t>
            </w:r>
          </w:p>
        </w:tc>
        <w:tc>
          <w:tcPr>
            <w:tcW w:w="3130" w:type="dxa"/>
            <w:shd w:val="clear" w:color="auto" w:fill="auto"/>
            <w:vAlign w:val="center"/>
          </w:tcPr>
          <w:p w14:paraId="607A5919">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                                                                    ●《重庆市养老机构管理办法》                                                               ●《重庆市民政局关于贯彻落实新修改的〈中华人民共和国老年人权益保障法〉和〈重庆市养老机构管理办法〉的通知》                                                          ●信息公开规定</w:t>
            </w:r>
          </w:p>
        </w:tc>
        <w:tc>
          <w:tcPr>
            <w:tcW w:w="597" w:type="dxa"/>
            <w:shd w:val="clear" w:color="auto" w:fill="auto"/>
            <w:vAlign w:val="center"/>
          </w:tcPr>
          <w:p w14:paraId="1A94A77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制定或获取备案政策之日起10个工作日内</w:t>
            </w:r>
          </w:p>
        </w:tc>
        <w:tc>
          <w:tcPr>
            <w:tcW w:w="803" w:type="dxa"/>
            <w:shd w:val="clear" w:color="auto" w:fill="auto"/>
            <w:vAlign w:val="center"/>
          </w:tcPr>
          <w:p w14:paraId="43BE5F45">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0D130FD2">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094B830B">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604F585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217EB4B9">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15CF29B3">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46B17148">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14:paraId="2AC5F52A">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6FD58F7A">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F5D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3" w:hRule="atLeast"/>
          <w:jc w:val="center"/>
        </w:trPr>
        <w:tc>
          <w:tcPr>
            <w:tcW w:w="578" w:type="dxa"/>
            <w:shd w:val="clear" w:color="auto" w:fill="auto"/>
            <w:vAlign w:val="center"/>
          </w:tcPr>
          <w:p w14:paraId="5F689293">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854" w:type="dxa"/>
            <w:shd w:val="clear" w:color="auto" w:fill="auto"/>
            <w:vAlign w:val="center"/>
          </w:tcPr>
          <w:p w14:paraId="73A7FC3A">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业务办理</w:t>
            </w:r>
          </w:p>
        </w:tc>
        <w:tc>
          <w:tcPr>
            <w:tcW w:w="952" w:type="dxa"/>
            <w:shd w:val="clear" w:color="auto" w:fill="auto"/>
            <w:vAlign w:val="center"/>
          </w:tcPr>
          <w:p w14:paraId="4D5EDDFA">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扶持补贴</w:t>
            </w:r>
          </w:p>
        </w:tc>
        <w:tc>
          <w:tcPr>
            <w:tcW w:w="1331" w:type="dxa"/>
            <w:shd w:val="clear" w:color="auto" w:fill="auto"/>
            <w:vAlign w:val="center"/>
          </w:tcPr>
          <w:p w14:paraId="4FB291B7">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●养老服务扶持补贴名称（建设补贴、运营补贴等）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●各项养老服务扶持补贴依据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●各项养老服务扶持补贴对象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●各项养老服务扶持补贴申请条件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●各项养老服务扶持补贴内容和标准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●各项养老服务扶持补贴方式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●补贴申请材料清单及样式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●办理时间、地点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w:t>
            </w:r>
          </w:p>
        </w:tc>
        <w:tc>
          <w:tcPr>
            <w:tcW w:w="3130" w:type="dxa"/>
            <w:shd w:val="clear" w:color="auto" w:fill="auto"/>
            <w:vAlign w:val="center"/>
          </w:tcPr>
          <w:p w14:paraId="0FCE96B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●《中华人民共和国老年人权益保障法》                                            ●《重庆市养老机构管理办法》                                      ●《重庆市人民政府关于加快推进养老服务业发展的意见》                          ●《重庆市人民政府办公厅关于全面放开养老服务市场提升养老服务质量的实施意见》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●《重庆市民政局 重庆市财政局关于印发〈重庆市养老服务市级财政资金管理办法〉的通知》                                                  </w:t>
            </w:r>
          </w:p>
          <w:p w14:paraId="5FBD98CC">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●《关于印发〈南岸区加快养老服务业发展专项资金使用管理办法〉的通知》</w:t>
            </w:r>
          </w:p>
          <w:p w14:paraId="0BE19D05">
            <w:pPr>
              <w:pStyle w:val="2"/>
              <w:jc w:val="both"/>
              <w:rPr>
                <w:rFonts w:ascii="宋体" w:hAnsi="宋体" w:eastAsia="宋体" w:cs="宋体"/>
                <w:b w:val="0"/>
                <w:color w:val="000000"/>
                <w:kern w:val="0"/>
                <w:sz w:val="18"/>
                <w:szCs w:val="18"/>
              </w:rPr>
            </w:pPr>
            <w:r>
              <w:rPr>
                <w:rFonts w:hint="eastAsia" w:ascii="宋体" w:hAnsi="宋体" w:eastAsia="宋体" w:cs="宋体"/>
                <w:color w:val="000000"/>
                <w:kern w:val="0"/>
                <w:sz w:val="18"/>
                <w:szCs w:val="18"/>
              </w:rPr>
              <w:t xml:space="preserve">●信息公开规定  </w:t>
            </w:r>
          </w:p>
          <w:p w14:paraId="65957210">
            <w:pPr>
              <w:pStyle w:val="2"/>
              <w:rPr>
                <w:rFonts w:ascii="宋体" w:hAnsi="宋体" w:eastAsia="宋体" w:cs="宋体"/>
                <w:b w:val="0"/>
                <w:color w:val="000000"/>
                <w:kern w:val="0"/>
                <w:sz w:val="18"/>
                <w:szCs w:val="18"/>
              </w:rPr>
            </w:pPr>
          </w:p>
        </w:tc>
        <w:tc>
          <w:tcPr>
            <w:tcW w:w="597" w:type="dxa"/>
            <w:shd w:val="clear" w:color="auto" w:fill="auto"/>
            <w:vAlign w:val="center"/>
          </w:tcPr>
          <w:p w14:paraId="5D38CC95">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制定或获取扶持补贴政策之日起10个工作日内</w:t>
            </w:r>
          </w:p>
        </w:tc>
        <w:tc>
          <w:tcPr>
            <w:tcW w:w="803" w:type="dxa"/>
            <w:shd w:val="clear" w:color="auto" w:fill="auto"/>
            <w:vAlign w:val="center"/>
          </w:tcPr>
          <w:p w14:paraId="028B7A48">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74197F90">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5085B201">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6DEE5647">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17EC8D7A">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5FD966F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22A3037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14:paraId="671FF31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6A663B2C">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0EA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5" w:hRule="atLeast"/>
          <w:jc w:val="center"/>
        </w:trPr>
        <w:tc>
          <w:tcPr>
            <w:tcW w:w="578" w:type="dxa"/>
            <w:shd w:val="clear" w:color="auto" w:fill="auto"/>
            <w:vAlign w:val="center"/>
          </w:tcPr>
          <w:p w14:paraId="0BF46915">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854" w:type="dxa"/>
            <w:shd w:val="clear" w:color="auto" w:fill="auto"/>
            <w:vAlign w:val="center"/>
          </w:tcPr>
          <w:p w14:paraId="693E9C4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业务办理</w:t>
            </w:r>
          </w:p>
        </w:tc>
        <w:tc>
          <w:tcPr>
            <w:tcW w:w="952" w:type="dxa"/>
            <w:shd w:val="clear" w:color="auto" w:fill="auto"/>
            <w:vAlign w:val="center"/>
          </w:tcPr>
          <w:p w14:paraId="1DAEB890">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老年人补贴</w:t>
            </w:r>
          </w:p>
        </w:tc>
        <w:tc>
          <w:tcPr>
            <w:tcW w:w="1331" w:type="dxa"/>
            <w:shd w:val="clear" w:color="auto" w:fill="auto"/>
            <w:vAlign w:val="center"/>
          </w:tcPr>
          <w:p w14:paraId="59D2793C">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●老年人补贴名称（高龄津贴、养老服务补贴、护理补贴等）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●各项老年人补贴依据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●各项老年人补贴对象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●各项老年人补贴内容和标准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●各项老年人补贴方式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●补贴申请材料清单及格式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●办理流程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●办理时间、地点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●咨询电话</w:t>
            </w:r>
          </w:p>
        </w:tc>
        <w:tc>
          <w:tcPr>
            <w:tcW w:w="3130" w:type="dxa"/>
            <w:shd w:val="clear" w:color="auto" w:fill="auto"/>
            <w:vAlign w:val="center"/>
          </w:tcPr>
          <w:p w14:paraId="585AEDCF">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●《中华人民共和国老年人权益保障法》                              ●《财政部 民政部 全国老龄办关于建立健全经济困难的高龄 失能等老年人补贴制度的通知》                                                                           ●《重庆市老年人权益保障条例》                                 ●《重庆市民政局 重庆市残疾人联合会 重庆市老龄工作委员会办公室 重庆市财政局关于印发〈重庆市经济困难的高龄失能老年人养老服务补贴实施办法〉〈重庆市贫困残疾人生活补贴实施办法〉〈重庆市重度残疾人护理补贴实施办法〉的通知》                                                                                                              </w:t>
            </w:r>
          </w:p>
          <w:p w14:paraId="728E193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●《南岸区民政局关于组织申报经济困难的高龄失能老年人养老服务补贴的通知》 </w:t>
            </w:r>
          </w:p>
          <w:p w14:paraId="0B9C068A">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●信息公开规定</w:t>
            </w:r>
          </w:p>
        </w:tc>
        <w:tc>
          <w:tcPr>
            <w:tcW w:w="597" w:type="dxa"/>
            <w:shd w:val="clear" w:color="auto" w:fill="auto"/>
            <w:vAlign w:val="center"/>
          </w:tcPr>
          <w:p w14:paraId="0F046218">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制定或获取补贴政策之日起10个工作日内</w:t>
            </w:r>
          </w:p>
        </w:tc>
        <w:tc>
          <w:tcPr>
            <w:tcW w:w="803" w:type="dxa"/>
            <w:shd w:val="clear" w:color="auto" w:fill="auto"/>
            <w:vAlign w:val="center"/>
          </w:tcPr>
          <w:p w14:paraId="3AC6FDA0">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区民政局、乡镇人民政府（街道办事处）</w:t>
            </w:r>
          </w:p>
        </w:tc>
        <w:tc>
          <w:tcPr>
            <w:tcW w:w="1630" w:type="dxa"/>
            <w:shd w:val="clear" w:color="auto" w:fill="auto"/>
            <w:vAlign w:val="center"/>
          </w:tcPr>
          <w:p w14:paraId="17F900BA">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35E55069">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2CCB4968">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6CE4E49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681E8BA8">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2C43AF1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3BC0072C">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5D2A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578" w:type="dxa"/>
            <w:shd w:val="clear" w:color="auto" w:fill="auto"/>
            <w:vAlign w:val="center"/>
          </w:tcPr>
          <w:p w14:paraId="3E2616F6">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854" w:type="dxa"/>
            <w:shd w:val="clear" w:color="auto" w:fill="auto"/>
            <w:vAlign w:val="center"/>
          </w:tcPr>
          <w:p w14:paraId="5840D3B4">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952" w:type="dxa"/>
            <w:shd w:val="clear" w:color="auto" w:fill="auto"/>
            <w:vAlign w:val="center"/>
          </w:tcPr>
          <w:p w14:paraId="0959294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备案信息</w:t>
            </w:r>
          </w:p>
        </w:tc>
        <w:tc>
          <w:tcPr>
            <w:tcW w:w="1331" w:type="dxa"/>
            <w:shd w:val="clear" w:color="auto" w:fill="auto"/>
            <w:vAlign w:val="center"/>
          </w:tcPr>
          <w:p w14:paraId="437E5FDF">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●本行政区域已备案养老机构案数量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●本行政区域已备案养老机构名称、机构地址、床位数量等基本信息</w:t>
            </w:r>
          </w:p>
        </w:tc>
        <w:tc>
          <w:tcPr>
            <w:tcW w:w="3130" w:type="dxa"/>
            <w:shd w:val="clear" w:color="auto" w:fill="auto"/>
            <w:vAlign w:val="center"/>
          </w:tcPr>
          <w:p w14:paraId="01235C7B">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●《中华人民共和国老年人权益保障法》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●《养老机构管理办法》            ●《重庆市老年人权益保障条例》                         ●《重庆市养老机构管理办法》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●信息公开规定</w:t>
            </w:r>
          </w:p>
        </w:tc>
        <w:tc>
          <w:tcPr>
            <w:tcW w:w="597" w:type="dxa"/>
            <w:shd w:val="clear" w:color="auto" w:fill="auto"/>
            <w:vAlign w:val="center"/>
          </w:tcPr>
          <w:p w14:paraId="0F7AF1DD">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每20个工作日更新</w:t>
            </w:r>
          </w:p>
        </w:tc>
        <w:tc>
          <w:tcPr>
            <w:tcW w:w="803" w:type="dxa"/>
            <w:shd w:val="clear" w:color="auto" w:fill="auto"/>
            <w:vAlign w:val="center"/>
          </w:tcPr>
          <w:p w14:paraId="1D61691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37A3AEB6">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4D4FF8BE">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73381071">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416EF8D5">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778823AB">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40E754F5">
            <w:pPr>
              <w:overflowPunct w:val="0"/>
              <w:snapToGrid w:val="0"/>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3A5504E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BC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578" w:type="dxa"/>
            <w:shd w:val="clear" w:color="auto" w:fill="auto"/>
            <w:vAlign w:val="center"/>
          </w:tcPr>
          <w:p w14:paraId="32F734C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854" w:type="dxa"/>
            <w:shd w:val="clear" w:color="auto" w:fill="auto"/>
            <w:vAlign w:val="center"/>
          </w:tcPr>
          <w:p w14:paraId="12CDBFC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952" w:type="dxa"/>
            <w:shd w:val="clear" w:color="auto" w:fill="auto"/>
            <w:vAlign w:val="center"/>
          </w:tcPr>
          <w:p w14:paraId="6A333571">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扶持补贴信息</w:t>
            </w:r>
          </w:p>
        </w:tc>
        <w:tc>
          <w:tcPr>
            <w:tcW w:w="1331" w:type="dxa"/>
            <w:shd w:val="clear" w:color="auto" w:fill="auto"/>
            <w:vAlign w:val="center"/>
          </w:tcPr>
          <w:p w14:paraId="201448D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●本行政区域各项养老服务扶持补贴申请数量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●本行政区域各项养老服务扶持补贴申请审核通过数量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●本行政区域各项养老服务扶持补贴申请审核通过名单及补贴金额</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●本行政区域各项养老服务扶持补贴发放总金额</w:t>
            </w:r>
          </w:p>
        </w:tc>
        <w:tc>
          <w:tcPr>
            <w:tcW w:w="3130" w:type="dxa"/>
            <w:shd w:val="clear" w:color="auto" w:fill="auto"/>
            <w:vAlign w:val="center"/>
          </w:tcPr>
          <w:p w14:paraId="53E204E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●《财政部 税务总局 发展改革委 民政部 卫生健康委关于养老、托育、家政等社区家庭服务业税费优惠政策的公告》                            ●《重庆市人民政府关于加快推进养老服务业发展的意见》               ●《重庆市人民政府办公厅关于全面放开养老服务市场提升养老服务质量的实施意见》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●《重庆市人民政府办公厅关于印发重庆市推进养老服务发展实施方案的通知》                              ●《重庆市民政局 重庆市财政局 重庆市卫生健康委员会 重庆市残疾人联合会关于印发老年人照顾服务计划</w:t>
            </w:r>
            <w:bookmarkStart w:id="0" w:name="_GoBack"/>
            <w:bookmarkEnd w:id="0"/>
            <w:r>
              <w:rPr>
                <w:rFonts w:hint="eastAsia" w:ascii="宋体" w:hAnsi="宋体" w:eastAsia="宋体" w:cs="宋体"/>
                <w:color w:val="000000"/>
                <w:kern w:val="0"/>
                <w:sz w:val="18"/>
                <w:szCs w:val="18"/>
              </w:rPr>
              <w:t>实施方案的通知》                        ●《重庆市民政局 重庆市财政局 重庆市卫生健康委员会 重庆市残疾人联合会关于印发失能特困人员集中照护工程实施方案的通知》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●信息公开规定</w:t>
            </w:r>
          </w:p>
          <w:p w14:paraId="0AE235D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●《重庆市南岸区人民政府办公室关于印发〈南岸区社区居家养老服务全覆盖实施方案〉的通知》</w:t>
            </w:r>
          </w:p>
          <w:p w14:paraId="31E47E3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●《关于印发〈南岸区加快养老服务业发展专项资金使用管理办法〉的通知》</w:t>
            </w:r>
          </w:p>
          <w:p w14:paraId="05DB43B4">
            <w:pPr>
              <w:overflowPunct w:val="0"/>
              <w:snapToGrid w:val="0"/>
              <w:jc w:val="left"/>
              <w:rPr>
                <w:rFonts w:ascii="宋体" w:hAnsi="宋体" w:eastAsia="宋体" w:cs="宋体"/>
                <w:b w:val="0"/>
                <w:color w:val="000000"/>
                <w:kern w:val="0"/>
                <w:sz w:val="18"/>
                <w:szCs w:val="18"/>
              </w:rPr>
            </w:pPr>
            <w:r>
              <w:rPr>
                <w:rFonts w:hint="eastAsia" w:ascii="宋体" w:hAnsi="宋体" w:eastAsia="宋体" w:cs="宋体"/>
                <w:color w:val="000000"/>
                <w:kern w:val="0"/>
                <w:sz w:val="18"/>
                <w:szCs w:val="18"/>
              </w:rPr>
              <w:t>●《关于做好经济困难失能老年人等群体集中照护服务工作的通知》</w:t>
            </w:r>
          </w:p>
        </w:tc>
        <w:tc>
          <w:tcPr>
            <w:tcW w:w="597" w:type="dxa"/>
            <w:shd w:val="clear" w:color="auto" w:fill="auto"/>
            <w:vAlign w:val="center"/>
          </w:tcPr>
          <w:p w14:paraId="41328F6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每20个工作日更新</w:t>
            </w:r>
          </w:p>
        </w:tc>
        <w:tc>
          <w:tcPr>
            <w:tcW w:w="803" w:type="dxa"/>
            <w:shd w:val="clear" w:color="auto" w:fill="auto"/>
            <w:vAlign w:val="center"/>
          </w:tcPr>
          <w:p w14:paraId="7C6AA32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42BA886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4CEA6BB0">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08486BE0">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3C4ED91B">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772CCF77">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211E8B0A">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5BF6C67F">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35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578" w:type="dxa"/>
            <w:shd w:val="clear" w:color="auto" w:fill="auto"/>
            <w:vAlign w:val="center"/>
          </w:tcPr>
          <w:p w14:paraId="768FD69E">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54" w:type="dxa"/>
            <w:shd w:val="clear" w:color="auto" w:fill="auto"/>
            <w:vAlign w:val="center"/>
          </w:tcPr>
          <w:p w14:paraId="4789AAFD">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952" w:type="dxa"/>
            <w:shd w:val="clear" w:color="auto" w:fill="auto"/>
            <w:vAlign w:val="center"/>
          </w:tcPr>
          <w:p w14:paraId="208B45B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老年人申领和发放信息</w:t>
            </w:r>
          </w:p>
        </w:tc>
        <w:tc>
          <w:tcPr>
            <w:tcW w:w="1331" w:type="dxa"/>
            <w:shd w:val="clear" w:color="auto" w:fill="auto"/>
            <w:vAlign w:val="center"/>
          </w:tcPr>
          <w:p w14:paraId="5E0C6DD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●本行政区域各项老年人补贴申领数量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●本行政区域各项老年人补贴申领审核通过数量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●本行政区域各项老年人补贴申领审核通过名单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●本行政区域各项老年人补贴发放总金额</w:t>
            </w:r>
          </w:p>
        </w:tc>
        <w:tc>
          <w:tcPr>
            <w:tcW w:w="3130" w:type="dxa"/>
            <w:shd w:val="clear" w:color="auto" w:fill="auto"/>
            <w:vAlign w:val="center"/>
          </w:tcPr>
          <w:p w14:paraId="431D5CB8">
            <w:pPr>
              <w:overflowPunct w:val="0"/>
              <w:snapToGrid w:val="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                               ●《财政部 民政部 全国老龄办关于建立健全经济困难的高龄 失能等老年人补贴制度的通知》                   ●《重庆市老年人权益保障条例》                        ●《重庆市民政局 重庆市残疾人联合会 重庆市老龄工作委员会办公室 重庆市财政局关于印发〈重庆市经济困难的高龄失能老年人养老服务补贴实施办法〉〈重庆市贫困残疾人生活补贴实施办法〉〈重庆市重度残疾人护理补贴实施办法〉的通知》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●《南岸区民政局关于组织申报经济困难的高龄失能老年人养老服务补贴的通知》 </w:t>
            </w:r>
          </w:p>
          <w:p w14:paraId="7A148597">
            <w:pPr>
              <w:overflowPunct w:val="0"/>
              <w:snapToGrid w:val="0"/>
              <w:jc w:val="left"/>
              <w:rPr>
                <w:rFonts w:ascii="宋体" w:hAnsi="宋体" w:eastAsia="宋体" w:cs="宋体"/>
                <w:b w:val="0"/>
                <w:color w:val="000000"/>
                <w:kern w:val="0"/>
                <w:sz w:val="18"/>
                <w:szCs w:val="18"/>
              </w:rPr>
            </w:pPr>
            <w:r>
              <w:rPr>
                <w:rFonts w:hint="eastAsia" w:ascii="宋体" w:hAnsi="宋体" w:eastAsia="宋体" w:cs="宋体"/>
                <w:color w:val="000000"/>
                <w:kern w:val="0"/>
                <w:sz w:val="18"/>
                <w:szCs w:val="18"/>
              </w:rPr>
              <w:t>●各地相关政策法规文件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●信息公开规定</w:t>
            </w:r>
          </w:p>
        </w:tc>
        <w:tc>
          <w:tcPr>
            <w:tcW w:w="597" w:type="dxa"/>
            <w:shd w:val="clear" w:color="auto" w:fill="auto"/>
            <w:vAlign w:val="center"/>
          </w:tcPr>
          <w:p w14:paraId="72CA200B">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每20个工作日更新</w:t>
            </w:r>
          </w:p>
        </w:tc>
        <w:tc>
          <w:tcPr>
            <w:tcW w:w="803" w:type="dxa"/>
            <w:shd w:val="clear" w:color="auto" w:fill="auto"/>
            <w:vAlign w:val="center"/>
          </w:tcPr>
          <w:p w14:paraId="0026B16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00573788">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028391DA">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6CE201D7">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61261FB1">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2C1C85D1">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6DD62EE9">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14:paraId="48AF2C7C">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12C8D62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8B2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8" w:type="dxa"/>
            <w:shd w:val="clear" w:color="auto" w:fill="auto"/>
            <w:vAlign w:val="center"/>
          </w:tcPr>
          <w:p w14:paraId="39C3E620">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854" w:type="dxa"/>
            <w:shd w:val="clear" w:color="auto" w:fill="auto"/>
            <w:vAlign w:val="center"/>
          </w:tcPr>
          <w:p w14:paraId="77F6B65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952" w:type="dxa"/>
            <w:shd w:val="clear" w:color="auto" w:fill="auto"/>
            <w:vAlign w:val="center"/>
          </w:tcPr>
          <w:p w14:paraId="016FE7F1">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机构评估信息</w:t>
            </w:r>
          </w:p>
        </w:tc>
        <w:tc>
          <w:tcPr>
            <w:tcW w:w="1331" w:type="dxa"/>
            <w:shd w:val="clear" w:color="auto" w:fill="auto"/>
            <w:vAlign w:val="center"/>
          </w:tcPr>
          <w:p w14:paraId="12EEFAFF">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●本行政区域养老机构评估事项（综合评估、标准评定等）申请数量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●本行政区域养老机构评估总体结果（综合评估、标准评估等）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●本行政区域养老机构评估机构清单（综合评估、标准评估等）</w:t>
            </w:r>
          </w:p>
        </w:tc>
        <w:tc>
          <w:tcPr>
            <w:tcW w:w="3130" w:type="dxa"/>
            <w:shd w:val="clear" w:color="auto" w:fill="auto"/>
            <w:vAlign w:val="center"/>
          </w:tcPr>
          <w:p w14:paraId="53E60A45">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●《养老机构管理办法》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●《养老机构等级划分与评定》（GB/T37276-2018)                      ●《养老机构服务质量基本规范》（GB/T35796-2017）                   ●《重庆市养老机构管理办法》             ●《养老机构等级划分与评定》（DB50/T 908-2019）</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●信息公开规定</w:t>
            </w:r>
          </w:p>
        </w:tc>
        <w:tc>
          <w:tcPr>
            <w:tcW w:w="597" w:type="dxa"/>
            <w:shd w:val="clear" w:color="auto" w:fill="auto"/>
            <w:vAlign w:val="center"/>
          </w:tcPr>
          <w:p w14:paraId="74819BBA">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制定或获取评估结果之日起10个工作日内</w:t>
            </w:r>
          </w:p>
        </w:tc>
        <w:tc>
          <w:tcPr>
            <w:tcW w:w="803" w:type="dxa"/>
            <w:shd w:val="clear" w:color="auto" w:fill="auto"/>
            <w:vAlign w:val="center"/>
          </w:tcPr>
          <w:p w14:paraId="2D7F42DA">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754052F2">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2208093B">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7B989278">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6F1A026D">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49489557">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6BE47154">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1D16A85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7A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578" w:type="dxa"/>
            <w:shd w:val="clear" w:color="auto" w:fill="auto"/>
            <w:vAlign w:val="center"/>
          </w:tcPr>
          <w:p w14:paraId="2396A8A6">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854" w:type="dxa"/>
            <w:shd w:val="clear" w:color="auto" w:fill="auto"/>
            <w:vAlign w:val="center"/>
          </w:tcPr>
          <w:p w14:paraId="79405224">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952" w:type="dxa"/>
            <w:shd w:val="clear" w:color="auto" w:fill="auto"/>
            <w:vAlign w:val="center"/>
          </w:tcPr>
          <w:p w14:paraId="44908663">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1331" w:type="dxa"/>
            <w:shd w:val="clear" w:color="auto" w:fill="auto"/>
            <w:vAlign w:val="center"/>
          </w:tcPr>
          <w:p w14:paraId="2365AACA">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●行政处罚事项及标准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●行政处罚结果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●行政复议、行政诉讼、监督方式及电话</w:t>
            </w:r>
          </w:p>
        </w:tc>
        <w:tc>
          <w:tcPr>
            <w:tcW w:w="3130" w:type="dxa"/>
            <w:shd w:val="clear" w:color="auto" w:fill="auto"/>
            <w:vAlign w:val="center"/>
          </w:tcPr>
          <w:p w14:paraId="3B0F114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●《中华人民共和国行政强制法》、《中华人民共和国行政处罚法》及其他有关法律、行政法规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●《养老机构管理办法》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●《重庆市老年人权益保障条例》《重庆市养老机构管理办法》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●信息公开规定</w:t>
            </w:r>
          </w:p>
        </w:tc>
        <w:tc>
          <w:tcPr>
            <w:tcW w:w="597" w:type="dxa"/>
            <w:shd w:val="clear" w:color="auto" w:fill="auto"/>
            <w:vAlign w:val="center"/>
          </w:tcPr>
          <w:p w14:paraId="1373B7CB">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行政处罚决定做出之日起5个工作日内</w:t>
            </w:r>
          </w:p>
        </w:tc>
        <w:tc>
          <w:tcPr>
            <w:tcW w:w="803" w:type="dxa"/>
            <w:shd w:val="clear" w:color="auto" w:fill="auto"/>
            <w:vAlign w:val="center"/>
          </w:tcPr>
          <w:p w14:paraId="2BE455B1">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64E627D5">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423AD319">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5DE986D0">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4C8F9663">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2ABDBC27">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46604E62">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14:paraId="3843AFF4">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74A3C54E">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BC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8" w:type="dxa"/>
            <w:shd w:val="clear" w:color="auto" w:fill="auto"/>
            <w:vAlign w:val="center"/>
          </w:tcPr>
          <w:p w14:paraId="7F3D1B0C">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854" w:type="dxa"/>
            <w:shd w:val="clear" w:color="auto" w:fill="auto"/>
            <w:vAlign w:val="center"/>
          </w:tcPr>
          <w:p w14:paraId="6D110D89">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952" w:type="dxa"/>
            <w:shd w:val="clear" w:color="auto" w:fill="auto"/>
            <w:vAlign w:val="center"/>
          </w:tcPr>
          <w:p w14:paraId="0DCCD797">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行政检查</w:t>
            </w:r>
          </w:p>
        </w:tc>
        <w:tc>
          <w:tcPr>
            <w:tcW w:w="1331" w:type="dxa"/>
            <w:shd w:val="clear" w:color="auto" w:fill="auto"/>
            <w:vAlign w:val="center"/>
          </w:tcPr>
          <w:p w14:paraId="609540D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检查事项及标准、检查结果</w:t>
            </w:r>
          </w:p>
        </w:tc>
        <w:tc>
          <w:tcPr>
            <w:tcW w:w="3130" w:type="dxa"/>
            <w:shd w:val="clear" w:color="auto" w:fill="auto"/>
            <w:vAlign w:val="center"/>
          </w:tcPr>
          <w:p w14:paraId="58FFD2C1">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                                ●《养老机构管理办法》               ●《重庆市老年人权益保障条例》                        ●《重庆市养老机构管理办法》                  ●《养老机构服务质量基本规范》（GB/T35796-2017）                                    ●信息公开规定</w:t>
            </w:r>
          </w:p>
        </w:tc>
        <w:tc>
          <w:tcPr>
            <w:tcW w:w="597" w:type="dxa"/>
            <w:shd w:val="clear" w:color="auto" w:fill="auto"/>
            <w:vAlign w:val="center"/>
          </w:tcPr>
          <w:p w14:paraId="7870EFD6">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检查结果做出之日起5个工作日内</w:t>
            </w:r>
          </w:p>
        </w:tc>
        <w:tc>
          <w:tcPr>
            <w:tcW w:w="803" w:type="dxa"/>
            <w:shd w:val="clear" w:color="auto" w:fill="auto"/>
            <w:vAlign w:val="center"/>
          </w:tcPr>
          <w:p w14:paraId="2B08CDB5">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167D0B50">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6A7D7163">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64267A7E">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6B0B68B7">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2991AD76">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0A342564">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3390B3DF">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0FA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8" w:type="dxa"/>
            <w:shd w:val="clear" w:color="auto" w:fill="auto"/>
            <w:vAlign w:val="center"/>
          </w:tcPr>
          <w:p w14:paraId="3BD0FC99">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854" w:type="dxa"/>
            <w:shd w:val="clear" w:color="auto" w:fill="auto"/>
            <w:vAlign w:val="center"/>
          </w:tcPr>
          <w:p w14:paraId="44F77F3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952" w:type="dxa"/>
            <w:shd w:val="clear" w:color="auto" w:fill="auto"/>
            <w:vAlign w:val="center"/>
          </w:tcPr>
          <w:p w14:paraId="41857BE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行政奖励</w:t>
            </w:r>
          </w:p>
        </w:tc>
        <w:tc>
          <w:tcPr>
            <w:tcW w:w="1331" w:type="dxa"/>
            <w:shd w:val="clear" w:color="auto" w:fill="auto"/>
            <w:vAlign w:val="center"/>
          </w:tcPr>
          <w:p w14:paraId="569AF9A8">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表彰事项、奖励事项</w:t>
            </w:r>
          </w:p>
        </w:tc>
        <w:tc>
          <w:tcPr>
            <w:tcW w:w="3130" w:type="dxa"/>
            <w:shd w:val="clear" w:color="auto" w:fill="auto"/>
            <w:vAlign w:val="center"/>
          </w:tcPr>
          <w:p w14:paraId="4AE9504A">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●《养老机构管理办法》                       ●《农村五保供养工作条例》                       ●《重庆市养老机构管理办法》                                    ●信息公开规定</w:t>
            </w:r>
          </w:p>
        </w:tc>
        <w:tc>
          <w:tcPr>
            <w:tcW w:w="597" w:type="dxa"/>
            <w:shd w:val="clear" w:color="auto" w:fill="auto"/>
            <w:vAlign w:val="center"/>
          </w:tcPr>
          <w:p w14:paraId="7A481A8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获得表彰或奖励结果之日起5个工作日内</w:t>
            </w:r>
          </w:p>
        </w:tc>
        <w:tc>
          <w:tcPr>
            <w:tcW w:w="803" w:type="dxa"/>
            <w:shd w:val="clear" w:color="auto" w:fill="auto"/>
            <w:vAlign w:val="center"/>
          </w:tcPr>
          <w:p w14:paraId="588D7A65">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w:t>
            </w:r>
          </w:p>
        </w:tc>
        <w:tc>
          <w:tcPr>
            <w:tcW w:w="1630" w:type="dxa"/>
            <w:shd w:val="clear" w:color="auto" w:fill="auto"/>
            <w:vAlign w:val="center"/>
          </w:tcPr>
          <w:p w14:paraId="28C8E967">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3C906A11">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78919517">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36B54E89">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5847FC00">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07F043B8">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7ADF615C">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EB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8" w:type="dxa"/>
            <w:shd w:val="clear" w:color="auto" w:fill="auto"/>
            <w:vAlign w:val="center"/>
          </w:tcPr>
          <w:p w14:paraId="3D3BCB6A">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854" w:type="dxa"/>
            <w:shd w:val="clear" w:color="auto" w:fill="auto"/>
            <w:vAlign w:val="center"/>
          </w:tcPr>
          <w:p w14:paraId="7747425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行业管理</w:t>
            </w:r>
          </w:p>
        </w:tc>
        <w:tc>
          <w:tcPr>
            <w:tcW w:w="952" w:type="dxa"/>
            <w:shd w:val="clear" w:color="auto" w:fill="auto"/>
            <w:vAlign w:val="center"/>
          </w:tcPr>
          <w:p w14:paraId="7F8A9439">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对养老服务收费项目及标准进行监督管理</w:t>
            </w:r>
          </w:p>
        </w:tc>
        <w:tc>
          <w:tcPr>
            <w:tcW w:w="1331" w:type="dxa"/>
            <w:shd w:val="clear" w:color="auto" w:fill="auto"/>
            <w:vAlign w:val="center"/>
          </w:tcPr>
          <w:p w14:paraId="1146163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监督项目及标准</w:t>
            </w:r>
          </w:p>
        </w:tc>
        <w:tc>
          <w:tcPr>
            <w:tcW w:w="3130" w:type="dxa"/>
            <w:shd w:val="clear" w:color="auto" w:fill="auto"/>
            <w:vAlign w:val="center"/>
          </w:tcPr>
          <w:p w14:paraId="65FBE40C">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●《中华人民共和国老年人权益保障法》                                ●《重庆市老年人权益保障条例》                        ●《重庆市养老机构管理办法》                              ●信息公开规定</w:t>
            </w:r>
          </w:p>
        </w:tc>
        <w:tc>
          <w:tcPr>
            <w:tcW w:w="597" w:type="dxa"/>
            <w:shd w:val="clear" w:color="auto" w:fill="auto"/>
            <w:vAlign w:val="center"/>
          </w:tcPr>
          <w:p w14:paraId="3DD5C87E">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检查结果做出之日起5个工作日内</w:t>
            </w:r>
          </w:p>
        </w:tc>
        <w:tc>
          <w:tcPr>
            <w:tcW w:w="803" w:type="dxa"/>
            <w:shd w:val="clear" w:color="auto" w:fill="auto"/>
            <w:vAlign w:val="center"/>
          </w:tcPr>
          <w:p w14:paraId="43693632">
            <w:pPr>
              <w:overflowPunct w:val="0"/>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区民政局、乡镇人民政府（街道办事处）</w:t>
            </w:r>
          </w:p>
        </w:tc>
        <w:tc>
          <w:tcPr>
            <w:tcW w:w="1630" w:type="dxa"/>
            <w:shd w:val="clear" w:color="auto" w:fill="auto"/>
            <w:vAlign w:val="center"/>
          </w:tcPr>
          <w:p w14:paraId="6AADB711">
            <w:pPr>
              <w:overflowPunct w:val="0"/>
              <w:snapToGrid w:val="0"/>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（电子屏）                                                                                                                                                                                          □精准推送    □其他     </w:t>
            </w:r>
          </w:p>
        </w:tc>
        <w:tc>
          <w:tcPr>
            <w:tcW w:w="573" w:type="dxa"/>
            <w:shd w:val="clear" w:color="auto" w:fill="auto"/>
            <w:vAlign w:val="center"/>
          </w:tcPr>
          <w:p w14:paraId="367883EC">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35" w:type="dxa"/>
            <w:shd w:val="clear" w:color="auto" w:fill="auto"/>
            <w:vAlign w:val="center"/>
          </w:tcPr>
          <w:p w14:paraId="2630848C">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16" w:type="dxa"/>
            <w:shd w:val="clear" w:color="auto" w:fill="auto"/>
            <w:vAlign w:val="center"/>
          </w:tcPr>
          <w:p w14:paraId="5E5A6B65">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97" w:type="dxa"/>
            <w:shd w:val="clear" w:color="auto" w:fill="auto"/>
            <w:vAlign w:val="center"/>
          </w:tcPr>
          <w:p w14:paraId="2779958C">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96" w:type="dxa"/>
            <w:shd w:val="clear" w:color="auto" w:fill="auto"/>
            <w:vAlign w:val="center"/>
          </w:tcPr>
          <w:p w14:paraId="70AEEB30">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46" w:type="dxa"/>
            <w:shd w:val="clear" w:color="auto" w:fill="auto"/>
            <w:vAlign w:val="center"/>
          </w:tcPr>
          <w:p w14:paraId="11EB2BF6">
            <w:pPr>
              <w:overflowPunct w:val="0"/>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14:paraId="465EC602"/>
    <w:sectPr>
      <w:footerReference r:id="rId4" w:type="first"/>
      <w:footerReference r:id="rId3" w:type="default"/>
      <w:pgSz w:w="16838" w:h="11906" w:orient="landscape"/>
      <w:pgMar w:top="1531" w:right="2098" w:bottom="1531" w:left="1417" w:header="851" w:footer="1474" w:gutter="0"/>
      <w:cols w:space="0" w:num="1"/>
      <w:titlePg/>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5BDA6135-E2E8-4774-8B19-998D7E2C6769}"/>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BF77">
    <w:pPr>
      <w:pStyle w:val="3"/>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F88E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E3165"/>
    <w:rsid w:val="1C406A56"/>
    <w:rsid w:val="5BB60DFF"/>
    <w:rsid w:val="5DBA1A63"/>
    <w:rsid w:val="68840579"/>
    <w:rsid w:val="7BB20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qFormat/>
    <w:uiPriority w:val="10"/>
    <w:pPr>
      <w:jc w:val="center"/>
      <w:outlineLvl w:val="0"/>
    </w:pPr>
    <w:rPr>
      <w:rFonts w:ascii="Arial" w:hAnsi="Arial" w:eastAsiaTheme="minorEastAsia" w:cstheme="minorBidi"/>
      <w:b/>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5266</Words>
  <Characters>5335</Characters>
  <Lines>0</Lines>
  <Paragraphs>0</Paragraphs>
  <TotalTime>20</TotalTime>
  <ScaleCrop>false</ScaleCrop>
  <LinksUpToDate>false</LinksUpToDate>
  <CharactersWithSpaces>25544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2020-11-11T03:06:00Z</dcterms:created>
  <dc:creator>Administrator</dc:creator>
  <cp:lastModifiedBy>白水</cp:lastModifiedBy>
  <cp:lastPrinted>2026-01-27T02:19:20Z</cp:lastPrinted>
  <dcterms:modified xsi:type="dcterms:W3CDTF">2026-01-27T02:24:01Z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8556C3C8E1064A528BD134B9E5416CCA_13</vt:lpwstr>
  </property>
  <property fmtid="{D5CDD505-2E9C-101B-9397-08002B2CF9AE}" pid="4" name="KSOTemplateDocerSaveRecord">
    <vt:lpwstr>eyJoZGlkIjoiMzQyMmYwN2MzMTYwODliYjhmNWVkMTQzMjkwNWEzMmUiLCJ1c2VySWQiOiIxMDY2MDAxMzM3In0=</vt:lpwstr>
  </property>
</Properties>
</file>