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1" w:rightFromText="181" w:horzAnchor="margin" w:tblpXSpec="center" w:tblpYSpec="top"/>
        <w:tblW w:w="9444" w:type="dxa"/>
        <w:tblInd w:w="0" w:type="dxa"/>
        <w:tblLayout w:type="fixed"/>
        <w:tblCellMar>
          <w:top w:w="0" w:type="dxa"/>
          <w:left w:w="108" w:type="dxa"/>
          <w:bottom w:w="0" w:type="dxa"/>
          <w:right w:w="108" w:type="dxa"/>
        </w:tblCellMar>
      </w:tblPr>
      <w:tblGrid>
        <w:gridCol w:w="9444"/>
      </w:tblGrid>
      <w:tr>
        <w:tblPrEx>
          <w:tblCellMar>
            <w:top w:w="0" w:type="dxa"/>
            <w:left w:w="108" w:type="dxa"/>
            <w:bottom w:w="0" w:type="dxa"/>
            <w:right w:w="108" w:type="dxa"/>
          </w:tblCellMar>
        </w:tblPrEx>
        <w:trPr>
          <w:trHeight w:val="794" w:hRule="atLeast"/>
        </w:trPr>
        <w:tc>
          <w:tcPr>
            <w:tcW w:w="9444" w:type="dxa"/>
            <w:tcBorders>
              <w:top w:val="nil"/>
              <w:left w:val="nil"/>
              <w:bottom w:val="nil"/>
              <w:right w:val="nil"/>
            </w:tcBorders>
            <w:noWrap w:val="0"/>
            <w:vAlign w:val="top"/>
          </w:tcPr>
          <w:p>
            <w:pPr>
              <w:widowControl w:val="0"/>
              <w:adjustRightInd/>
              <w:snapToGrid/>
              <w:spacing w:after="0" w:line="600" w:lineRule="exact"/>
              <w:ind w:firstLine="0" w:firstLineChars="0"/>
              <w:jc w:val="left"/>
              <w:rPr>
                <w:rFonts w:ascii="Times New Roman" w:hAnsi="Times New Roman" w:eastAsia="宋体" w:cs="Times New Roman"/>
                <w:kern w:val="2"/>
                <w:sz w:val="110"/>
                <w:szCs w:val="110"/>
              </w:rPr>
            </w:pPr>
          </w:p>
        </w:tc>
      </w:tr>
      <w:tr>
        <w:tblPrEx>
          <w:tblCellMar>
            <w:top w:w="0" w:type="dxa"/>
            <w:left w:w="108" w:type="dxa"/>
            <w:bottom w:w="0" w:type="dxa"/>
            <w:right w:w="108" w:type="dxa"/>
          </w:tblCellMar>
        </w:tblPrEx>
        <w:trPr>
          <w:trHeight w:val="794" w:hRule="atLeast"/>
        </w:trPr>
        <w:tc>
          <w:tcPr>
            <w:tcW w:w="9444" w:type="dxa"/>
            <w:tcBorders>
              <w:top w:val="nil"/>
              <w:left w:val="nil"/>
              <w:bottom w:val="nil"/>
              <w:right w:val="nil"/>
            </w:tcBorders>
            <w:noWrap w:val="0"/>
            <w:vAlign w:val="top"/>
          </w:tcPr>
          <w:p>
            <w:pPr>
              <w:widowControl w:val="0"/>
              <w:adjustRightInd/>
              <w:snapToGrid/>
              <w:spacing w:after="0" w:line="600" w:lineRule="exact"/>
              <w:ind w:firstLine="0" w:firstLineChars="0"/>
              <w:jc w:val="left"/>
              <w:rPr>
                <w:rFonts w:ascii="Times New Roman" w:hAnsi="Times New Roman" w:eastAsia="方正黑体_GBK" w:cs="Times New Roman"/>
                <w:kern w:val="2"/>
                <w:sz w:val="21"/>
                <w:szCs w:val="32"/>
              </w:rPr>
            </w:pPr>
          </w:p>
        </w:tc>
      </w:tr>
      <w:tr>
        <w:tblPrEx>
          <w:tblCellMar>
            <w:top w:w="0" w:type="dxa"/>
            <w:left w:w="108" w:type="dxa"/>
            <w:bottom w:w="0" w:type="dxa"/>
            <w:right w:w="108" w:type="dxa"/>
          </w:tblCellMar>
        </w:tblPrEx>
        <w:trPr>
          <w:trHeight w:val="647" w:hRule="atLeast"/>
        </w:trPr>
        <w:tc>
          <w:tcPr>
            <w:tcW w:w="9444" w:type="dxa"/>
            <w:tcBorders>
              <w:top w:val="nil"/>
              <w:left w:val="nil"/>
              <w:bottom w:val="nil"/>
              <w:right w:val="nil"/>
            </w:tcBorders>
            <w:noWrap w:val="0"/>
            <w:vAlign w:val="center"/>
          </w:tcPr>
          <w:p>
            <w:pPr>
              <w:widowControl w:val="0"/>
              <w:adjustRightInd/>
              <w:snapToGrid/>
              <w:spacing w:after="0" w:line="240" w:lineRule="auto"/>
              <w:ind w:firstLine="0" w:firstLineChars="0"/>
              <w:jc w:val="center"/>
              <w:rPr>
                <w:rFonts w:ascii="Times New Roman" w:hAnsi="Times New Roman" w:eastAsia="方正小标宋_GBK" w:cs="Times New Roman"/>
                <w:color w:val="FF0000"/>
                <w:w w:val="80"/>
                <w:kern w:val="2"/>
                <w:sz w:val="21"/>
                <w:szCs w:val="21"/>
              </w:rPr>
            </w:pPr>
          </w:p>
        </w:tc>
      </w:tr>
      <w:tr>
        <w:tblPrEx>
          <w:tblCellMar>
            <w:top w:w="0" w:type="dxa"/>
            <w:left w:w="108" w:type="dxa"/>
            <w:bottom w:w="0" w:type="dxa"/>
            <w:right w:w="108" w:type="dxa"/>
          </w:tblCellMar>
        </w:tblPrEx>
        <w:trPr>
          <w:trHeight w:val="1908" w:hRule="exact"/>
        </w:trPr>
        <w:tc>
          <w:tcPr>
            <w:tcW w:w="9444" w:type="dxa"/>
            <w:tcBorders>
              <w:top w:val="nil"/>
              <w:left w:val="nil"/>
              <w:bottom w:val="nil"/>
              <w:right w:val="nil"/>
            </w:tcBorders>
            <w:noWrap w:val="0"/>
            <w:vAlign w:val="center"/>
          </w:tcPr>
          <w:p>
            <w:pPr>
              <w:widowControl w:val="0"/>
              <w:adjustRightInd/>
              <w:snapToGrid/>
              <w:spacing w:after="0" w:line="240" w:lineRule="auto"/>
              <w:ind w:firstLine="0" w:firstLineChars="0"/>
              <w:jc w:val="distribute"/>
              <w:rPr>
                <w:rFonts w:ascii="方正小标宋_GBK" w:hAnsi="Times New Roman" w:eastAsia="方正小标宋_GBK" w:cs="Times New Roman"/>
                <w:color w:val="FF0000"/>
                <w:w w:val="55"/>
                <w:kern w:val="2"/>
                <w:sz w:val="130"/>
                <w:szCs w:val="130"/>
              </w:rPr>
            </w:pPr>
            <w:r>
              <w:rPr>
                <w:rFonts w:hint="eastAsia" w:ascii="方正小标宋_GBK" w:hAnsi="Times New Roman" w:eastAsia="方正小标宋_GBK" w:cs="Times New Roman"/>
                <w:b w:val="0"/>
                <w:bCs w:val="0"/>
                <w:color w:val="FF0000"/>
                <w:spacing w:val="1"/>
                <w:w w:val="36"/>
                <w:kern w:val="0"/>
                <w:sz w:val="144"/>
                <w:szCs w:val="144"/>
                <w:fitText w:val="9400" w:id="2079804108"/>
              </w:rPr>
              <w:t>重庆市南岸区大数据应用发展管理局文</w:t>
            </w:r>
            <w:r>
              <w:rPr>
                <w:rFonts w:hint="eastAsia" w:ascii="方正小标宋_GBK" w:hAnsi="Times New Roman" w:eastAsia="方正小标宋_GBK" w:cs="Times New Roman"/>
                <w:b w:val="0"/>
                <w:bCs w:val="0"/>
                <w:color w:val="FF0000"/>
                <w:spacing w:val="26"/>
                <w:w w:val="36"/>
                <w:kern w:val="0"/>
                <w:sz w:val="144"/>
                <w:szCs w:val="144"/>
                <w:fitText w:val="9400" w:id="2079804108"/>
              </w:rPr>
              <w:t>件</w:t>
            </w:r>
          </w:p>
        </w:tc>
      </w:tr>
      <w:tr>
        <w:tblPrEx>
          <w:tblCellMar>
            <w:top w:w="0" w:type="dxa"/>
            <w:left w:w="108" w:type="dxa"/>
            <w:bottom w:w="0" w:type="dxa"/>
            <w:right w:w="108" w:type="dxa"/>
          </w:tblCellMar>
        </w:tblPrEx>
        <w:trPr>
          <w:trHeight w:val="582" w:hRule="exact"/>
        </w:trPr>
        <w:tc>
          <w:tcPr>
            <w:tcW w:w="9444" w:type="dxa"/>
            <w:tcBorders>
              <w:top w:val="nil"/>
              <w:left w:val="nil"/>
              <w:bottom w:val="nil"/>
              <w:right w:val="nil"/>
            </w:tcBorders>
            <w:noWrap w:val="0"/>
            <w:vAlign w:val="center"/>
          </w:tcPr>
          <w:p>
            <w:pPr>
              <w:widowControl w:val="0"/>
              <w:adjustRightInd/>
              <w:snapToGrid/>
              <w:spacing w:after="0" w:line="240" w:lineRule="auto"/>
              <w:ind w:firstLine="0" w:firstLineChars="0"/>
              <w:jc w:val="center"/>
              <w:rPr>
                <w:rFonts w:ascii="Times New Roman" w:hAnsi="Times New Roman" w:eastAsia="方正小标宋_GBK" w:cs="Times New Roman"/>
                <w:b/>
                <w:color w:val="FF0000"/>
                <w:w w:val="55"/>
                <w:kern w:val="2"/>
                <w:sz w:val="110"/>
                <w:szCs w:val="110"/>
              </w:rPr>
            </w:pPr>
          </w:p>
        </w:tc>
      </w:tr>
      <w:tr>
        <w:tblPrEx>
          <w:tblCellMar>
            <w:top w:w="0" w:type="dxa"/>
            <w:left w:w="108" w:type="dxa"/>
            <w:bottom w:w="0" w:type="dxa"/>
            <w:right w:w="108" w:type="dxa"/>
          </w:tblCellMar>
        </w:tblPrEx>
        <w:trPr>
          <w:trHeight w:val="617" w:hRule="exact"/>
        </w:trPr>
        <w:tc>
          <w:tcPr>
            <w:tcW w:w="9444" w:type="dxa"/>
            <w:tcBorders>
              <w:top w:val="nil"/>
              <w:left w:val="nil"/>
              <w:bottom w:val="nil"/>
              <w:right w:val="nil"/>
            </w:tcBorders>
            <w:noWrap/>
            <w:vAlign w:val="bottom"/>
          </w:tcPr>
          <w:p>
            <w:pPr>
              <w:widowControl w:val="0"/>
              <w:adjustRightInd/>
              <w:snapToGrid/>
              <w:spacing w:after="0" w:line="540" w:lineRule="exact"/>
              <w:ind w:firstLine="0" w:firstLineChars="0"/>
              <w:jc w:val="both"/>
              <w:rPr>
                <w:rFonts w:ascii="Times New Roman" w:hAnsi="Times New Roman" w:eastAsia="宋体" w:cs="Times New Roman"/>
                <w:kern w:val="2"/>
                <w:sz w:val="52"/>
                <w:szCs w:val="52"/>
              </w:rPr>
            </w:pPr>
            <w:r>
              <w:rPr>
                <w:rFonts w:ascii="Times New Roman" w:hAnsi="Times New Roman" w:eastAsia="宋体" w:cs="Times New Roman"/>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184150</wp:posOffset>
                      </wp:positionV>
                      <wp:extent cx="5898515" cy="23495"/>
                      <wp:effectExtent l="0" t="9525" r="6985" b="24130"/>
                      <wp:wrapNone/>
                      <wp:docPr id="1" name="直接连接符 1"/>
                      <wp:cNvGraphicFramePr/>
                      <a:graphic xmlns:a="http://schemas.openxmlformats.org/drawingml/2006/main">
                        <a:graphicData uri="http://schemas.microsoft.com/office/word/2010/wordprocessingShape">
                          <wps:wsp>
                            <wps:cNvCnPr/>
                            <wps:spPr>
                              <a:xfrm>
                                <a:off x="0" y="0"/>
                                <a:ext cx="5898515" cy="2349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pt;margin-top:14.5pt;height:1.85pt;width:464.45pt;z-index:251659264;mso-width-relative:page;mso-height-relative:page;" filled="f" stroked="t" coordsize="21600,21600" o:gfxdata="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57tqz2QAAAAgBAAAPAAAA&#10;AAAAAAEAIAAAADgAAABkcnMvZG93bnJldi54bWxQSwECFAAUAAAACACHTuJAFw85dP4BAAD3AwAA&#10;DgAAAAAAAAABACAAAAA+AQAAZHJzL2Uyb0RvYy54bWxQSwUGAAAAAAYABgBZAQAArgUAAAAA&#10;">
                      <v:fill on="f" focussize="0,0"/>
                      <v:stroke weight="1.5pt" color="#FF0000" joinstyle="round"/>
                      <v:imagedata o:title=""/>
                      <o:lock v:ext="edit" aspectratio="f"/>
                    </v:line>
                  </w:pict>
                </mc:Fallback>
              </mc:AlternateContent>
            </w:r>
          </w:p>
        </w:tc>
      </w:tr>
    </w:tbl>
    <w:p>
      <w:pPr>
        <w:pStyle w:val="3"/>
        <w:keepNext w:val="0"/>
        <w:keepLines w:val="0"/>
        <w:pageBreakBefore w:val="0"/>
        <w:widowControl w:val="0"/>
        <w:kinsoku/>
        <w:wordWrap/>
        <w:overflowPunct/>
        <w:topLinePunct w:val="0"/>
        <w:autoSpaceDE/>
        <w:autoSpaceDN/>
        <w:bidi w:val="0"/>
        <w:spacing w:after="0" w:line="596" w:lineRule="exact"/>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重庆市南岸区大数据应用发展管理局</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ascii="Times New Roman" w:hAnsi="Times New Roman" w:eastAsia="方正小标宋_GBK" w:cs="Times New Roman"/>
          <w:sz w:val="44"/>
          <w:szCs w:val="44"/>
        </w:rPr>
      </w:pPr>
      <w:r>
        <w:rPr>
          <w:rFonts w:hint="default" w:ascii="Times New Roman" w:hAnsi="Times New Roman" w:eastAsia="方正小标宋_GBK" w:cs="Times New Roman"/>
          <w:b w:val="0"/>
          <w:bCs w:val="0"/>
          <w:sz w:val="44"/>
          <w:szCs w:val="44"/>
          <w:lang w:val="en-US" w:eastAsia="zh-CN"/>
        </w:rPr>
        <w:t>关于征集首批可开放合作高质量数据集的通知</w:t>
      </w:r>
    </w:p>
    <w:p>
      <w:pPr>
        <w:keepNext w:val="0"/>
        <w:keepLines w:val="0"/>
        <w:pageBreakBefore w:val="0"/>
        <w:widowControl w:val="0"/>
        <w:kinsoku/>
        <w:wordWrap/>
        <w:overflowPunct/>
        <w:topLinePunct w:val="0"/>
        <w:autoSpaceDE/>
        <w:autoSpaceDN/>
        <w:bidi w:val="0"/>
        <w:adjustRightInd/>
        <w:snapToGrid/>
        <w:spacing w:before="0" w:line="596" w:lineRule="exact"/>
        <w:ind w:left="0" w:leftChars="0" w:right="0" w:rightChars="0" w:firstLine="0" w:firstLineChars="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96" w:lineRule="exact"/>
        <w:ind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发展改革委、区教委、区科技局、区经济信息委、区人力社保局、区生态环境局、区住房城乡建委、区城市管理局、区交通运输委、区农业农村委、区商务委、区文化旅游委、区卫生健康委、区应急局、区国资委、区现代服务业发展办、区规划自然资源局、经开区改革发展科技局、经开区经贸合作局、经开区财务局、经开区生态环境建管局、经开区创新创业服务中心：</w:t>
      </w:r>
    </w:p>
    <w:p>
      <w:pPr>
        <w:keepNext w:val="0"/>
        <w:keepLines w:val="0"/>
        <w:pageBreakBefore w:val="0"/>
        <w:widowControl w:val="0"/>
        <w:kinsoku/>
        <w:wordWrap/>
        <w:overflowPunct/>
        <w:topLinePunct w:val="0"/>
        <w:autoSpaceDE/>
        <w:autoSpaceDN/>
        <w:bidi w:val="0"/>
        <w:adjustRightInd/>
        <w:snapToGrid/>
        <w:spacing w:before="0" w:line="596"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为贯彻落实国务院办公厅《关于加快场景培育和开放推动新</w:t>
      </w:r>
      <w:bookmarkStart w:id="0" w:name="_GoBack"/>
      <w:bookmarkEnd w:id="0"/>
      <w:r>
        <w:rPr>
          <w:rFonts w:hint="eastAsia" w:ascii="Times New Roman" w:hAnsi="Times New Roman" w:eastAsia="方正仿宋_GBK" w:cs="Times New Roman"/>
          <w:sz w:val="32"/>
          <w:szCs w:val="32"/>
          <w:lang w:val="en-US" w:eastAsia="zh-CN"/>
        </w:rPr>
        <w:t>场景大规模应用的实施意见》（国办发〔2025〕37号）精神，促进政府、市场、社会等多元主体协同，推动数据要素市场化配置改革，市大数据发展局现面向全市征集首批可开放合作高质量数据集。通过集中征集和发布，搭建数据集建设运营单位与市场主体、科研机构、行业协会等潜在合作方之间共建、共营、共享等多种形式的合作渠道，推动供需精准对接。</w:t>
      </w:r>
    </w:p>
    <w:p>
      <w:pPr>
        <w:keepNext w:val="0"/>
        <w:keepLines w:val="0"/>
        <w:pageBreakBefore w:val="0"/>
        <w:widowControl w:val="0"/>
        <w:kinsoku/>
        <w:wordWrap/>
        <w:overflowPunct/>
        <w:topLinePunct w:val="0"/>
        <w:autoSpaceDE/>
        <w:autoSpaceDN/>
        <w:bidi w:val="0"/>
        <w:adjustRightInd/>
        <w:snapToGrid/>
        <w:spacing w:before="0" w:line="596"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请各单位摸排本领域内有意愿参与开放合作的行业高质量数据集项目，汇总填写《首批行业高质量数据集开放合作清单》，于2026年3月4日18：00前，将填写情况（无论有无项目均需填写）通过渝快政反馈至区大数据发展局。</w:t>
      </w: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before="0" w:line="596" w:lineRule="exact"/>
        <w:ind w:firstLine="640" w:firstLineChars="200"/>
        <w:jc w:val="both"/>
        <w:textAlignment w:val="auto"/>
        <w:rPr>
          <w:rFonts w:hint="eastAsia" w:ascii="Times New Roman" w:hAnsi="Times New Roman" w:eastAsia="方正仿宋_GBK" w:cs="Times New Roman"/>
          <w:b w:val="0"/>
          <w:bCs w:val="0"/>
          <w:color w:val="000000"/>
          <w:sz w:val="31"/>
          <w:szCs w:val="31"/>
          <w:lang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首批行业</w:t>
      </w:r>
      <w:r>
        <w:rPr>
          <w:rFonts w:hint="default" w:ascii="Times New Roman" w:hAnsi="Times New Roman" w:eastAsia="方正仿宋_GBK" w:cs="Times New Roman"/>
          <w:sz w:val="32"/>
          <w:szCs w:val="32"/>
        </w:rPr>
        <w:t>高质量数据集开放</w:t>
      </w:r>
      <w:r>
        <w:rPr>
          <w:rFonts w:hint="eastAsia" w:ascii="Times New Roman" w:hAnsi="Times New Roman" w:eastAsia="方正仿宋_GBK" w:cs="Times New Roman"/>
          <w:sz w:val="32"/>
          <w:szCs w:val="32"/>
          <w:lang w:val="en-US" w:eastAsia="zh-CN"/>
        </w:rPr>
        <w:t>合作</w:t>
      </w:r>
      <w:r>
        <w:rPr>
          <w:rFonts w:hint="default" w:ascii="Times New Roman" w:hAnsi="Times New Roman" w:eastAsia="方正仿宋_GBK" w:cs="Times New Roman"/>
          <w:sz w:val="32"/>
          <w:szCs w:val="32"/>
        </w:rPr>
        <w:t>清单</w:t>
      </w:r>
    </w:p>
    <w:p>
      <w:pPr>
        <w:pStyle w:val="6"/>
        <w:keepNext w:val="0"/>
        <w:keepLines w:val="0"/>
        <w:pageBreakBefore w:val="0"/>
        <w:widowControl w:val="0"/>
        <w:kinsoku/>
        <w:wordWrap/>
        <w:overflowPunct/>
        <w:topLinePunct w:val="0"/>
        <w:autoSpaceDE/>
        <w:autoSpaceDN/>
        <w:bidi w:val="0"/>
        <w:adjustRightInd w:val="0"/>
        <w:snapToGrid w:val="0"/>
        <w:spacing w:line="596" w:lineRule="exact"/>
        <w:ind w:left="0" w:leftChars="0" w:firstLine="4340" w:firstLineChars="1400"/>
        <w:jc w:val="both"/>
        <w:textAlignment w:val="auto"/>
        <w:rPr>
          <w:rFonts w:hint="default" w:ascii="Times New Roman" w:hAnsi="Times New Roman" w:eastAsia="方正仿宋_GBK" w:cs="Times New Roman"/>
          <w:b w:val="0"/>
          <w:bCs w:val="0"/>
          <w:color w:val="000000"/>
          <w:sz w:val="31"/>
          <w:szCs w:val="31"/>
        </w:rPr>
      </w:pPr>
    </w:p>
    <w:p>
      <w:pPr>
        <w:pStyle w:val="6"/>
        <w:keepNext w:val="0"/>
        <w:keepLines w:val="0"/>
        <w:pageBreakBefore w:val="0"/>
        <w:widowControl w:val="0"/>
        <w:kinsoku/>
        <w:wordWrap/>
        <w:overflowPunct/>
        <w:topLinePunct w:val="0"/>
        <w:autoSpaceDE/>
        <w:autoSpaceDN/>
        <w:bidi w:val="0"/>
        <w:adjustRightInd w:val="0"/>
        <w:snapToGrid w:val="0"/>
        <w:spacing w:line="596" w:lineRule="exact"/>
        <w:ind w:firstLine="3200" w:firstLineChars="1000"/>
        <w:jc w:val="both"/>
        <w:textAlignment w:val="auto"/>
        <w:rPr>
          <w:rFonts w:hint="default" w:ascii="Times New Roman" w:hAnsi="Times New Roman" w:eastAsia="方正仿宋_GBK" w:cs="Times New Roman"/>
          <w:b w:val="0"/>
          <w:bCs w:val="0"/>
          <w:color w:val="000000"/>
          <w:sz w:val="32"/>
          <w:szCs w:val="32"/>
          <w:lang w:val="en-US"/>
        </w:rPr>
      </w:pPr>
      <w:r>
        <w:rPr>
          <w:rFonts w:hint="default" w:ascii="Times New Roman" w:hAnsi="Times New Roman" w:eastAsia="方正仿宋_GBK" w:cs="Times New Roman"/>
          <w:b w:val="0"/>
          <w:bCs w:val="0"/>
          <w:color w:val="000000"/>
          <w:sz w:val="32"/>
          <w:szCs w:val="32"/>
          <w:lang w:val="en-US" w:eastAsia="zh-CN"/>
        </w:rPr>
        <w:t>重庆市南岸区大数据应用发展管理局</w:t>
      </w:r>
    </w:p>
    <w:p>
      <w:pPr>
        <w:pStyle w:val="6"/>
        <w:keepNext w:val="0"/>
        <w:keepLines w:val="0"/>
        <w:pageBreakBefore w:val="0"/>
        <w:widowControl w:val="0"/>
        <w:kinsoku/>
        <w:wordWrap/>
        <w:overflowPunct/>
        <w:topLinePunct w:val="0"/>
        <w:autoSpaceDE/>
        <w:autoSpaceDN/>
        <w:bidi w:val="0"/>
        <w:adjustRightInd w:val="0"/>
        <w:snapToGrid w:val="0"/>
        <w:spacing w:line="596" w:lineRule="exact"/>
        <w:ind w:firstLine="4800" w:firstLineChars="15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202</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年</w:t>
      </w:r>
      <w:r>
        <w:rPr>
          <w:rFonts w:hint="eastAsia"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rPr>
        <w:t>月</w:t>
      </w:r>
      <w:r>
        <w:rPr>
          <w:rFonts w:hint="eastAsia" w:ascii="Times New Roman" w:hAnsi="Times New Roman" w:eastAsia="方正仿宋_GBK" w:cs="Times New Roman"/>
          <w:b w:val="0"/>
          <w:bCs w:val="0"/>
          <w:color w:val="000000"/>
          <w:sz w:val="32"/>
          <w:szCs w:val="32"/>
          <w:lang w:val="en-US" w:eastAsia="zh-CN"/>
        </w:rPr>
        <w:t>28</w:t>
      </w:r>
      <w:r>
        <w:rPr>
          <w:rFonts w:hint="default" w:ascii="Times New Roman" w:hAnsi="Times New Roman" w:eastAsia="方正仿宋_GBK" w:cs="Times New Roman"/>
          <w:b w:val="0"/>
          <w:bCs w:val="0"/>
          <w:color w:val="000000"/>
          <w:sz w:val="32"/>
          <w:szCs w:val="32"/>
        </w:rPr>
        <w:t>日</w:t>
      </w:r>
    </w:p>
    <w:p>
      <w:pPr>
        <w:pStyle w:val="6"/>
        <w:keepNext w:val="0"/>
        <w:keepLines w:val="0"/>
        <w:pageBreakBefore w:val="0"/>
        <w:widowControl w:val="0"/>
        <w:kinsoku/>
        <w:wordWrap/>
        <w:overflowPunct/>
        <w:topLinePunct w:val="0"/>
        <w:autoSpaceDE/>
        <w:autoSpaceDN/>
        <w:bidi w:val="0"/>
        <w:adjustRightInd w:val="0"/>
        <w:snapToGrid w:val="0"/>
        <w:spacing w:line="596" w:lineRule="exact"/>
        <w:ind w:left="0" w:leftChars="0" w:firstLine="0" w:firstLineChars="0"/>
        <w:jc w:val="both"/>
        <w:textAlignment w:val="auto"/>
        <w:rPr>
          <w:rFonts w:hint="default" w:ascii="Times New Roman" w:hAnsi="Times New Roman" w:eastAsia="方正仿宋_GBK" w:cs="Times New Roman"/>
          <w:b w:val="0"/>
          <w:bCs w:val="0"/>
          <w:color w:val="000000"/>
          <w:sz w:val="31"/>
          <w:szCs w:val="31"/>
        </w:rPr>
      </w:pPr>
    </w:p>
    <w:p>
      <w:pPr>
        <w:pStyle w:val="6"/>
        <w:keepNext w:val="0"/>
        <w:keepLines w:val="0"/>
        <w:pageBreakBefore w:val="0"/>
        <w:widowControl w:val="0"/>
        <w:kinsoku/>
        <w:wordWrap/>
        <w:overflowPunct/>
        <w:topLinePunct w:val="0"/>
        <w:autoSpaceDE/>
        <w:autoSpaceDN/>
        <w:bidi w:val="0"/>
        <w:adjustRightInd w:val="0"/>
        <w:snapToGrid w:val="0"/>
        <w:spacing w:line="596" w:lineRule="exact"/>
        <w:ind w:left="0" w:leftChars="0" w:firstLine="0" w:firstLineChars="0"/>
        <w:jc w:val="both"/>
        <w:textAlignment w:val="auto"/>
        <w:rPr>
          <w:rFonts w:hint="default" w:ascii="Times New Roman" w:hAnsi="Times New Roman" w:eastAsia="方正仿宋_GBK" w:cs="Times New Roman"/>
          <w:b w:val="0"/>
          <w:bCs w:val="0"/>
          <w:color w:val="000000"/>
          <w:sz w:val="31"/>
          <w:szCs w:val="31"/>
          <w:lang w:val="en-US" w:eastAsia="zh-CN"/>
        </w:rPr>
        <w:sectPr>
          <w:footerReference r:id="rId3" w:type="default"/>
          <w:pgSz w:w="11906" w:h="16838"/>
          <w:pgMar w:top="2098" w:right="1474" w:bottom="1984" w:left="1587" w:header="851" w:footer="1587" w:gutter="0"/>
          <w:pgNumType w:fmt="decimal"/>
          <w:cols w:space="0" w:num="1"/>
          <w:rtlGutter w:val="0"/>
          <w:docGrid w:type="lines" w:linePitch="319" w:charSpace="0"/>
        </w:sectPr>
      </w:pPr>
      <w:r>
        <w:rPr>
          <w:rFonts w:hint="default" w:ascii="Times New Roman" w:hAnsi="Times New Roman" w:eastAsia="方正仿宋_GBK" w:cs="Times New Roman"/>
          <w:b w:val="0"/>
          <w:bCs w:val="0"/>
          <w:color w:val="000000"/>
          <w:sz w:val="31"/>
          <w:szCs w:val="31"/>
        </w:rPr>
        <w:t>（</w:t>
      </w:r>
      <w:r>
        <w:rPr>
          <w:rFonts w:hint="default" w:ascii="Times New Roman" w:hAnsi="Times New Roman" w:eastAsia="方正仿宋_GBK" w:cs="Times New Roman"/>
          <w:b w:val="0"/>
          <w:bCs w:val="0"/>
          <w:color w:val="000000"/>
          <w:sz w:val="31"/>
          <w:szCs w:val="31"/>
          <w:lang w:val="en-US" w:eastAsia="zh-CN"/>
        </w:rPr>
        <w:t>联系人：王苏鹏；联系电话：13883577112，</w:t>
      </w:r>
      <w:r>
        <w:rPr>
          <w:rFonts w:hint="eastAsia" w:ascii="方正仿宋_GBK" w:hAnsi="方正仿宋_GBK" w:eastAsia="方正仿宋_GBK" w:cs="方正仿宋_GBK"/>
          <w:b w:val="0"/>
          <w:bCs w:val="0"/>
          <w:color w:val="000000"/>
          <w:sz w:val="32"/>
          <w:szCs w:val="32"/>
          <w:lang w:val="en-US" w:eastAsia="zh-CN"/>
        </w:rPr>
        <w:t>“</w:t>
      </w:r>
      <w:r>
        <w:rPr>
          <w:rFonts w:hint="default" w:ascii="Times New Roman" w:hAnsi="Times New Roman" w:eastAsia="方正仿宋_GBK" w:cs="Times New Roman"/>
          <w:sz w:val="32"/>
          <w:szCs w:val="32"/>
          <w:lang w:eastAsia="zh-CN"/>
        </w:rPr>
        <w:t>渝快政</w:t>
      </w:r>
      <w:r>
        <w:rPr>
          <w:rFonts w:hint="eastAsia" w:ascii="方正仿宋_GBK" w:hAnsi="方正仿宋_GBK" w:eastAsia="方正仿宋_GBK" w:cs="方正仿宋_GBK"/>
          <w:b w:val="0"/>
          <w:bCs w:val="0"/>
          <w:color w:val="000000"/>
          <w:sz w:val="32"/>
          <w:szCs w:val="32"/>
          <w:lang w:val="en-US" w:eastAsia="zh-CN"/>
        </w:rPr>
        <w:t>”</w:t>
      </w:r>
      <w:r>
        <w:rPr>
          <w:rFonts w:hint="default" w:ascii="Times New Roman" w:hAnsi="Times New Roman" w:eastAsia="方正仿宋_GBK" w:cs="Times New Roman"/>
          <w:sz w:val="32"/>
          <w:szCs w:val="32"/>
          <w:lang w:eastAsia="zh-CN"/>
        </w:rPr>
        <w:t>同号</w:t>
      </w:r>
      <w:r>
        <w:rPr>
          <w:rFonts w:hint="eastAsia" w:ascii="Times New Roman" w:hAnsi="Times New Roman" w:eastAsia="方正仿宋_GBK"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黑体_GBK" w:cs="Times New Roman"/>
          <w:b w:val="0"/>
          <w:bCs w:val="0"/>
          <w:color w:val="000000"/>
          <w:sz w:val="32"/>
          <w:szCs w:val="31"/>
          <w:lang w:val="en-US" w:eastAsia="zh-CN"/>
        </w:rPr>
      </w:pPr>
      <w:r>
        <w:rPr>
          <w:rFonts w:hint="default" w:ascii="Times New Roman" w:hAnsi="Times New Roman" w:eastAsia="方正黑体_GBK" w:cs="Times New Roman"/>
          <w:b w:val="0"/>
          <w:bCs w:val="0"/>
          <w:color w:val="000000"/>
          <w:sz w:val="32"/>
          <w:szCs w:val="31"/>
          <w:lang w:val="en-US" w:eastAsia="zh-CN"/>
        </w:rPr>
        <w:t>附件</w:t>
      </w:r>
    </w:p>
    <w:p>
      <w:pPr>
        <w:pStyle w:val="6"/>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黑体_GBK" w:cs="黑体"/>
          <w:b/>
          <w:bCs/>
          <w:i w:val="0"/>
          <w:iCs w:val="0"/>
          <w:color w:val="000000"/>
          <w:kern w:val="0"/>
          <w:sz w:val="32"/>
          <w:szCs w:val="32"/>
          <w:u w:val="none"/>
          <w:lang w:val="en-US" w:eastAsia="zh-CN" w:bidi="ar"/>
        </w:rPr>
      </w:pPr>
      <w:r>
        <w:rPr>
          <w:rFonts w:hint="eastAsia" w:ascii="Times New Roman" w:hAnsi="Times New Roman" w:eastAsia="方正黑体_GBK" w:cs="黑体"/>
          <w:b/>
          <w:bCs/>
          <w:i w:val="0"/>
          <w:iCs w:val="0"/>
          <w:color w:val="000000"/>
          <w:kern w:val="0"/>
          <w:sz w:val="32"/>
          <w:szCs w:val="32"/>
          <w:u w:val="none"/>
          <w:lang w:val="en-US" w:eastAsia="zh-CN" w:bidi="ar"/>
        </w:rPr>
        <w:t>首批行业高质量数据集开放清单</w:t>
      </w:r>
    </w:p>
    <w:p>
      <w:pPr>
        <w:pStyle w:val="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黑体" w:hAnsi="宋体" w:eastAsia="黑体" w:cs="黑体"/>
          <w:b/>
          <w:bCs/>
          <w:i w:val="0"/>
          <w:iCs w:val="0"/>
          <w:color w:val="000000"/>
          <w:kern w:val="0"/>
          <w:sz w:val="32"/>
          <w:szCs w:val="32"/>
          <w:u w:val="none"/>
          <w:lang w:val="en-US" w:eastAsia="zh-CN" w:bidi="ar"/>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272"/>
        <w:gridCol w:w="1642"/>
        <w:gridCol w:w="1991"/>
        <w:gridCol w:w="1559"/>
        <w:gridCol w:w="1641"/>
        <w:gridCol w:w="2102"/>
        <w:gridCol w:w="1160"/>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 xml:space="preserve">序号 </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所属区县/领域</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建设单位</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高质量数据集名称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所属行业</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数据集描述</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Style w:val="15"/>
                <w:rFonts w:ascii="Times New Roman" w:hAnsi="Times New Roman" w:eastAsia="方正仿宋_GBK"/>
                <w:b/>
                <w:bCs/>
                <w:sz w:val="24"/>
                <w:szCs w:val="24"/>
                <w:lang w:val="en-US" w:eastAsia="zh-CN" w:bidi="ar"/>
              </w:rPr>
              <w:t>开放</w:t>
            </w:r>
            <w:r>
              <w:rPr>
                <w:rStyle w:val="15"/>
                <w:rFonts w:hint="eastAsia" w:ascii="Times New Roman" w:hAnsi="Times New Roman" w:eastAsia="方正仿宋_GBK"/>
                <w:b/>
                <w:bCs/>
                <w:sz w:val="24"/>
                <w:szCs w:val="24"/>
                <w:lang w:val="en-US" w:eastAsia="zh-CN" w:bidi="ar"/>
              </w:rPr>
              <w:t>合作目标</w:t>
            </w:r>
            <w:r>
              <w:rPr>
                <w:rStyle w:val="15"/>
                <w:rFonts w:ascii="Times New Roman" w:hAnsi="Times New Roman" w:eastAsia="方正仿宋_GBK"/>
                <w:b/>
                <w:bCs/>
                <w:sz w:val="24"/>
                <w:szCs w:val="24"/>
                <w:lang w:val="en-US" w:eastAsia="zh-CN" w:bidi="ar"/>
              </w:rPr>
              <w:br w:type="textWrapping"/>
            </w:r>
            <w:r>
              <w:rPr>
                <w:rStyle w:val="16"/>
                <w:rFonts w:ascii="Times New Roman" w:hAnsi="Times New Roman" w:eastAsia="方正仿宋_GBK"/>
                <w:b/>
                <w:bCs/>
                <w:sz w:val="24"/>
                <w:szCs w:val="24"/>
                <w:lang w:val="en-US" w:eastAsia="zh-CN" w:bidi="ar"/>
              </w:rPr>
              <w:t>（如：寻找市场主体投资共建、促进数据供需精准对接等）</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建设单位联系人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宋体"/>
                <w:b/>
                <w:bCs/>
                <w:i w:val="0"/>
                <w:iCs w:val="0"/>
                <w:color w:val="000000"/>
                <w:sz w:val="24"/>
                <w:szCs w:val="24"/>
                <w:u w:val="none"/>
              </w:rPr>
            </w:pPr>
            <w:r>
              <w:rPr>
                <w:rFonts w:hint="eastAsia" w:ascii="Times New Roman" w:hAnsi="Times New Roman" w:eastAsia="方正仿宋_GBK" w:cs="宋体"/>
                <w:b/>
                <w:bCs/>
                <w:i w:val="0"/>
                <w:iCs w:val="0"/>
                <w:color w:val="00000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楷体" w:cs="Times New Roman"/>
                <w:i w:val="0"/>
                <w:iCs w:val="0"/>
                <w:color w:val="000000"/>
                <w:kern w:val="0"/>
                <w:sz w:val="18"/>
                <w:szCs w:val="18"/>
                <w:highlight w:val="none"/>
                <w:u w:val="none"/>
                <w:lang w:val="en-US" w:eastAsia="zh-CN" w:bidi="ar"/>
              </w:rPr>
            </w:pPr>
            <w:r>
              <w:rPr>
                <w:rFonts w:hint="default" w:ascii="Times New Roman" w:hAnsi="Times New Roman" w:eastAsia="楷体" w:cs="Times New Roman"/>
                <w:i w:val="0"/>
                <w:iCs w:val="0"/>
                <w:color w:val="000000"/>
                <w:kern w:val="0"/>
                <w:sz w:val="18"/>
                <w:szCs w:val="18"/>
                <w:highlight w:val="none"/>
                <w:u w:val="none"/>
                <w:lang w:val="en-US" w:eastAsia="zh-CN" w:bidi="ar"/>
              </w:rPr>
              <w:t>1.金融、教育、医疗、科技、国企行业主管部门填写所属领域，区县数据管理部门填写所属区县。</w:t>
            </w:r>
          </w:p>
          <w:p>
            <w:pPr>
              <w:keepNext w:val="0"/>
              <w:keepLines w:val="0"/>
              <w:widowControl/>
              <w:suppressLineNumbers w:val="0"/>
              <w:jc w:val="left"/>
              <w:textAlignment w:val="center"/>
              <w:rPr>
                <w:rFonts w:ascii="楷体" w:hAnsi="楷体" w:eastAsia="楷体" w:cs="楷体"/>
                <w:i w:val="0"/>
                <w:iCs w:val="0"/>
                <w:color w:val="000000"/>
                <w:sz w:val="18"/>
                <w:szCs w:val="18"/>
                <w:u w:val="none"/>
              </w:rPr>
            </w:pPr>
            <w:r>
              <w:rPr>
                <w:rFonts w:hint="default" w:ascii="Times New Roman" w:hAnsi="Times New Roman" w:eastAsia="楷体" w:cs="Times New Roman"/>
                <w:i w:val="0"/>
                <w:iCs w:val="0"/>
                <w:color w:val="000000"/>
                <w:kern w:val="0"/>
                <w:sz w:val="18"/>
                <w:szCs w:val="18"/>
                <w:u w:val="none"/>
                <w:lang w:val="en-US" w:eastAsia="zh-CN" w:bidi="ar"/>
              </w:rPr>
              <w:t>2.</w:t>
            </w:r>
            <w:r>
              <w:rPr>
                <w:rFonts w:hint="eastAsia" w:ascii="楷体" w:hAnsi="楷体" w:eastAsia="楷体" w:cs="楷体"/>
                <w:i w:val="0"/>
                <w:iCs w:val="0"/>
                <w:color w:val="000000"/>
                <w:kern w:val="0"/>
                <w:sz w:val="18"/>
                <w:szCs w:val="18"/>
                <w:u w:val="none"/>
                <w:lang w:val="en-US" w:eastAsia="zh-CN" w:bidi="ar"/>
              </w:rPr>
              <w:t>所属行业：医疗卫生领域、城市治理领域、工业制造领域、公共安全领域、智慧能源领域、交通运输领域、教育教学领域、金融服务领域、科学研究领域、绿色低碳领域、电子商务领域、应急管理领域、人力资源领域、气象服务领域、农业农村领域、文化旅游领域、住房建设领域、自然资源领域、低空经济领域、具身智能领域、智能驾驶领域、智慧海洋领域、生物制造领域</w:t>
            </w:r>
          </w:p>
        </w:tc>
      </w:tr>
    </w:tbl>
    <w:p>
      <w:pPr>
        <w:pStyle w:val="3"/>
        <w:keepNext w:val="0"/>
        <w:keepLines w:val="0"/>
        <w:pageBreakBefore w:val="0"/>
        <w:widowControl w:val="0"/>
        <w:kinsoku/>
        <w:wordWrap/>
        <w:overflowPunct/>
        <w:topLinePunct w:val="0"/>
        <w:autoSpaceDE/>
        <w:autoSpaceDN/>
        <w:bidi w:val="0"/>
        <w:spacing w:after="0" w:line="600" w:lineRule="exact"/>
        <w:textAlignment w:val="auto"/>
        <w:rPr>
          <w:rFonts w:hint="default" w:ascii="Times New Roman" w:hAnsi="Times New Roman" w:eastAsia="方正黑体_GBK" w:cs="Times New Roman"/>
          <w:b w:val="0"/>
          <w:bCs w:val="0"/>
          <w:color w:val="000000"/>
          <w:sz w:val="31"/>
          <w:szCs w:val="31"/>
          <w:lang w:val="en-US" w:eastAsia="zh-CN"/>
        </w:rPr>
      </w:pPr>
    </w:p>
    <w:sectPr>
      <w:pgSz w:w="16838" w:h="11906" w:orient="landscape"/>
      <w:pgMar w:top="1587" w:right="2098" w:bottom="1474" w:left="1984" w:header="851" w:footer="1587"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C0394"/>
    <w:multiLevelType w:val="multilevel"/>
    <w:tmpl w:val="092C0394"/>
    <w:lvl w:ilvl="0" w:tentative="0">
      <w:start w:val="1"/>
      <w:numFmt w:val="chineseCountingThousand"/>
      <w:suff w:val="space"/>
      <w:lvlText w:val="第%1章"/>
      <w:lvlJc w:val="center"/>
      <w:pPr>
        <w:ind w:left="0" w:firstLine="0"/>
      </w:pPr>
      <w:rPr>
        <w:rFonts w:hint="default" w:ascii="Times New Roman" w:hAnsi="Times New Roman" w:eastAsia="仿宋_GB2312"/>
        <w:b/>
        <w:i w:val="0"/>
        <w:sz w:val="36"/>
      </w:rPr>
    </w:lvl>
    <w:lvl w:ilvl="1" w:tentative="0">
      <w:start w:val="1"/>
      <w:numFmt w:val="decimal"/>
      <w:isLgl/>
      <w:suff w:val="space"/>
      <w:lvlText w:val="%2"/>
      <w:lvlJc w:val="left"/>
      <w:pPr>
        <w:ind w:left="0" w:firstLine="0"/>
      </w:pPr>
      <w:rPr>
        <w:rFonts w:hint="default" w:ascii="Times New Roman" w:hAnsi="Times New Roman" w:eastAsia="仿宋_GB2312" w:cs="Times New Roman"/>
        <w:b/>
        <w:bCs w:val="0"/>
        <w:i w:val="0"/>
        <w:iCs w:val="0"/>
        <w:caps w:val="0"/>
        <w:smallCaps w:val="0"/>
        <w:strike w:val="0"/>
        <w:dstrike w:val="0"/>
        <w:vanish w:val="0"/>
        <w:color w:val="auto"/>
        <w:spacing w:val="0"/>
        <w:w w:val="100"/>
        <w:kern w:val="2"/>
        <w:position w:val="0"/>
        <w:sz w:val="30"/>
        <w:u w:val="none"/>
        <w:shd w:val="clear" w:color="auto" w:fill="auto"/>
        <w:vertAlign w:val="baseline"/>
      </w:rPr>
    </w:lvl>
    <w:lvl w:ilvl="2" w:tentative="0">
      <w:start w:val="1"/>
      <w:numFmt w:val="decimal"/>
      <w:isLgl/>
      <w:suff w:val="space"/>
      <w:lvlText w:val="%2.%3"/>
      <w:lvlJc w:val="left"/>
      <w:pPr>
        <w:ind w:left="0" w:firstLine="0"/>
      </w:pPr>
      <w:rPr>
        <w:rFonts w:hint="default" w:ascii="Times New Roman" w:hAnsi="Times New Roman" w:eastAsia="仿宋_GB2312" w:cs="Times New Roman"/>
        <w:b/>
        <w:bCs w:val="0"/>
        <w:i w:val="0"/>
        <w:iCs w:val="0"/>
        <w:caps w:val="0"/>
        <w:smallCaps w:val="0"/>
        <w:strike w:val="0"/>
        <w:dstrike w:val="0"/>
        <w:vanish w:val="0"/>
        <w:color w:val="000000"/>
        <w:spacing w:val="0"/>
        <w:kern w:val="0"/>
        <w:position w:val="0"/>
        <w:sz w:val="28"/>
        <w:u w:val="none"/>
        <w:vertAlign w:val="baseline"/>
      </w:rPr>
    </w:lvl>
    <w:lvl w:ilvl="3" w:tentative="0">
      <w:start w:val="1"/>
      <w:numFmt w:val="decimal"/>
      <w:isLgl/>
      <w:suff w:val="space"/>
      <w:lvlText w:val="%2.%3.%4"/>
      <w:lvlJc w:val="left"/>
      <w:pPr>
        <w:ind w:left="567" w:firstLine="0"/>
      </w:pPr>
      <w:rPr>
        <w:rFonts w:hint="default" w:ascii="Times New Roman" w:hAnsi="Times New Roman" w:eastAsia="仿宋_GB2312"/>
        <w:b/>
        <w:i w:val="0"/>
        <w:sz w:val="28"/>
      </w:rPr>
    </w:lvl>
    <w:lvl w:ilvl="4" w:tentative="0">
      <w:start w:val="1"/>
      <w:numFmt w:val="decimal"/>
      <w:isLgl/>
      <w:suff w:val="space"/>
      <w:lvlText w:val="%2.%3.%4.%5"/>
      <w:lvlJc w:val="left"/>
      <w:pPr>
        <w:ind w:left="851" w:firstLine="0"/>
      </w:pPr>
      <w:rPr>
        <w:rFonts w:hint="default" w:ascii="Times New Roman" w:hAnsi="Times New Roman" w:eastAsia="仿宋_GB2312"/>
        <w:b/>
        <w:i w:val="0"/>
        <w:color w:val="auto"/>
        <w:sz w:val="24"/>
        <w:lang w:val="en-US"/>
      </w:rPr>
    </w:lvl>
    <w:lvl w:ilvl="5" w:tentative="0">
      <w:start w:val="1"/>
      <w:numFmt w:val="decimal"/>
      <w:lvlText w:val="%2.%3.%4.%5.%6"/>
      <w:lvlJc w:val="left"/>
      <w:pPr>
        <w:tabs>
          <w:tab w:val="left" w:pos="0"/>
        </w:tabs>
        <w:ind w:left="0" w:firstLine="0"/>
      </w:pPr>
      <w:rPr>
        <w:rFonts w:hint="default" w:ascii="Times New Roman" w:hAnsi="Times New Roman" w:eastAsia="仿宋_GB2312"/>
        <w:b/>
        <w:i w:val="0"/>
        <w:sz w:val="24"/>
      </w:rPr>
    </w:lvl>
    <w:lvl w:ilvl="6" w:tentative="0">
      <w:start w:val="1"/>
      <w:numFmt w:val="decimal"/>
      <w:lvlText w:val="%2.%3.%4.%5.%7"/>
      <w:lvlJc w:val="left"/>
      <w:pPr>
        <w:tabs>
          <w:tab w:val="left" w:pos="0"/>
        </w:tabs>
        <w:ind w:left="0" w:firstLine="0"/>
      </w:pPr>
      <w:rPr>
        <w:rFonts w:hint="default" w:ascii="Times New Roman" w:hAnsi="Times New Roman" w:eastAsia="仿宋_GB2312"/>
        <w:b/>
        <w:i w:val="0"/>
        <w:sz w:val="24"/>
      </w:rPr>
    </w:lvl>
    <w:lvl w:ilvl="7" w:tentative="0">
      <w:start w:val="1"/>
      <w:numFmt w:val="decimal"/>
      <w:lvlRestart w:val="2"/>
      <w:suff w:val="nothing"/>
      <w:lvlText w:val="表%2.%3-%8   "/>
      <w:lvlJc w:val="left"/>
      <w:pPr>
        <w:ind w:left="0" w:firstLine="0"/>
      </w:pPr>
      <w:rPr>
        <w:rFonts w:hint="default" w:ascii="Times New Roman" w:hAnsi="Times New Roman" w:eastAsia="仿宋_GB2312"/>
        <w:b w:val="0"/>
        <w:sz w:val="21"/>
      </w:rPr>
    </w:lvl>
    <w:lvl w:ilvl="8" w:tentative="0">
      <w:start w:val="1"/>
      <w:numFmt w:val="decimal"/>
      <w:lvlRestart w:val="2"/>
      <w:isLgl/>
      <w:suff w:val="nothing"/>
      <w:lvlText w:val="图%1.%2 -%9   "/>
      <w:lvlJc w:val="left"/>
      <w:pPr>
        <w:ind w:left="2723" w:hanging="170"/>
      </w:pPr>
      <w:rPr>
        <w:rFonts w:hint="default" w:ascii="Times New Roman" w:hAnsi="Times New Roman" w:eastAsia="华文仿宋"/>
        <w:sz w:val="21"/>
      </w:rPr>
    </w:lvl>
  </w:abstractNum>
  <w:num w:numId="1">
    <w:abstractNumId w:val="0"/>
    <w:lvlOverride w:ilvl="0">
      <w:lvl w:ilvl="0" w:tentative="1">
        <w:start w:val="1"/>
        <w:numFmt w:val="chineseCountingThousand"/>
        <w:pStyle w:val="2"/>
        <w:suff w:val="space"/>
        <w:lvlText w:val="第%1章"/>
        <w:lvlJc w:val="center"/>
        <w:pPr>
          <w:ind w:left="142" w:firstLine="0"/>
        </w:pPr>
        <w:rPr>
          <w:rFonts w:hint="default" w:ascii="黑体" w:hAnsi="黑体" w:eastAsia="黑体"/>
          <w:b/>
          <w:i w:val="0"/>
          <w:sz w:val="36"/>
        </w:rPr>
      </w:lvl>
    </w:lvlOverride>
    <w:lvlOverride w:ilvl="1">
      <w:lvl w:ilvl="1" w:tentative="1">
        <w:start w:val="1"/>
        <w:numFmt w:val="decimal"/>
        <w:isLgl/>
        <w:suff w:val="space"/>
        <w:lvlText w:val="%2"/>
        <w:lvlJc w:val="left"/>
        <w:pPr>
          <w:ind w:left="142" w:firstLine="0"/>
        </w:pPr>
        <w:rPr>
          <w:rFonts w:hint="default" w:ascii="Times New Roman" w:hAnsi="Times New Roman" w:eastAsia="仿宋_GB2312" w:cs="Times New Roman"/>
          <w:b/>
          <w:bCs w:val="0"/>
          <w:i w:val="0"/>
          <w:iCs w:val="0"/>
          <w:caps w:val="0"/>
          <w:smallCaps w:val="0"/>
          <w:strike w:val="0"/>
          <w:dstrike w:val="0"/>
          <w:vanish w:val="0"/>
          <w:color w:val="auto"/>
          <w:spacing w:val="0"/>
          <w:w w:val="100"/>
          <w:kern w:val="2"/>
          <w:position w:val="0"/>
          <w:sz w:val="30"/>
          <w:u w:val="none"/>
          <w:shd w:val="clear" w:color="auto" w:fill="auto"/>
          <w:vertAlign w:val="baseline"/>
        </w:rPr>
      </w:lvl>
    </w:lvlOverride>
    <w:lvlOverride w:ilvl="2">
      <w:lvl w:ilvl="2" w:tentative="1">
        <w:start w:val="1"/>
        <w:numFmt w:val="decimal"/>
        <w:isLgl/>
        <w:suff w:val="space"/>
        <w:lvlText w:val="%2.%3"/>
        <w:lvlJc w:val="left"/>
        <w:pPr>
          <w:ind w:left="142" w:firstLine="0"/>
        </w:pPr>
      </w:lvl>
    </w:lvlOverride>
    <w:lvlOverride w:ilvl="3">
      <w:lvl w:ilvl="3" w:tentative="1">
        <w:start w:val="1"/>
        <w:numFmt w:val="decimal"/>
        <w:isLgl/>
        <w:suff w:val="space"/>
        <w:lvlText w:val="%2.%3.%4"/>
        <w:lvlJc w:val="left"/>
        <w:pPr>
          <w:ind w:left="142" w:firstLine="0"/>
        </w:pPr>
        <w:rPr>
          <w:rFonts w:hint="default" w:ascii="Times New Roman" w:hAnsi="Times New Roman" w:eastAsia="仿宋_GB2312"/>
          <w:b/>
          <w:i w:val="0"/>
          <w:sz w:val="28"/>
        </w:rPr>
      </w:lvl>
    </w:lvlOverride>
    <w:lvlOverride w:ilvl="4">
      <w:lvl w:ilvl="4" w:tentative="1">
        <w:start w:val="1"/>
        <w:numFmt w:val="decimal"/>
        <w:isLgl/>
        <w:suff w:val="space"/>
        <w:lvlText w:val="%2.%3.%4.%5"/>
        <w:lvlJc w:val="left"/>
        <w:pPr>
          <w:ind w:left="993" w:firstLine="0"/>
        </w:pPr>
        <w:rPr>
          <w:rFonts w:hint="default" w:ascii="Times New Roman" w:hAnsi="Times New Roman" w:eastAsia="仿宋_GB2312"/>
          <w:b/>
          <w:i w:val="0"/>
          <w:color w:val="auto"/>
          <w:sz w:val="28"/>
          <w:lang w:val="en-US"/>
        </w:rPr>
      </w:lvl>
    </w:lvlOverride>
    <w:lvlOverride w:ilvl="5">
      <w:lvl w:ilvl="5" w:tentative="1">
        <w:start w:val="1"/>
        <w:numFmt w:val="decimal"/>
        <w:lvlText w:val="%2.%3.%4.%5.%6"/>
        <w:lvlJc w:val="left"/>
        <w:pPr>
          <w:tabs>
            <w:tab w:val="left" w:pos="142"/>
          </w:tabs>
          <w:ind w:left="142" w:firstLine="0"/>
        </w:pPr>
        <w:rPr>
          <w:rFonts w:hint="default" w:ascii="Times New Roman" w:hAnsi="Times New Roman" w:eastAsia="仿宋_GB2312"/>
          <w:b/>
          <w:i w:val="0"/>
          <w:sz w:val="24"/>
        </w:rPr>
      </w:lvl>
    </w:lvlOverride>
    <w:lvlOverride w:ilvl="6">
      <w:lvl w:ilvl="6" w:tentative="1">
        <w:start w:val="1"/>
        <w:numFmt w:val="decimal"/>
        <w:lvlText w:val="%2.%3.%4.%5.%7"/>
        <w:lvlJc w:val="left"/>
        <w:pPr>
          <w:tabs>
            <w:tab w:val="left" w:pos="142"/>
          </w:tabs>
          <w:ind w:left="142" w:firstLine="0"/>
        </w:pPr>
        <w:rPr>
          <w:rFonts w:hint="default" w:ascii="Times New Roman" w:hAnsi="Times New Roman" w:eastAsia="仿宋_GB2312"/>
          <w:b/>
          <w:i w:val="0"/>
          <w:sz w:val="24"/>
        </w:rPr>
      </w:lvl>
    </w:lvlOverride>
    <w:lvlOverride w:ilvl="7">
      <w:lvl w:ilvl="7" w:tentative="1">
        <w:start w:val="1"/>
        <w:numFmt w:val="decimal"/>
        <w:lvlRestart w:val="2"/>
        <w:suff w:val="nothing"/>
        <w:lvlText w:val="表%2.%3-%8   "/>
        <w:lvlJc w:val="left"/>
        <w:pPr>
          <w:ind w:left="142" w:firstLine="0"/>
        </w:pPr>
        <w:rPr>
          <w:rFonts w:hint="default" w:ascii="Times New Roman" w:hAnsi="Times New Roman" w:eastAsia="仿宋_GB2312"/>
          <w:b w:val="0"/>
          <w:sz w:val="21"/>
        </w:rPr>
      </w:lvl>
    </w:lvlOverride>
    <w:lvlOverride w:ilvl="8">
      <w:lvl w:ilvl="8" w:tentative="1">
        <w:start w:val="1"/>
        <w:numFmt w:val="decimal"/>
        <w:lvlRestart w:val="2"/>
        <w:isLgl/>
        <w:suff w:val="nothing"/>
        <w:lvlText w:val="图%1.%2 -%9   "/>
        <w:lvlJc w:val="left"/>
        <w:pPr>
          <w:ind w:left="2865" w:hanging="170"/>
        </w:pPr>
        <w:rPr>
          <w:rFonts w:hint="default" w:ascii="Times New Roman" w:hAnsi="Times New Roman" w:eastAsia="华文仿宋"/>
          <w:sz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YzBiN2QwNmZlZjJjZWQwYjA3NzhlMzk4OGU1ZmIifQ=="/>
  </w:docVars>
  <w:rsids>
    <w:rsidRoot w:val="00000000"/>
    <w:rsid w:val="00892056"/>
    <w:rsid w:val="00EB60B2"/>
    <w:rsid w:val="011D5254"/>
    <w:rsid w:val="018F4E38"/>
    <w:rsid w:val="01CE57B8"/>
    <w:rsid w:val="02201D8C"/>
    <w:rsid w:val="023F7745"/>
    <w:rsid w:val="026E0D49"/>
    <w:rsid w:val="02F23728"/>
    <w:rsid w:val="03125B78"/>
    <w:rsid w:val="03BD3D36"/>
    <w:rsid w:val="043678F6"/>
    <w:rsid w:val="04F448E7"/>
    <w:rsid w:val="057516F6"/>
    <w:rsid w:val="05D435B9"/>
    <w:rsid w:val="082C0402"/>
    <w:rsid w:val="09083475"/>
    <w:rsid w:val="091619CF"/>
    <w:rsid w:val="09591B65"/>
    <w:rsid w:val="0AAF1EFF"/>
    <w:rsid w:val="0ADB0F46"/>
    <w:rsid w:val="0BC96FF0"/>
    <w:rsid w:val="0CAA0BCF"/>
    <w:rsid w:val="0DB717F6"/>
    <w:rsid w:val="0DCD1019"/>
    <w:rsid w:val="0E1C78AB"/>
    <w:rsid w:val="0EAB651D"/>
    <w:rsid w:val="0EDF7256"/>
    <w:rsid w:val="0F1B7B63"/>
    <w:rsid w:val="0FD04DF1"/>
    <w:rsid w:val="100B00D7"/>
    <w:rsid w:val="12706417"/>
    <w:rsid w:val="12AA1929"/>
    <w:rsid w:val="131276A2"/>
    <w:rsid w:val="13E64BE3"/>
    <w:rsid w:val="144A4D85"/>
    <w:rsid w:val="14506500"/>
    <w:rsid w:val="14AD2287"/>
    <w:rsid w:val="16AF060B"/>
    <w:rsid w:val="171C61EA"/>
    <w:rsid w:val="175C51BC"/>
    <w:rsid w:val="17BD20FF"/>
    <w:rsid w:val="18C43019"/>
    <w:rsid w:val="18CB28E6"/>
    <w:rsid w:val="1A404921"/>
    <w:rsid w:val="1B2A7AAB"/>
    <w:rsid w:val="1B483C5A"/>
    <w:rsid w:val="1B544B28"/>
    <w:rsid w:val="1CA67605"/>
    <w:rsid w:val="1E71154D"/>
    <w:rsid w:val="205C7FDB"/>
    <w:rsid w:val="217A696B"/>
    <w:rsid w:val="218872DA"/>
    <w:rsid w:val="219915B7"/>
    <w:rsid w:val="23C40371"/>
    <w:rsid w:val="23DA5DE6"/>
    <w:rsid w:val="24E04D0A"/>
    <w:rsid w:val="24F931B2"/>
    <w:rsid w:val="252474DD"/>
    <w:rsid w:val="256F255E"/>
    <w:rsid w:val="27296D42"/>
    <w:rsid w:val="278E4F1E"/>
    <w:rsid w:val="28173165"/>
    <w:rsid w:val="28453425"/>
    <w:rsid w:val="2879797C"/>
    <w:rsid w:val="29C72969"/>
    <w:rsid w:val="2A300B8F"/>
    <w:rsid w:val="2A331DAD"/>
    <w:rsid w:val="2A3C6EB3"/>
    <w:rsid w:val="2B364D47"/>
    <w:rsid w:val="2B6A5CA2"/>
    <w:rsid w:val="2B9176D3"/>
    <w:rsid w:val="2C071743"/>
    <w:rsid w:val="2C57304A"/>
    <w:rsid w:val="2CAD5E46"/>
    <w:rsid w:val="2CEE645F"/>
    <w:rsid w:val="2D6230D5"/>
    <w:rsid w:val="2DE97CFD"/>
    <w:rsid w:val="2E135C43"/>
    <w:rsid w:val="2EA11FF5"/>
    <w:rsid w:val="2ED30208"/>
    <w:rsid w:val="2FCC5B6E"/>
    <w:rsid w:val="2FF40230"/>
    <w:rsid w:val="3031158D"/>
    <w:rsid w:val="305B02AF"/>
    <w:rsid w:val="31336389"/>
    <w:rsid w:val="31687EA4"/>
    <w:rsid w:val="31F15828"/>
    <w:rsid w:val="31F664E1"/>
    <w:rsid w:val="32870EE7"/>
    <w:rsid w:val="33744753"/>
    <w:rsid w:val="3381627F"/>
    <w:rsid w:val="3393059E"/>
    <w:rsid w:val="33B757FC"/>
    <w:rsid w:val="341744ED"/>
    <w:rsid w:val="341C1B03"/>
    <w:rsid w:val="35B01F9E"/>
    <w:rsid w:val="35CD7559"/>
    <w:rsid w:val="36615299"/>
    <w:rsid w:val="38D96215"/>
    <w:rsid w:val="38E86458"/>
    <w:rsid w:val="39311BAD"/>
    <w:rsid w:val="39FE6456"/>
    <w:rsid w:val="3A510207"/>
    <w:rsid w:val="3B017EDB"/>
    <w:rsid w:val="3BD769E1"/>
    <w:rsid w:val="3C1A0669"/>
    <w:rsid w:val="3D344362"/>
    <w:rsid w:val="3D385C00"/>
    <w:rsid w:val="42B555FD"/>
    <w:rsid w:val="438C2802"/>
    <w:rsid w:val="43987F5D"/>
    <w:rsid w:val="44656535"/>
    <w:rsid w:val="45987733"/>
    <w:rsid w:val="45F15181"/>
    <w:rsid w:val="46985FB2"/>
    <w:rsid w:val="46DF9DC8"/>
    <w:rsid w:val="47525B10"/>
    <w:rsid w:val="477C493B"/>
    <w:rsid w:val="4BB02E05"/>
    <w:rsid w:val="4BC81422"/>
    <w:rsid w:val="4C4C2491"/>
    <w:rsid w:val="4C7248ED"/>
    <w:rsid w:val="4CB86415"/>
    <w:rsid w:val="4D673645"/>
    <w:rsid w:val="4E0D0188"/>
    <w:rsid w:val="4E1C7D32"/>
    <w:rsid w:val="4EB0489A"/>
    <w:rsid w:val="4EB51B0B"/>
    <w:rsid w:val="4EC549CB"/>
    <w:rsid w:val="4EE06834"/>
    <w:rsid w:val="4F8151E4"/>
    <w:rsid w:val="4FE94508"/>
    <w:rsid w:val="502B33A2"/>
    <w:rsid w:val="510D4856"/>
    <w:rsid w:val="5132567B"/>
    <w:rsid w:val="51C71B20"/>
    <w:rsid w:val="52812ED5"/>
    <w:rsid w:val="529C22DE"/>
    <w:rsid w:val="529E60AD"/>
    <w:rsid w:val="52CD6993"/>
    <w:rsid w:val="5302663C"/>
    <w:rsid w:val="5322283B"/>
    <w:rsid w:val="53542C10"/>
    <w:rsid w:val="538708F0"/>
    <w:rsid w:val="55111AB0"/>
    <w:rsid w:val="55853555"/>
    <w:rsid w:val="55E94892"/>
    <w:rsid w:val="56330AB8"/>
    <w:rsid w:val="567C7EA5"/>
    <w:rsid w:val="57D42C9B"/>
    <w:rsid w:val="585020DB"/>
    <w:rsid w:val="59232E69"/>
    <w:rsid w:val="5A5E247C"/>
    <w:rsid w:val="5BFC211E"/>
    <w:rsid w:val="5D4B3136"/>
    <w:rsid w:val="5DE57914"/>
    <w:rsid w:val="5E8A0656"/>
    <w:rsid w:val="5EE27322"/>
    <w:rsid w:val="5F1861FE"/>
    <w:rsid w:val="5FAE4580"/>
    <w:rsid w:val="5FE132E1"/>
    <w:rsid w:val="601B2AEB"/>
    <w:rsid w:val="604F5508"/>
    <w:rsid w:val="60DD5C18"/>
    <w:rsid w:val="62E76F1C"/>
    <w:rsid w:val="642D103F"/>
    <w:rsid w:val="649E5A15"/>
    <w:rsid w:val="657809E0"/>
    <w:rsid w:val="65FF1168"/>
    <w:rsid w:val="663A3EE7"/>
    <w:rsid w:val="66726EF6"/>
    <w:rsid w:val="67056140"/>
    <w:rsid w:val="688E666F"/>
    <w:rsid w:val="691865AA"/>
    <w:rsid w:val="693764BC"/>
    <w:rsid w:val="6A876FCF"/>
    <w:rsid w:val="6BA9084E"/>
    <w:rsid w:val="6BB713BD"/>
    <w:rsid w:val="6D5A0448"/>
    <w:rsid w:val="6D673814"/>
    <w:rsid w:val="6D7FC7C4"/>
    <w:rsid w:val="6DBC5F7C"/>
    <w:rsid w:val="6E8E6B7E"/>
    <w:rsid w:val="707B7F90"/>
    <w:rsid w:val="70CB6830"/>
    <w:rsid w:val="724C2FD8"/>
    <w:rsid w:val="72527578"/>
    <w:rsid w:val="72794933"/>
    <w:rsid w:val="73121509"/>
    <w:rsid w:val="73557EE7"/>
    <w:rsid w:val="735B6918"/>
    <w:rsid w:val="73DC65DE"/>
    <w:rsid w:val="760B6D06"/>
    <w:rsid w:val="761C7166"/>
    <w:rsid w:val="77EB570E"/>
    <w:rsid w:val="77EFAD5A"/>
    <w:rsid w:val="78AE679B"/>
    <w:rsid w:val="79607369"/>
    <w:rsid w:val="79C1605A"/>
    <w:rsid w:val="7AB94F83"/>
    <w:rsid w:val="7AC435FC"/>
    <w:rsid w:val="7E494870"/>
    <w:rsid w:val="7E4D4360"/>
    <w:rsid w:val="7E7866C7"/>
    <w:rsid w:val="7E7D12CC"/>
    <w:rsid w:val="7E8A7362"/>
    <w:rsid w:val="7E9D3D86"/>
    <w:rsid w:val="7F7E05D9"/>
    <w:rsid w:val="7F9A0D45"/>
    <w:rsid w:val="A7BBACBD"/>
    <w:rsid w:val="AD1F877D"/>
    <w:rsid w:val="BBBFD4B4"/>
    <w:rsid w:val="BFFF5FCE"/>
    <w:rsid w:val="CE8D518F"/>
    <w:rsid w:val="DBF9D143"/>
    <w:rsid w:val="DD7B0966"/>
    <w:rsid w:val="DDFB23DC"/>
    <w:rsid w:val="EAFEE0CB"/>
    <w:rsid w:val="F0FDC11E"/>
    <w:rsid w:val="FAEFA2AE"/>
    <w:rsid w:val="FFAF15B6"/>
    <w:rsid w:val="FFF7DD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pageBreakBefore/>
      <w:numPr>
        <w:ilvl w:val="0"/>
        <w:numId w:val="1"/>
      </w:numPr>
      <w:ind w:firstLineChars="0"/>
      <w:jc w:val="center"/>
      <w:outlineLvl w:val="0"/>
    </w:pPr>
    <w:rPr>
      <w:rFonts w:ascii="黑体" w:hAnsi="黑体" w:eastAsia="黑体"/>
      <w:b/>
      <w:bCs/>
      <w:kern w:val="0"/>
      <w:sz w:val="36"/>
      <w:szCs w:val="36"/>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Body Text"/>
    <w:basedOn w:val="1"/>
    <w:qFormat/>
    <w:uiPriority w:val="0"/>
    <w:pPr>
      <w:spacing w:after="120" w:line="600" w:lineRule="exact"/>
    </w:pPr>
    <w:rPr>
      <w:rFonts w:eastAsia="方正仿宋_GBK" w:cs="宋体"/>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Title"/>
    <w:basedOn w:val="1"/>
    <w:next w:val="1"/>
    <w:qFormat/>
    <w:uiPriority w:val="10"/>
    <w:pPr>
      <w:snapToGrid w:val="0"/>
      <w:spacing w:afterAutospacing="1"/>
      <w:jc w:val="left"/>
      <w:outlineLvl w:val="0"/>
    </w:pPr>
    <w:rPr>
      <w:rFonts w:ascii="Cambria" w:hAnsi="Cambria" w:eastAsia="方正小标宋_GBK" w:cs="Times New Roman"/>
      <w:bCs/>
      <w:sz w:val="44"/>
      <w:szCs w:val="44"/>
    </w:rPr>
  </w:style>
  <w:style w:type="character" w:styleId="10">
    <w:name w:val="Strong"/>
    <w:basedOn w:val="9"/>
    <w:qFormat/>
    <w:uiPriority w:val="0"/>
    <w:rPr>
      <w:b/>
    </w:rPr>
  </w:style>
  <w:style w:type="paragraph" w:customStyle="1" w:styleId="11">
    <w:name w:val="正文（缩进）"/>
    <w:basedOn w:val="1"/>
    <w:next w:val="1"/>
    <w:qFormat/>
    <w:uiPriority w:val="0"/>
    <w:pPr>
      <w:spacing w:before="156" w:beforeLines="50" w:after="156" w:afterLines="50" w:line="360" w:lineRule="auto"/>
      <w:ind w:firstLine="480" w:firstLineChars="200"/>
    </w:pPr>
    <w:rPr>
      <w:kern w:val="0"/>
      <w:sz w:val="24"/>
      <w:szCs w:val="20"/>
    </w:rPr>
  </w:style>
  <w:style w:type="character" w:customStyle="1" w:styleId="12">
    <w:name w:val="font11"/>
    <w:basedOn w:val="9"/>
    <w:qFormat/>
    <w:uiPriority w:val="0"/>
    <w:rPr>
      <w:rFonts w:ascii="方正黑体_GBK" w:hAnsi="方正黑体_GBK" w:eastAsia="方正黑体_GBK" w:cs="方正黑体_GBK"/>
      <w:color w:val="000000"/>
      <w:sz w:val="24"/>
      <w:szCs w:val="24"/>
      <w:u w:val="none"/>
    </w:rPr>
  </w:style>
  <w:style w:type="character" w:customStyle="1" w:styleId="13">
    <w:name w:val="font01"/>
    <w:basedOn w:val="9"/>
    <w:qFormat/>
    <w:uiPriority w:val="0"/>
    <w:rPr>
      <w:rFonts w:ascii="方正仿宋_GBK" w:hAnsi="方正仿宋_GBK" w:eastAsia="方正仿宋_GBK" w:cs="方正仿宋_GBK"/>
      <w:color w:val="000000"/>
      <w:sz w:val="22"/>
      <w:szCs w:val="22"/>
      <w:u w:val="none"/>
    </w:rPr>
  </w:style>
  <w:style w:type="character" w:customStyle="1" w:styleId="14">
    <w:name w:val="font21"/>
    <w:basedOn w:val="9"/>
    <w:qFormat/>
    <w:uiPriority w:val="0"/>
    <w:rPr>
      <w:rFonts w:hint="default" w:ascii="Times New Roman" w:hAnsi="Times New Roman" w:cs="Times New Roman"/>
      <w:color w:val="000000"/>
      <w:sz w:val="22"/>
      <w:szCs w:val="22"/>
      <w:u w:val="none"/>
    </w:rPr>
  </w:style>
  <w:style w:type="character" w:customStyle="1" w:styleId="15">
    <w:name w:val="font31"/>
    <w:basedOn w:val="9"/>
    <w:qFormat/>
    <w:uiPriority w:val="0"/>
    <w:rPr>
      <w:rFonts w:hint="eastAsia" w:ascii="宋体" w:hAnsi="宋体" w:eastAsia="宋体" w:cs="宋体"/>
      <w:b/>
      <w:bCs/>
      <w:color w:val="000000"/>
      <w:sz w:val="22"/>
      <w:szCs w:val="22"/>
      <w:u w:val="none"/>
    </w:rPr>
  </w:style>
  <w:style w:type="character" w:customStyle="1" w:styleId="16">
    <w:name w:val="font51"/>
    <w:basedOn w:val="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803</Words>
  <Characters>828</Characters>
  <Paragraphs>13</Paragraphs>
  <TotalTime>1</TotalTime>
  <ScaleCrop>false</ScaleCrop>
  <LinksUpToDate>false</LinksUpToDate>
  <CharactersWithSpaces>829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hp</dc:creator>
  <cp:lastModifiedBy>dsj</cp:lastModifiedBy>
  <cp:lastPrinted>2026-02-28T23:44:00Z</cp:lastPrinted>
  <dcterms:modified xsi:type="dcterms:W3CDTF">2026-02-28T16:13:42Z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3CC91FEE7AB641EDA2A1AC11072AFE74_13</vt:lpwstr>
  </property>
  <property fmtid="{D5CDD505-2E9C-101B-9397-08002B2CF9AE}" pid="4" name="KSOTemplateDocerSaveRecord">
    <vt:lpwstr>eyJoZGlkIjoiZTNlMDE0YjYzYzZhZGQyM2UwYTY4NzYzNjljZTczYjciLCJ1c2VySWQiOiIzMDkyNTM2ODgifQ==</vt:lpwstr>
  </property>
</Properties>
</file>