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jc w:val="center"/>
        <w:textAlignment w:val="auto"/>
        <w:rPr>
          <w:rFonts w:hint="eastAsia" w:ascii="Times New Roman" w:hAnsi="Times New Roman" w:eastAsia="方正小标宋_GBK"/>
          <w:color w:val="auto"/>
          <w:sz w:val="44"/>
          <w:szCs w:val="44"/>
          <w:lang w:eastAsia="zh-CN"/>
        </w:rPr>
      </w:pPr>
      <w:bookmarkStart w:id="0" w:name="_GoBack"/>
      <w:r>
        <w:rPr>
          <w:rFonts w:hint="eastAsia" w:ascii="Times New Roman" w:hAnsi="Times New Roman" w:eastAsia="方正小标宋_GBK"/>
          <w:color w:val="auto"/>
          <w:sz w:val="44"/>
          <w:szCs w:val="44"/>
          <w:lang w:eastAsia="zh-CN"/>
        </w:rPr>
        <w:t>重庆市南岸区交通局</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jc w:val="center"/>
        <w:textAlignment w:val="auto"/>
        <w:outlineLvl w:val="0"/>
        <w:rPr>
          <w:rFonts w:ascii="Times New Roman" w:hAnsi="Times New Roman" w:eastAsia="方正小标宋_GBK"/>
          <w:color w:val="auto"/>
          <w:sz w:val="44"/>
          <w:szCs w:val="44"/>
        </w:rPr>
      </w:pPr>
      <w:r>
        <w:rPr>
          <w:rFonts w:hint="eastAsia" w:ascii="Times New Roman" w:hAnsi="Times New Roman" w:eastAsia="方正小标宋_GBK"/>
          <w:color w:val="auto"/>
          <w:sz w:val="44"/>
          <w:szCs w:val="44"/>
        </w:rPr>
        <w:t>2020年度部门决算情况说明</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jc w:val="both"/>
        <w:textAlignment w:val="auto"/>
        <w:rPr>
          <w:rStyle w:val="10"/>
          <w:rFonts w:ascii="Times New Roman" w:hAnsi="Times New Roman"/>
          <w:color w:val="auto"/>
        </w:rPr>
      </w:pPr>
    </w:p>
    <w:p>
      <w:pPr>
        <w:pStyle w:val="7"/>
        <w:keepNext w:val="0"/>
        <w:keepLines w:val="0"/>
        <w:pageBreakBefore w:val="0"/>
        <w:widowControl w:val="0"/>
        <w:numPr>
          <w:ilvl w:val="0"/>
          <w:numId w:val="1"/>
        </w:numPr>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hint="eastAsia" w:ascii="Times New Roman" w:hAnsi="Times New Roman" w:eastAsia="方正黑体_GBK"/>
          <w:b w:val="0"/>
          <w:color w:val="auto"/>
          <w:sz w:val="32"/>
          <w:szCs w:val="32"/>
        </w:rPr>
      </w:pPr>
      <w:r>
        <w:rPr>
          <w:rStyle w:val="10"/>
          <w:rFonts w:hint="eastAsia" w:ascii="Times New Roman" w:hAnsi="Times New Roman" w:eastAsia="方正黑体_GBK"/>
          <w:b w:val="0"/>
          <w:color w:val="auto"/>
          <w:sz w:val="32"/>
          <w:szCs w:val="32"/>
        </w:rPr>
        <w:t>部门基本情况</w:t>
      </w:r>
    </w:p>
    <w:p>
      <w:pPr>
        <w:pStyle w:val="7"/>
        <w:keepNext w:val="0"/>
        <w:keepLines w:val="0"/>
        <w:pageBreakBefore w:val="0"/>
        <w:widowControl w:val="0"/>
        <w:numPr>
          <w:ilvl w:val="0"/>
          <w:numId w:val="0"/>
        </w:numPr>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Fonts w:hint="default" w:ascii="Times New Roman" w:hAnsi="Times New Roman" w:eastAsia="方正仿宋_GBK" w:cs="方正仿宋_GBK"/>
          <w:b w:val="0"/>
          <w:bCs/>
          <w:color w:val="auto"/>
          <w:sz w:val="32"/>
          <w:szCs w:val="32"/>
          <w:shd w:val="clear" w:fill="FFFFFF"/>
          <w:lang w:val="en-US"/>
        </w:rPr>
      </w:pPr>
      <w:r>
        <w:rPr>
          <w:rFonts w:hint="eastAsia" w:ascii="Times New Roman" w:hAnsi="Times New Roman" w:eastAsia="方正楷体_GBK" w:cs="方正楷体_GBK"/>
          <w:b w:val="0"/>
          <w:bCs/>
          <w:color w:val="auto"/>
          <w:sz w:val="32"/>
          <w:szCs w:val="32"/>
          <w:shd w:val="clear" w:fill="FFFFFF"/>
          <w:lang w:eastAsia="zh-CN"/>
        </w:rPr>
        <w:t>（一）职能职责</w:t>
      </w:r>
    </w:p>
    <w:p>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lang w:val="en-US"/>
        </w:rPr>
      </w:pPr>
      <w:r>
        <w:rPr>
          <w:rFonts w:hint="default" w:ascii="Times New Roman" w:hAnsi="Times New Roman" w:eastAsia="方正仿宋_GBK" w:cs="宋体"/>
          <w:color w:val="auto"/>
          <w:sz w:val="32"/>
          <w:szCs w:val="32"/>
          <w:lang w:val="en-US"/>
        </w:rPr>
        <w:t>1</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贯彻执行交通运输法律、法规、规章和方针政策。</w:t>
      </w:r>
    </w:p>
    <w:p>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lang w:val="en-US"/>
        </w:rPr>
      </w:pPr>
      <w:r>
        <w:rPr>
          <w:rFonts w:hint="default" w:ascii="Times New Roman" w:hAnsi="Times New Roman" w:eastAsia="方正仿宋_GBK" w:cs="宋体"/>
          <w:color w:val="auto"/>
          <w:sz w:val="32"/>
          <w:szCs w:val="32"/>
          <w:lang w:val="en-US"/>
        </w:rPr>
        <w:t>2</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负责拟订交通运输发展规划、年度计划，并组织实施和监督检查；负责交通行业统计。</w:t>
      </w:r>
    </w:p>
    <w:p>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lang w:val="en-US"/>
        </w:rPr>
      </w:pPr>
      <w:r>
        <w:rPr>
          <w:rFonts w:hint="default" w:ascii="Times New Roman" w:hAnsi="Times New Roman" w:eastAsia="方正仿宋_GBK" w:cs="宋体"/>
          <w:color w:val="auto"/>
          <w:sz w:val="32"/>
          <w:szCs w:val="32"/>
          <w:lang w:val="en-US"/>
        </w:rPr>
        <w:t>3</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负责交通运输行业和运输市场的管理，承担交通运输市场监管责任；负责全区道路、水路、铁路、公共客运和轨道交通等综合运输市场监管和综合协调；负责监督、指导道路运输管理相关工作。</w:t>
      </w:r>
    </w:p>
    <w:p>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lang w:val="en-US"/>
        </w:rPr>
      </w:pPr>
      <w:r>
        <w:rPr>
          <w:rFonts w:hint="default" w:ascii="Times New Roman" w:hAnsi="Times New Roman" w:eastAsia="方正仿宋_GBK" w:cs="宋体"/>
          <w:color w:val="auto"/>
          <w:sz w:val="32"/>
          <w:szCs w:val="32"/>
          <w:lang w:val="en-US"/>
        </w:rPr>
        <w:t>4</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负责交通项目基本建设程序的管理；承担交通建设市场监管责任；协调推进在区铁路项目建设；指导交通基础设施的管理和保护。</w:t>
      </w:r>
    </w:p>
    <w:p>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lang w:val="en-US"/>
        </w:rPr>
      </w:pPr>
      <w:r>
        <w:rPr>
          <w:rFonts w:hint="default" w:ascii="Times New Roman" w:hAnsi="Times New Roman" w:eastAsia="方正仿宋_GBK" w:cs="宋体"/>
          <w:color w:val="auto"/>
          <w:sz w:val="32"/>
          <w:szCs w:val="32"/>
          <w:lang w:val="en-US"/>
        </w:rPr>
        <w:t>5</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负责提出交通基础设施固定资产投资规模和方向、财政性资金安排建议；负责所属单位国有资产的监督管理。</w:t>
      </w:r>
    </w:p>
    <w:p>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方正仿宋_GBK"/>
          <w:color w:val="auto"/>
          <w:sz w:val="32"/>
          <w:szCs w:val="32"/>
          <w:lang w:val="en-US"/>
        </w:rPr>
      </w:pPr>
      <w:r>
        <w:rPr>
          <w:rFonts w:hint="default" w:ascii="Times New Roman" w:hAnsi="Times New Roman" w:eastAsia="方正仿宋_GBK" w:cs="宋体"/>
          <w:color w:val="auto"/>
          <w:sz w:val="32"/>
          <w:szCs w:val="32"/>
          <w:lang w:val="en-US"/>
        </w:rPr>
        <w:t>6</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负责交通基础设施建设的质量、安全生产监督；负责公路养护、公路路产路权管理和保护；负责组织超限运输治理工作。</w:t>
      </w:r>
    </w:p>
    <w:p>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lang w:val="en-US"/>
        </w:rPr>
      </w:pPr>
      <w:r>
        <w:rPr>
          <w:rFonts w:hint="default" w:ascii="Times New Roman" w:hAnsi="Times New Roman" w:eastAsia="方正仿宋_GBK" w:cs="宋体"/>
          <w:color w:val="auto"/>
          <w:sz w:val="32"/>
          <w:szCs w:val="32"/>
          <w:lang w:val="en-US"/>
        </w:rPr>
        <w:t>7</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按权限负责辖区水运建设项目质量、安全等监督管理工作；负责辖区水路运输及水路运输辅助业的日常监督等行业管理；按权限实施水上交通行政审批事项和港口规费征收；指导、监督乡镇船舶交通安全管理。</w:t>
      </w:r>
    </w:p>
    <w:p>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lang w:val="en-US"/>
        </w:rPr>
      </w:pPr>
      <w:r>
        <w:rPr>
          <w:rFonts w:hint="default" w:ascii="Times New Roman" w:hAnsi="Times New Roman" w:eastAsia="方正仿宋_GBK" w:cs="宋体"/>
          <w:color w:val="auto"/>
          <w:sz w:val="32"/>
          <w:szCs w:val="32"/>
          <w:lang w:val="en-US"/>
        </w:rPr>
        <w:t>8</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负责指导委属单位安全监督工作；参与涉及交通运输行业安全生产事故处置；协调交通重大事故的应急管理和处置；监督交通运输行业和交通项目建设安全工作。</w:t>
      </w:r>
    </w:p>
    <w:p>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lang w:val="en-US"/>
        </w:rPr>
      </w:pPr>
      <w:r>
        <w:rPr>
          <w:rFonts w:hint="default" w:ascii="Times New Roman" w:hAnsi="Times New Roman" w:eastAsia="方正仿宋_GBK" w:cs="宋体"/>
          <w:color w:val="auto"/>
          <w:sz w:val="32"/>
          <w:szCs w:val="32"/>
          <w:lang w:val="en-US"/>
        </w:rPr>
        <w:t>9</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负责交通行业应急预案拟订及体系建设工作；按规定组织协调重点物资、紧急客货运输和高峰客运疏导工作；负责交通战备工作。</w:t>
      </w:r>
    </w:p>
    <w:p>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lang w:val="en-US"/>
        </w:rPr>
      </w:pPr>
      <w:r>
        <w:rPr>
          <w:rFonts w:hint="default" w:ascii="Times New Roman" w:hAnsi="Times New Roman" w:eastAsia="方正仿宋_GBK" w:cs="宋体"/>
          <w:color w:val="auto"/>
          <w:sz w:val="32"/>
          <w:szCs w:val="32"/>
          <w:lang w:val="en-US"/>
        </w:rPr>
        <w:t>10</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推动交通行业科技进步，负责新技术、新工艺和新材料在交通行业的推广和应用；指导公路、水路行业环境保护和节能减排工作；组织和管理交通运输行业信息化建设。</w:t>
      </w:r>
    </w:p>
    <w:p>
      <w:pPr>
        <w:pStyle w:val="16"/>
        <w:keepNext w:val="0"/>
        <w:keepLines w:val="0"/>
        <w:pageBreakBefore w:val="0"/>
        <w:widowControl w:val="0"/>
        <w:suppressLineNumbers w:val="0"/>
        <w:kinsoku/>
        <w:wordWrap/>
        <w:overflowPunct/>
        <w:topLinePunct w:val="0"/>
        <w:autoSpaceDE w:val="0"/>
        <w:autoSpaceDN/>
        <w:bidi w:val="0"/>
        <w:adjustRightInd/>
        <w:snapToGrid/>
        <w:spacing w:before="0" w:beforeAutospacing="0" w:afterAutospacing="0" w:line="594" w:lineRule="exact"/>
        <w:ind w:left="0" w:firstLine="640" w:firstLineChars="200"/>
        <w:jc w:val="both"/>
        <w:textAlignment w:val="auto"/>
        <w:rPr>
          <w:rFonts w:hint="default" w:ascii="Times New Roman" w:hAnsi="Times New Roman" w:eastAsia="方正仿宋_GBK" w:cs="方正仿宋_GBK"/>
          <w:color w:val="auto"/>
          <w:sz w:val="32"/>
          <w:szCs w:val="32"/>
          <w:lang w:val="en-US"/>
        </w:rPr>
      </w:pPr>
      <w:r>
        <w:rPr>
          <w:rFonts w:hint="default" w:ascii="Times New Roman" w:hAnsi="Times New Roman" w:eastAsia="方正仿宋_GBK" w:cs="宋体"/>
          <w:color w:val="auto"/>
          <w:sz w:val="32"/>
          <w:szCs w:val="32"/>
          <w:lang w:val="en-US"/>
        </w:rPr>
        <w:t>11</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承办区政府交办的其他事项。</w:t>
      </w:r>
    </w:p>
    <w:p>
      <w:pPr>
        <w:pStyle w:val="16"/>
        <w:keepNext w:val="0"/>
        <w:keepLines w:val="0"/>
        <w:pageBreakBefore w:val="0"/>
        <w:widowControl w:val="0"/>
        <w:suppressLineNumbers w:val="0"/>
        <w:shd w:val="clear" w:fill="FFFFFF"/>
        <w:kinsoku/>
        <w:wordWrap/>
        <w:overflowPunct/>
        <w:topLinePunct w:val="0"/>
        <w:autoSpaceDE w:val="0"/>
        <w:autoSpaceDN/>
        <w:bidi w:val="0"/>
        <w:adjustRightInd/>
        <w:snapToGrid/>
        <w:spacing w:before="0" w:beforeAutospacing="0" w:after="0" w:afterAutospacing="0" w:line="594" w:lineRule="exact"/>
        <w:ind w:left="0" w:right="0" w:firstLine="480" w:firstLineChars="150"/>
        <w:jc w:val="both"/>
        <w:textAlignment w:val="auto"/>
        <w:rPr>
          <w:rFonts w:hint="default" w:ascii="Times New Roman" w:hAnsi="Times New Roman" w:eastAsia="方正楷体_GBK" w:cs="宋体"/>
          <w:b w:val="0"/>
          <w:bCs/>
          <w:color w:val="auto"/>
          <w:sz w:val="32"/>
          <w:szCs w:val="32"/>
          <w:shd w:val="clear" w:fill="FFFFFF"/>
          <w:lang w:val="en-US"/>
        </w:rPr>
      </w:pPr>
      <w:r>
        <w:rPr>
          <w:rFonts w:hint="eastAsia" w:ascii="Times New Roman" w:hAnsi="Times New Roman" w:eastAsia="方正楷体_GBK" w:cs="方正楷体_GBK"/>
          <w:b w:val="0"/>
          <w:bCs/>
          <w:color w:val="auto"/>
          <w:sz w:val="32"/>
          <w:szCs w:val="32"/>
          <w:shd w:val="clear" w:fill="FFFFFF"/>
          <w:lang w:eastAsia="zh-CN"/>
        </w:rPr>
        <w:t>（二）机构设置</w:t>
      </w:r>
    </w:p>
    <w:p>
      <w:pPr>
        <w:pStyle w:val="16"/>
        <w:keepNext w:val="0"/>
        <w:keepLines w:val="0"/>
        <w:pageBreakBefore w:val="0"/>
        <w:widowControl w:val="0"/>
        <w:suppressLineNumbers w:val="0"/>
        <w:shd w:val="clear" w:fill="FFFFFF"/>
        <w:kinsoku/>
        <w:wordWrap/>
        <w:overflowPunct/>
        <w:topLinePunct w:val="0"/>
        <w:autoSpaceDE w:val="0"/>
        <w:autoSpaceDN/>
        <w:bidi w:val="0"/>
        <w:adjustRightInd/>
        <w:snapToGrid/>
        <w:spacing w:before="0" w:beforeAutospacing="0" w:after="0" w:afterAutospacing="0" w:line="594" w:lineRule="exact"/>
        <w:ind w:left="0" w:right="0" w:firstLine="480" w:firstLineChars="150"/>
        <w:jc w:val="both"/>
        <w:textAlignment w:val="auto"/>
        <w:rPr>
          <w:rFonts w:hint="default" w:ascii="Times New Roman" w:hAnsi="Times New Roman" w:eastAsia="方正仿宋_GBK" w:cs="方正仿宋_GBK"/>
          <w:b/>
          <w:color w:val="auto"/>
          <w:sz w:val="32"/>
          <w:szCs w:val="32"/>
          <w:shd w:val="clear" w:fill="FFFFFF"/>
          <w:lang w:val="en-US"/>
        </w:rPr>
      </w:pPr>
      <w:r>
        <w:rPr>
          <w:rFonts w:hint="eastAsia" w:ascii="Times New Roman" w:hAnsi="Times New Roman" w:eastAsia="方正仿宋_GBK" w:cs="方正仿宋_GBK"/>
          <w:color w:val="auto"/>
          <w:sz w:val="32"/>
          <w:szCs w:val="32"/>
          <w:shd w:val="clear" w:fill="FFFFFF"/>
          <w:lang w:eastAsia="zh-CN"/>
        </w:rPr>
        <w:t>局机关内设</w:t>
      </w:r>
      <w:r>
        <w:rPr>
          <w:rFonts w:hint="eastAsia" w:ascii="Times New Roman" w:hAnsi="Times New Roman" w:eastAsia="方正仿宋_GBK" w:cs="宋体"/>
          <w:color w:val="auto"/>
          <w:sz w:val="32"/>
          <w:szCs w:val="32"/>
          <w:shd w:val="clear" w:fill="FFFFFF"/>
          <w:lang w:val="en-US" w:eastAsia="zh-CN"/>
        </w:rPr>
        <w:t>5</w:t>
      </w:r>
      <w:r>
        <w:rPr>
          <w:rFonts w:hint="eastAsia" w:ascii="Times New Roman" w:hAnsi="Times New Roman" w:eastAsia="方正仿宋_GBK" w:cs="方正仿宋_GBK"/>
          <w:color w:val="auto"/>
          <w:sz w:val="32"/>
          <w:szCs w:val="32"/>
          <w:shd w:val="clear" w:fill="FFFFFF"/>
          <w:lang w:eastAsia="zh-CN"/>
        </w:rPr>
        <w:t>个科室：办公室、规划建设科、财务审计科、法制安全科、综合运输科。行政编制数为</w:t>
      </w:r>
      <w:r>
        <w:rPr>
          <w:rFonts w:hint="default" w:ascii="Times New Roman" w:hAnsi="Times New Roman" w:eastAsia="方正仿宋_GBK" w:cs="宋体"/>
          <w:color w:val="auto"/>
          <w:sz w:val="32"/>
          <w:szCs w:val="32"/>
          <w:shd w:val="clear" w:fill="FFFFFF"/>
          <w:lang w:val="en-US"/>
        </w:rPr>
        <w:t>14</w:t>
      </w:r>
      <w:r>
        <w:rPr>
          <w:rFonts w:hint="eastAsia" w:ascii="Times New Roman" w:hAnsi="Times New Roman" w:eastAsia="方正仿宋_GBK" w:cs="方正仿宋_GBK"/>
          <w:color w:val="auto"/>
          <w:sz w:val="32"/>
          <w:szCs w:val="32"/>
          <w:shd w:val="clear" w:fill="FFFFFF"/>
          <w:lang w:eastAsia="zh-CN"/>
        </w:rPr>
        <w:t>名，实有数</w:t>
      </w:r>
      <w:r>
        <w:rPr>
          <w:rFonts w:hint="default" w:ascii="Times New Roman" w:hAnsi="Times New Roman" w:eastAsia="方正仿宋_GBK" w:cs="宋体"/>
          <w:color w:val="auto"/>
          <w:sz w:val="32"/>
          <w:szCs w:val="32"/>
          <w:shd w:val="clear" w:fill="FFFFFF"/>
          <w:lang w:val="en-US"/>
        </w:rPr>
        <w:t>14</w:t>
      </w:r>
      <w:r>
        <w:rPr>
          <w:rFonts w:hint="eastAsia" w:ascii="Times New Roman" w:hAnsi="Times New Roman" w:eastAsia="方正仿宋_GBK" w:cs="方正仿宋_GBK"/>
          <w:color w:val="auto"/>
          <w:sz w:val="32"/>
          <w:szCs w:val="32"/>
          <w:shd w:val="clear" w:fill="FFFFFF"/>
          <w:lang w:eastAsia="zh-CN"/>
        </w:rPr>
        <w:t>名；工勤人员编制为</w:t>
      </w:r>
      <w:r>
        <w:rPr>
          <w:rFonts w:hint="default" w:ascii="Times New Roman" w:hAnsi="Times New Roman" w:eastAsia="方正仿宋_GBK" w:cs="宋体"/>
          <w:color w:val="auto"/>
          <w:sz w:val="32"/>
          <w:szCs w:val="32"/>
          <w:shd w:val="clear" w:fill="FFFFFF"/>
          <w:lang w:val="en-US"/>
        </w:rPr>
        <w:t>1</w:t>
      </w:r>
      <w:r>
        <w:rPr>
          <w:rFonts w:hint="eastAsia" w:ascii="Times New Roman" w:hAnsi="Times New Roman" w:eastAsia="方正仿宋_GBK" w:cs="方正仿宋_GBK"/>
          <w:color w:val="auto"/>
          <w:sz w:val="32"/>
          <w:szCs w:val="32"/>
          <w:shd w:val="clear" w:fill="FFFFFF"/>
          <w:lang w:eastAsia="zh-CN"/>
        </w:rPr>
        <w:t>名，实有数</w:t>
      </w:r>
      <w:r>
        <w:rPr>
          <w:rFonts w:hint="default" w:ascii="Times New Roman" w:hAnsi="Times New Roman" w:eastAsia="方正仿宋_GBK" w:cs="宋体"/>
          <w:color w:val="auto"/>
          <w:sz w:val="32"/>
          <w:szCs w:val="32"/>
          <w:shd w:val="clear" w:fill="FFFFFF"/>
          <w:lang w:val="en-US"/>
        </w:rPr>
        <w:t>1</w:t>
      </w:r>
      <w:r>
        <w:rPr>
          <w:rFonts w:hint="eastAsia" w:ascii="Times New Roman" w:hAnsi="Times New Roman" w:eastAsia="方正仿宋_GBK" w:cs="方正仿宋_GBK"/>
          <w:color w:val="auto"/>
          <w:sz w:val="32"/>
          <w:szCs w:val="32"/>
          <w:shd w:val="clear" w:fill="FFFFFF"/>
          <w:lang w:eastAsia="zh-CN"/>
        </w:rPr>
        <w:t>名；退休职工</w:t>
      </w:r>
      <w:r>
        <w:rPr>
          <w:rFonts w:hint="default" w:ascii="Times New Roman" w:hAnsi="Times New Roman" w:eastAsia="方正仿宋_GBK" w:cs="宋体"/>
          <w:color w:val="auto"/>
          <w:sz w:val="32"/>
          <w:szCs w:val="32"/>
          <w:shd w:val="clear" w:fill="FFFFFF"/>
          <w:lang w:val="en-US"/>
        </w:rPr>
        <w:t>1</w:t>
      </w:r>
      <w:r>
        <w:rPr>
          <w:rFonts w:hint="eastAsia" w:ascii="Times New Roman" w:hAnsi="Times New Roman" w:eastAsia="方正仿宋_GBK" w:cs="宋体"/>
          <w:color w:val="auto"/>
          <w:sz w:val="32"/>
          <w:szCs w:val="32"/>
          <w:shd w:val="clear" w:fill="FFFFFF"/>
          <w:lang w:val="en-US" w:eastAsia="zh-CN"/>
        </w:rPr>
        <w:t>9</w:t>
      </w:r>
      <w:r>
        <w:rPr>
          <w:rFonts w:hint="eastAsia" w:ascii="Times New Roman" w:hAnsi="Times New Roman" w:eastAsia="方正仿宋_GBK" w:cs="方正仿宋_GBK"/>
          <w:color w:val="auto"/>
          <w:sz w:val="32"/>
          <w:szCs w:val="32"/>
          <w:shd w:val="clear" w:fill="FFFFFF"/>
          <w:lang w:eastAsia="zh-CN"/>
        </w:rPr>
        <w:t>名；聘用治理超限超载工作人员</w:t>
      </w:r>
      <w:r>
        <w:rPr>
          <w:rFonts w:hint="eastAsia" w:ascii="Times New Roman" w:hAnsi="Times New Roman" w:eastAsia="方正仿宋_GBK" w:cs="宋体"/>
          <w:color w:val="auto"/>
          <w:sz w:val="32"/>
          <w:szCs w:val="32"/>
          <w:shd w:val="clear" w:fill="FFFFFF"/>
          <w:lang w:val="en-US" w:eastAsia="zh-CN"/>
        </w:rPr>
        <w:t>30</w:t>
      </w:r>
      <w:r>
        <w:rPr>
          <w:rFonts w:hint="eastAsia" w:ascii="Times New Roman" w:hAnsi="Times New Roman" w:eastAsia="方正仿宋_GBK" w:cs="方正仿宋_GBK"/>
          <w:color w:val="auto"/>
          <w:sz w:val="32"/>
          <w:szCs w:val="32"/>
          <w:shd w:val="clear" w:fill="FFFFFF"/>
          <w:lang w:eastAsia="zh-CN"/>
        </w:rPr>
        <w:t>名，铁路建设办公室工作人员</w:t>
      </w:r>
      <w:r>
        <w:rPr>
          <w:rFonts w:hint="default" w:ascii="Times New Roman" w:hAnsi="Times New Roman" w:eastAsia="方正仿宋_GBK" w:cs="宋体"/>
          <w:color w:val="auto"/>
          <w:sz w:val="32"/>
          <w:szCs w:val="32"/>
          <w:shd w:val="clear" w:fill="FFFFFF"/>
          <w:lang w:val="en-US"/>
        </w:rPr>
        <w:t>12</w:t>
      </w:r>
      <w:r>
        <w:rPr>
          <w:rFonts w:hint="eastAsia" w:ascii="Times New Roman" w:hAnsi="Times New Roman" w:eastAsia="方正仿宋_GBK" w:cs="方正仿宋_GBK"/>
          <w:color w:val="auto"/>
          <w:sz w:val="32"/>
          <w:szCs w:val="32"/>
          <w:shd w:val="clear" w:fill="FFFFFF"/>
          <w:lang w:eastAsia="zh-CN"/>
        </w:rPr>
        <w:t>名。</w:t>
      </w:r>
    </w:p>
    <w:p>
      <w:pPr>
        <w:keepNext w:val="0"/>
        <w:keepLines w:val="0"/>
        <w:pageBreakBefore w:val="0"/>
        <w:widowControl w:val="0"/>
        <w:numPr>
          <w:ilvl w:val="0"/>
          <w:numId w:val="0"/>
        </w:numPr>
        <w:suppressLineNumbers w:val="0"/>
        <w:tabs>
          <w:tab w:val="left" w:pos="0"/>
        </w:tabs>
        <w:kinsoku/>
        <w:wordWrap/>
        <w:overflowPunct/>
        <w:topLinePunct w:val="0"/>
        <w:autoSpaceDE w:val="0"/>
        <w:autoSpaceDN/>
        <w:bidi w:val="0"/>
        <w:adjustRightInd/>
        <w:snapToGrid/>
        <w:spacing w:beforeAutospacing="0" w:afterAutospacing="0" w:line="594" w:lineRule="exact"/>
        <w:ind w:firstLine="640" w:firstLineChars="200"/>
        <w:jc w:val="both"/>
        <w:textAlignment w:val="auto"/>
        <w:rPr>
          <w:rFonts w:hint="default" w:ascii="Times New Roman" w:hAnsi="Times New Roman" w:eastAsia="方正楷体_GBK" w:cs="宋体"/>
          <w:b w:val="0"/>
          <w:bCs/>
          <w:color w:val="auto"/>
          <w:sz w:val="32"/>
          <w:szCs w:val="32"/>
          <w:shd w:val="clear" w:fill="FFFFFF"/>
          <w:lang w:val="en-US"/>
        </w:rPr>
      </w:pPr>
      <w:r>
        <w:rPr>
          <w:rFonts w:hint="eastAsia" w:ascii="Times New Roman" w:hAnsi="Times New Roman" w:eastAsia="方正楷体_GBK" w:cs="方正楷体_GBK"/>
          <w:b w:val="0"/>
          <w:bCs/>
          <w:color w:val="auto"/>
          <w:sz w:val="32"/>
          <w:szCs w:val="32"/>
          <w:shd w:val="clear" w:fill="FFFFFF"/>
          <w:lang w:eastAsia="zh-CN"/>
        </w:rPr>
        <w:t>（三）单位构成</w:t>
      </w:r>
    </w:p>
    <w:p>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方正仿宋_GBK"/>
          <w:color w:val="auto"/>
          <w:sz w:val="32"/>
          <w:szCs w:val="32"/>
          <w:lang w:val="en-US"/>
        </w:rPr>
      </w:pPr>
      <w:r>
        <w:rPr>
          <w:rFonts w:hint="eastAsia" w:ascii="Times New Roman" w:hAnsi="Times New Roman" w:eastAsia="方正仿宋_GBK" w:cs="方正仿宋_GBK"/>
          <w:color w:val="auto"/>
          <w:sz w:val="32"/>
          <w:szCs w:val="32"/>
          <w:lang w:eastAsia="zh-CN"/>
        </w:rPr>
        <w:t>从预算单位构成看，纳入本部门</w:t>
      </w:r>
      <w:r>
        <w:rPr>
          <w:rFonts w:hint="default" w:ascii="Times New Roman" w:hAnsi="Times New Roman" w:eastAsia="方正仿宋_GBK" w:cs="方正仿宋_GBK"/>
          <w:color w:val="auto"/>
          <w:sz w:val="32"/>
          <w:szCs w:val="32"/>
          <w:lang w:val="en-US"/>
        </w:rPr>
        <w:t>20</w:t>
      </w:r>
      <w:r>
        <w:rPr>
          <w:rFonts w:hint="eastAsia" w:ascii="Times New Roman" w:hAnsi="Times New Roman" w:eastAsia="方正仿宋_GBK" w:cs="方正仿宋_GBK"/>
          <w:color w:val="auto"/>
          <w:sz w:val="32"/>
          <w:szCs w:val="32"/>
          <w:lang w:val="en-US" w:eastAsia="zh-CN"/>
        </w:rPr>
        <w:t>20</w:t>
      </w:r>
      <w:r>
        <w:rPr>
          <w:rFonts w:hint="eastAsia" w:ascii="Times New Roman" w:hAnsi="Times New Roman" w:eastAsia="方正仿宋_GBK" w:cs="方正仿宋_GBK"/>
          <w:color w:val="auto"/>
          <w:sz w:val="32"/>
          <w:szCs w:val="32"/>
          <w:lang w:eastAsia="zh-CN"/>
        </w:rPr>
        <w:t>年度决算编制的二级预算单位主要包括南岸区道路运输事务中心（人员编制</w:t>
      </w:r>
      <w:r>
        <w:rPr>
          <w:rFonts w:hint="default" w:ascii="Times New Roman" w:hAnsi="Times New Roman" w:eastAsia="方正仿宋_GBK" w:cs="宋体"/>
          <w:color w:val="auto"/>
          <w:sz w:val="32"/>
          <w:szCs w:val="32"/>
          <w:lang w:val="en-US"/>
        </w:rPr>
        <w:t>27</w:t>
      </w:r>
      <w:r>
        <w:rPr>
          <w:rFonts w:hint="eastAsia" w:ascii="Times New Roman" w:hAnsi="Times New Roman" w:eastAsia="方正仿宋_GBK" w:cs="方正仿宋_GBK"/>
          <w:color w:val="auto"/>
          <w:sz w:val="32"/>
          <w:szCs w:val="32"/>
          <w:lang w:eastAsia="zh-CN"/>
        </w:rPr>
        <w:t>名，实有数</w:t>
      </w:r>
      <w:r>
        <w:rPr>
          <w:rFonts w:hint="default" w:ascii="Times New Roman" w:hAnsi="Times New Roman" w:eastAsia="方正仿宋_GBK" w:cs="宋体"/>
          <w:color w:val="auto"/>
          <w:sz w:val="32"/>
          <w:szCs w:val="32"/>
          <w:lang w:val="en-US"/>
        </w:rPr>
        <w:t>27</w:t>
      </w:r>
      <w:r>
        <w:rPr>
          <w:rFonts w:hint="eastAsia" w:ascii="Times New Roman" w:hAnsi="Times New Roman" w:eastAsia="方正仿宋_GBK" w:cs="方正仿宋_GBK"/>
          <w:color w:val="auto"/>
          <w:sz w:val="32"/>
          <w:szCs w:val="32"/>
          <w:lang w:eastAsia="zh-CN"/>
        </w:rPr>
        <w:t>名；退休职工</w:t>
      </w:r>
      <w:r>
        <w:rPr>
          <w:rFonts w:hint="default" w:ascii="Times New Roman" w:hAnsi="Times New Roman" w:eastAsia="方正仿宋_GBK" w:cs="宋体"/>
          <w:color w:val="auto"/>
          <w:sz w:val="32"/>
          <w:szCs w:val="32"/>
          <w:lang w:val="en-US"/>
        </w:rPr>
        <w:t>17</w:t>
      </w:r>
      <w:r>
        <w:rPr>
          <w:rFonts w:hint="eastAsia" w:ascii="Times New Roman" w:hAnsi="Times New Roman" w:eastAsia="方正仿宋_GBK" w:cs="方正仿宋_GBK"/>
          <w:color w:val="auto"/>
          <w:sz w:val="32"/>
          <w:szCs w:val="32"/>
          <w:lang w:eastAsia="zh-CN"/>
        </w:rPr>
        <w:t>名）和南岸区交通事务中心（人员编制</w:t>
      </w:r>
      <w:r>
        <w:rPr>
          <w:rFonts w:hint="eastAsia" w:ascii="Times New Roman" w:hAnsi="Times New Roman" w:eastAsia="方正仿宋_GBK" w:cs="宋体"/>
          <w:color w:val="auto"/>
          <w:sz w:val="32"/>
          <w:szCs w:val="32"/>
          <w:lang w:val="en-US" w:eastAsia="zh-CN"/>
        </w:rPr>
        <w:t>2</w:t>
      </w:r>
      <w:r>
        <w:rPr>
          <w:rFonts w:hint="default" w:ascii="Times New Roman" w:hAnsi="Times New Roman" w:eastAsia="方正仿宋_GBK" w:cs="宋体"/>
          <w:color w:val="auto"/>
          <w:sz w:val="32"/>
          <w:szCs w:val="32"/>
          <w:lang w:val="en-US"/>
        </w:rPr>
        <w:t>3</w:t>
      </w:r>
      <w:r>
        <w:rPr>
          <w:rFonts w:hint="eastAsia" w:ascii="Times New Roman" w:hAnsi="Times New Roman" w:eastAsia="方正仿宋_GBK" w:cs="方正仿宋_GBK"/>
          <w:color w:val="auto"/>
          <w:sz w:val="32"/>
          <w:szCs w:val="32"/>
          <w:lang w:eastAsia="zh-CN"/>
        </w:rPr>
        <w:t>名，实有数</w:t>
      </w:r>
      <w:r>
        <w:rPr>
          <w:rFonts w:hint="default" w:ascii="Times New Roman" w:hAnsi="Times New Roman" w:eastAsia="方正仿宋_GBK" w:cs="Times New Roman"/>
          <w:color w:val="auto"/>
          <w:sz w:val="32"/>
          <w:szCs w:val="32"/>
          <w:lang w:val="en-US"/>
        </w:rPr>
        <w:t>1</w:t>
      </w:r>
      <w:r>
        <w:rPr>
          <w:rFonts w:hint="eastAsia" w:ascii="Times New Roman" w:hAnsi="Times New Roman" w:eastAsia="方正仿宋_GBK" w:cs="Times New Roman"/>
          <w:color w:val="auto"/>
          <w:sz w:val="32"/>
          <w:szCs w:val="32"/>
          <w:lang w:val="en-US" w:eastAsia="zh-CN"/>
        </w:rPr>
        <w:t>7</w:t>
      </w:r>
      <w:r>
        <w:rPr>
          <w:rFonts w:hint="eastAsia" w:ascii="Times New Roman" w:hAnsi="Times New Roman" w:eastAsia="方正仿宋_GBK" w:cs="方正仿宋_GBK"/>
          <w:color w:val="auto"/>
          <w:sz w:val="32"/>
          <w:szCs w:val="32"/>
          <w:lang w:eastAsia="zh-CN"/>
        </w:rPr>
        <w:t>名；退休职工</w:t>
      </w:r>
      <w:r>
        <w:rPr>
          <w:rFonts w:hint="default" w:ascii="Times New Roman" w:hAnsi="Times New Roman" w:eastAsia="方正仿宋_GBK" w:cs="宋体"/>
          <w:color w:val="auto"/>
          <w:sz w:val="32"/>
          <w:szCs w:val="32"/>
          <w:lang w:val="en-US"/>
        </w:rPr>
        <w:t>27</w:t>
      </w:r>
      <w:r>
        <w:rPr>
          <w:rFonts w:hint="eastAsia" w:ascii="Times New Roman" w:hAnsi="Times New Roman" w:eastAsia="方正仿宋_GBK" w:cs="方正仿宋_GBK"/>
          <w:color w:val="auto"/>
          <w:sz w:val="32"/>
          <w:szCs w:val="32"/>
          <w:lang w:eastAsia="zh-CN"/>
        </w:rPr>
        <w:t>名）。</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ascii="Times New Roman" w:hAnsi="Times New Roman" w:eastAsia="方正黑体_GBK"/>
          <w:b w:val="0"/>
          <w:color w:val="auto"/>
        </w:rPr>
      </w:pPr>
      <w:r>
        <w:rPr>
          <w:rStyle w:val="10"/>
          <w:rFonts w:hint="eastAsia" w:ascii="Times New Roman" w:hAnsi="Times New Roman" w:eastAsia="方正黑体_GBK"/>
          <w:b w:val="0"/>
          <w:color w:val="auto"/>
          <w:sz w:val="32"/>
          <w:szCs w:val="32"/>
        </w:rPr>
        <w:t>二、部门决算情况说明</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Fonts w:hint="eastAsia" w:ascii="方正楷体_GBK" w:hAnsi="方正楷体_GBK" w:eastAsia="方正楷体_GBK" w:cs="方正楷体_GBK"/>
          <w:b w:val="0"/>
          <w:bCs w:val="0"/>
          <w:color w:val="auto"/>
          <w:sz w:val="32"/>
          <w:szCs w:val="32"/>
        </w:rPr>
      </w:pPr>
      <w:r>
        <w:rPr>
          <w:rStyle w:val="10"/>
          <w:rFonts w:hint="eastAsia" w:ascii="方正楷体_GBK" w:hAnsi="方正楷体_GBK" w:eastAsia="方正楷体_GBK" w:cs="方正楷体_GBK"/>
          <w:b w:val="0"/>
          <w:bCs w:val="0"/>
          <w:color w:val="auto"/>
          <w:sz w:val="32"/>
          <w:szCs w:val="32"/>
        </w:rPr>
        <w:t>（一）收入支出决算总体情况说明</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hint="default" w:ascii="Times New Roman" w:hAnsi="Times New Roman" w:eastAsia="方正仿宋_GBK"/>
          <w:color w:val="auto"/>
          <w:sz w:val="32"/>
          <w:szCs w:val="32"/>
          <w:lang w:val="en-US" w:eastAsia="zh-CN"/>
        </w:rPr>
      </w:pPr>
      <w:r>
        <w:rPr>
          <w:rFonts w:hint="eastAsia" w:ascii="Times New Roman" w:hAnsi="Times New Roman" w:eastAsia="方正仿宋_GBK"/>
          <w:color w:val="auto"/>
          <w:sz w:val="32"/>
          <w:szCs w:val="32"/>
        </w:rPr>
        <w:t>1.总体情况。2020年度收入总计</w:t>
      </w:r>
      <w:r>
        <w:rPr>
          <w:rFonts w:hint="eastAsia" w:ascii="Times New Roman" w:hAnsi="Times New Roman" w:eastAsia="方正仿宋_GBK"/>
          <w:color w:val="auto"/>
          <w:sz w:val="32"/>
          <w:szCs w:val="32"/>
          <w:lang w:val="en-US" w:eastAsia="zh-CN"/>
        </w:rPr>
        <w:t>2814.09</w:t>
      </w:r>
      <w:r>
        <w:rPr>
          <w:rFonts w:hint="eastAsia" w:ascii="Times New Roman" w:hAnsi="Times New Roman" w:eastAsia="方正仿宋_GBK"/>
          <w:color w:val="auto"/>
          <w:sz w:val="32"/>
          <w:szCs w:val="32"/>
        </w:rPr>
        <w:t>万元，支出总计</w:t>
      </w:r>
      <w:r>
        <w:rPr>
          <w:rFonts w:hint="eastAsia" w:ascii="Times New Roman" w:hAnsi="Times New Roman" w:eastAsia="方正仿宋_GBK"/>
          <w:color w:val="auto"/>
          <w:sz w:val="32"/>
          <w:szCs w:val="32"/>
          <w:lang w:val="en-US" w:eastAsia="zh-CN"/>
        </w:rPr>
        <w:t>2814.09</w:t>
      </w:r>
      <w:r>
        <w:rPr>
          <w:rFonts w:hint="eastAsia" w:ascii="Times New Roman" w:hAnsi="Times New Roman" w:eastAsia="方正仿宋_GBK"/>
          <w:color w:val="auto"/>
          <w:sz w:val="32"/>
          <w:szCs w:val="32"/>
        </w:rPr>
        <w:t xml:space="preserve">万元。收支较上年决算数减少 </w:t>
      </w:r>
      <w:r>
        <w:rPr>
          <w:rFonts w:hint="eastAsia" w:ascii="Times New Roman" w:hAnsi="Times New Roman" w:eastAsia="方正仿宋_GBK"/>
          <w:color w:val="auto"/>
          <w:sz w:val="32"/>
          <w:szCs w:val="32"/>
          <w:lang w:val="en-US" w:eastAsia="zh-CN"/>
        </w:rPr>
        <w:t>1195.32</w:t>
      </w:r>
      <w:r>
        <w:rPr>
          <w:rFonts w:hint="eastAsia" w:ascii="Times New Roman" w:hAnsi="Times New Roman" w:eastAsia="方正仿宋_GBK"/>
          <w:color w:val="auto"/>
          <w:sz w:val="32"/>
          <w:szCs w:val="32"/>
        </w:rPr>
        <w:t xml:space="preserve">万元，下降 </w:t>
      </w:r>
      <w:r>
        <w:rPr>
          <w:rFonts w:hint="eastAsia" w:ascii="Times New Roman" w:hAnsi="Times New Roman" w:eastAsia="方正仿宋_GBK"/>
          <w:color w:val="auto"/>
          <w:sz w:val="32"/>
          <w:szCs w:val="32"/>
          <w:lang w:val="en-US" w:eastAsia="zh-CN"/>
        </w:rPr>
        <w:t>29.8</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val="en-US" w:eastAsia="zh-CN"/>
        </w:rPr>
        <w:t>2020公共基础设施建设类项目减少，争取的</w:t>
      </w:r>
      <w:r>
        <w:rPr>
          <w:rFonts w:hint="eastAsia" w:ascii="Times New Roman" w:hAnsi="Times New Roman" w:eastAsia="方正仿宋_GBK"/>
          <w:color w:val="auto"/>
          <w:sz w:val="32"/>
          <w:szCs w:val="32"/>
          <w:lang w:eastAsia="zh-CN"/>
        </w:rPr>
        <w:t>项目资金减少</w:t>
      </w:r>
      <w:r>
        <w:rPr>
          <w:rFonts w:hint="eastAsia" w:ascii="Times New Roman" w:hAnsi="Times New Roman" w:eastAsia="方正仿宋_GBK"/>
          <w:color w:val="auto"/>
          <w:sz w:val="32"/>
          <w:szCs w:val="32"/>
          <w:lang w:val="en-US" w:eastAsia="zh-CN"/>
        </w:rPr>
        <w:t>，</w:t>
      </w:r>
      <w:r>
        <w:rPr>
          <w:rFonts w:hint="eastAsia" w:ascii="Times New Roman" w:hAnsi="Times New Roman" w:eastAsia="方正仿宋_GBK"/>
          <w:color w:val="auto"/>
          <w:sz w:val="32"/>
          <w:szCs w:val="32"/>
          <w:lang w:eastAsia="zh-CN"/>
        </w:rPr>
        <w:t>项目资金投入减少。</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olor w:val="auto"/>
          <w:sz w:val="32"/>
          <w:szCs w:val="32"/>
        </w:rPr>
      </w:pPr>
      <w:r>
        <w:rPr>
          <w:rFonts w:hint="eastAsia" w:ascii="Times New Roman" w:hAnsi="Times New Roman" w:eastAsia="方正仿宋_GBK"/>
          <w:color w:val="auto"/>
          <w:sz w:val="32"/>
          <w:szCs w:val="32"/>
        </w:rPr>
        <w:t>2.收入情况。2020年度收入合计</w:t>
      </w:r>
      <w:r>
        <w:rPr>
          <w:rFonts w:hint="eastAsia" w:ascii="Times New Roman" w:hAnsi="Times New Roman" w:eastAsia="方正仿宋_GBK"/>
          <w:color w:val="auto"/>
          <w:sz w:val="32"/>
          <w:szCs w:val="32"/>
          <w:lang w:val="en-US" w:eastAsia="zh-CN"/>
        </w:rPr>
        <w:t>2814.09</w:t>
      </w:r>
      <w:r>
        <w:rPr>
          <w:rFonts w:hint="eastAsia" w:ascii="Times New Roman" w:hAnsi="Times New Roman" w:eastAsia="方正仿宋_GBK"/>
          <w:color w:val="auto"/>
          <w:sz w:val="32"/>
          <w:szCs w:val="32"/>
        </w:rPr>
        <w:t xml:space="preserve">万元，较上年决算数减少 </w:t>
      </w:r>
      <w:r>
        <w:rPr>
          <w:rFonts w:hint="eastAsia" w:ascii="Times New Roman" w:hAnsi="Times New Roman" w:eastAsia="方正仿宋_GBK"/>
          <w:color w:val="auto"/>
          <w:sz w:val="32"/>
          <w:szCs w:val="32"/>
          <w:lang w:val="en-US" w:eastAsia="zh-CN"/>
        </w:rPr>
        <w:t>1195.32</w:t>
      </w:r>
      <w:r>
        <w:rPr>
          <w:rFonts w:hint="eastAsia" w:ascii="Times New Roman" w:hAnsi="Times New Roman" w:eastAsia="方正仿宋_GBK"/>
          <w:color w:val="auto"/>
          <w:sz w:val="32"/>
          <w:szCs w:val="32"/>
        </w:rPr>
        <w:t>万元，下降</w:t>
      </w:r>
      <w:r>
        <w:rPr>
          <w:rFonts w:hint="eastAsia" w:ascii="Times New Roman" w:hAnsi="Times New Roman" w:eastAsia="方正仿宋_GBK"/>
          <w:color w:val="auto"/>
          <w:sz w:val="32"/>
          <w:szCs w:val="32"/>
          <w:lang w:val="en-US" w:eastAsia="zh-CN"/>
        </w:rPr>
        <w:t>29.8</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val="en-US" w:eastAsia="zh-CN"/>
        </w:rPr>
        <w:t>2020公共基础设施建设类项目减少，争取的</w:t>
      </w:r>
      <w:r>
        <w:rPr>
          <w:rFonts w:hint="eastAsia" w:ascii="Times New Roman" w:hAnsi="Times New Roman" w:eastAsia="方正仿宋_GBK"/>
          <w:color w:val="auto"/>
          <w:sz w:val="32"/>
          <w:szCs w:val="32"/>
          <w:lang w:eastAsia="zh-CN"/>
        </w:rPr>
        <w:t>项目资金减少</w:t>
      </w:r>
      <w:r>
        <w:rPr>
          <w:rFonts w:hint="eastAsia" w:ascii="Times New Roman" w:hAnsi="Times New Roman" w:eastAsia="方正仿宋_GBK"/>
          <w:color w:val="auto"/>
          <w:sz w:val="32"/>
          <w:szCs w:val="32"/>
        </w:rPr>
        <w:t>。其中：财政拨款收入</w:t>
      </w:r>
      <w:r>
        <w:rPr>
          <w:rFonts w:hint="eastAsia" w:ascii="Times New Roman" w:hAnsi="Times New Roman" w:eastAsia="方正仿宋_GBK"/>
          <w:color w:val="auto"/>
          <w:sz w:val="32"/>
          <w:szCs w:val="32"/>
          <w:lang w:val="en-US" w:eastAsia="zh-CN"/>
        </w:rPr>
        <w:t>2814.09</w:t>
      </w:r>
      <w:r>
        <w:rPr>
          <w:rFonts w:hint="eastAsia" w:ascii="Times New Roman" w:hAnsi="Times New Roman" w:eastAsia="方正仿宋_GBK"/>
          <w:color w:val="auto"/>
          <w:sz w:val="32"/>
          <w:szCs w:val="32"/>
        </w:rPr>
        <w:t>万元，占</w:t>
      </w:r>
      <w:r>
        <w:rPr>
          <w:rFonts w:hint="eastAsia" w:ascii="Times New Roman" w:hAnsi="Times New Roman" w:eastAsia="方正仿宋_GBK"/>
          <w:color w:val="auto"/>
          <w:sz w:val="32"/>
          <w:szCs w:val="32"/>
          <w:lang w:val="en-US" w:eastAsia="zh-CN"/>
        </w:rPr>
        <w:t>100</w:t>
      </w:r>
      <w:r>
        <w:rPr>
          <w:rFonts w:hint="eastAsia" w:ascii="Times New Roman" w:hAnsi="Times New Roman" w:eastAsia="方正仿宋_GBK"/>
          <w:color w:val="auto"/>
          <w:sz w:val="32"/>
          <w:szCs w:val="32"/>
        </w:rPr>
        <w:t>%。</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olor w:val="auto"/>
          <w:sz w:val="32"/>
          <w:szCs w:val="32"/>
        </w:rPr>
      </w:pPr>
      <w:r>
        <w:rPr>
          <w:rFonts w:hint="eastAsia" w:ascii="Times New Roman" w:hAnsi="Times New Roman" w:eastAsia="方正仿宋_GBK"/>
          <w:color w:val="auto"/>
          <w:sz w:val="32"/>
          <w:szCs w:val="32"/>
        </w:rPr>
        <w:t>3.支出情况。2020年度支出合计</w:t>
      </w:r>
      <w:r>
        <w:rPr>
          <w:rFonts w:hint="eastAsia" w:ascii="Times New Roman" w:hAnsi="Times New Roman" w:eastAsia="方正仿宋_GBK"/>
          <w:color w:val="auto"/>
          <w:sz w:val="32"/>
          <w:szCs w:val="32"/>
          <w:lang w:val="en-US" w:eastAsia="zh-CN"/>
        </w:rPr>
        <w:t>2814.09</w:t>
      </w:r>
      <w:r>
        <w:rPr>
          <w:rFonts w:hint="eastAsia" w:ascii="Times New Roman" w:hAnsi="Times New Roman" w:eastAsia="方正仿宋_GBK"/>
          <w:color w:val="auto"/>
          <w:sz w:val="32"/>
          <w:szCs w:val="32"/>
        </w:rPr>
        <w:t>万元，较上年决算数减少</w:t>
      </w:r>
      <w:r>
        <w:rPr>
          <w:rFonts w:hint="eastAsia" w:ascii="Times New Roman" w:hAnsi="Times New Roman" w:eastAsia="方正仿宋_GBK"/>
          <w:color w:val="auto"/>
          <w:sz w:val="32"/>
          <w:szCs w:val="32"/>
          <w:lang w:val="en-US" w:eastAsia="zh-CN"/>
        </w:rPr>
        <w:t>1201.53</w:t>
      </w:r>
      <w:r>
        <w:rPr>
          <w:rFonts w:hint="eastAsia" w:ascii="Times New Roman" w:hAnsi="Times New Roman" w:eastAsia="方正仿宋_GBK"/>
          <w:color w:val="auto"/>
          <w:sz w:val="32"/>
          <w:szCs w:val="32"/>
        </w:rPr>
        <w:t xml:space="preserve">万元，下降 </w:t>
      </w:r>
      <w:r>
        <w:rPr>
          <w:rFonts w:hint="eastAsia" w:ascii="Times New Roman" w:hAnsi="Times New Roman" w:eastAsia="方正仿宋_GBK"/>
          <w:color w:val="auto"/>
          <w:sz w:val="32"/>
          <w:szCs w:val="32"/>
          <w:lang w:val="en-US" w:eastAsia="zh-CN"/>
        </w:rPr>
        <w:t>29.9</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val="en-US" w:eastAsia="zh-CN"/>
        </w:rPr>
        <w:t>2020公共基础设施建设类项目减少，</w:t>
      </w:r>
      <w:r>
        <w:rPr>
          <w:rFonts w:hint="eastAsia" w:ascii="Times New Roman" w:hAnsi="Times New Roman" w:eastAsia="方正仿宋_GBK"/>
          <w:color w:val="auto"/>
          <w:sz w:val="32"/>
          <w:szCs w:val="32"/>
          <w:lang w:eastAsia="zh-CN"/>
        </w:rPr>
        <w:t>项目资金投入减少</w:t>
      </w:r>
      <w:r>
        <w:rPr>
          <w:rFonts w:hint="eastAsia" w:ascii="Times New Roman" w:hAnsi="Times New Roman" w:eastAsia="方正仿宋_GBK"/>
          <w:color w:val="auto"/>
          <w:sz w:val="32"/>
          <w:szCs w:val="32"/>
        </w:rPr>
        <w:t>。</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4.结转结余情况。2020年度年末结转和结余</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元，</w:t>
      </w:r>
      <w:r>
        <w:rPr>
          <w:rFonts w:hint="eastAsia" w:ascii="Times New Roman" w:hAnsi="Times New Roman" w:eastAsia="方正仿宋_GBK"/>
          <w:color w:val="auto"/>
          <w:sz w:val="32"/>
          <w:szCs w:val="32"/>
          <w:lang w:eastAsia="zh-CN"/>
        </w:rPr>
        <w:t>与</w:t>
      </w:r>
      <w:r>
        <w:rPr>
          <w:rFonts w:hint="eastAsia" w:ascii="Times New Roman" w:hAnsi="Times New Roman" w:eastAsia="方正仿宋_GBK"/>
          <w:color w:val="auto"/>
          <w:sz w:val="32"/>
          <w:szCs w:val="32"/>
        </w:rPr>
        <w:t>上年决算数</w:t>
      </w:r>
      <w:r>
        <w:rPr>
          <w:rFonts w:hint="eastAsia" w:ascii="Times New Roman" w:hAnsi="Times New Roman" w:eastAsia="方正仿宋_GBK"/>
          <w:color w:val="auto"/>
          <w:sz w:val="32"/>
          <w:szCs w:val="32"/>
          <w:lang w:eastAsia="zh-CN"/>
        </w:rPr>
        <w:t>一致</w:t>
      </w:r>
      <w:r>
        <w:rPr>
          <w:rFonts w:hint="eastAsia" w:ascii="Times New Roman" w:hAnsi="Times New Roman" w:eastAsia="方正仿宋_GBK"/>
          <w:color w:val="auto"/>
          <w:sz w:val="32"/>
          <w:szCs w:val="32"/>
        </w:rPr>
        <w:t>。</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hint="eastAsia" w:ascii="方正楷体_GBK" w:hAnsi="方正楷体_GBK" w:eastAsia="方正楷体_GBK" w:cs="方正楷体_GBK"/>
          <w:b w:val="0"/>
          <w:bCs w:val="0"/>
          <w:color w:val="auto"/>
          <w:sz w:val="32"/>
          <w:szCs w:val="32"/>
        </w:rPr>
      </w:pPr>
      <w:r>
        <w:rPr>
          <w:rStyle w:val="10"/>
          <w:rFonts w:hint="eastAsia" w:ascii="方正楷体_GBK" w:hAnsi="方正楷体_GBK" w:eastAsia="方正楷体_GBK" w:cs="方正楷体_GBK"/>
          <w:b w:val="0"/>
          <w:bCs w:val="0"/>
          <w:color w:val="auto"/>
          <w:sz w:val="32"/>
          <w:szCs w:val="32"/>
        </w:rPr>
        <w:t>（二）财政拨款收入支出决算总体情况说明</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color w:val="auto"/>
        </w:rPr>
      </w:pPr>
      <w:r>
        <w:rPr>
          <w:rFonts w:hint="eastAsia" w:ascii="Times New Roman" w:hAnsi="Times New Roman" w:eastAsia="方正仿宋_GBK"/>
          <w:bCs/>
          <w:color w:val="auto"/>
          <w:sz w:val="32"/>
          <w:szCs w:val="32"/>
        </w:rPr>
        <w:t>2020年度财政拨款收、支总计</w:t>
      </w:r>
      <w:r>
        <w:rPr>
          <w:rFonts w:hint="eastAsia" w:ascii="Times New Roman" w:hAnsi="Times New Roman" w:eastAsia="方正仿宋_GBK"/>
          <w:bCs/>
          <w:color w:val="auto"/>
          <w:sz w:val="32"/>
          <w:szCs w:val="32"/>
          <w:lang w:eastAsia="zh-CN"/>
        </w:rPr>
        <w:t>均为</w:t>
      </w:r>
      <w:r>
        <w:rPr>
          <w:rFonts w:hint="eastAsia" w:ascii="Times New Roman" w:hAnsi="Times New Roman" w:eastAsia="方正仿宋_GBK"/>
          <w:bCs/>
          <w:color w:val="auto"/>
          <w:sz w:val="32"/>
          <w:szCs w:val="32"/>
          <w:lang w:val="en-US" w:eastAsia="zh-CN"/>
        </w:rPr>
        <w:t>2814.09</w:t>
      </w:r>
      <w:r>
        <w:rPr>
          <w:rFonts w:hint="eastAsia" w:ascii="Times New Roman" w:hAnsi="Times New Roman" w:eastAsia="方正仿宋_GBK"/>
          <w:bCs/>
          <w:color w:val="auto"/>
          <w:sz w:val="32"/>
          <w:szCs w:val="32"/>
        </w:rPr>
        <w:t>万元。与201</w:t>
      </w:r>
      <w:r>
        <w:rPr>
          <w:rFonts w:hint="eastAsia" w:ascii="Times New Roman" w:hAnsi="Times New Roman" w:eastAsia="方正仿宋_GBK"/>
          <w:bCs/>
          <w:color w:val="auto"/>
          <w:sz w:val="32"/>
          <w:szCs w:val="32"/>
          <w:lang w:val="en-US" w:eastAsia="zh-CN"/>
        </w:rPr>
        <w:t>9</w:t>
      </w:r>
      <w:r>
        <w:rPr>
          <w:rFonts w:hint="eastAsia" w:ascii="Times New Roman" w:hAnsi="Times New Roman" w:eastAsia="方正仿宋_GBK"/>
          <w:bCs/>
          <w:color w:val="auto"/>
          <w:sz w:val="32"/>
          <w:szCs w:val="32"/>
        </w:rPr>
        <w:t xml:space="preserve">年相比，财政拨款收、支总计各减少 </w:t>
      </w:r>
      <w:r>
        <w:rPr>
          <w:rFonts w:hint="eastAsia" w:ascii="Times New Roman" w:hAnsi="Times New Roman" w:eastAsia="方正仿宋_GBK"/>
          <w:bCs/>
          <w:color w:val="auto"/>
          <w:sz w:val="32"/>
          <w:szCs w:val="32"/>
          <w:lang w:val="en-US" w:eastAsia="zh-CN"/>
        </w:rPr>
        <w:t>1195.32</w:t>
      </w:r>
      <w:r>
        <w:rPr>
          <w:rFonts w:hint="eastAsia" w:ascii="Times New Roman" w:hAnsi="Times New Roman" w:eastAsia="方正仿宋_GBK"/>
          <w:bCs/>
          <w:color w:val="auto"/>
          <w:sz w:val="32"/>
          <w:szCs w:val="32"/>
        </w:rPr>
        <w:t xml:space="preserve">万元，下降 </w:t>
      </w:r>
      <w:r>
        <w:rPr>
          <w:rFonts w:hint="eastAsia" w:ascii="Times New Roman" w:hAnsi="Times New Roman" w:eastAsia="方正仿宋_GBK"/>
          <w:bCs/>
          <w:color w:val="auto"/>
          <w:sz w:val="32"/>
          <w:szCs w:val="32"/>
          <w:lang w:val="en-US" w:eastAsia="zh-CN"/>
        </w:rPr>
        <w:t>29.8</w:t>
      </w:r>
      <w:r>
        <w:rPr>
          <w:rFonts w:hint="eastAsia" w:ascii="Times New Roman" w:hAnsi="Times New Roman" w:eastAsia="方正仿宋_GBK"/>
          <w:bCs/>
          <w:color w:val="auto"/>
          <w:sz w:val="32"/>
          <w:szCs w:val="32"/>
        </w:rPr>
        <w:t>%。</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val="en-US" w:eastAsia="zh-CN"/>
        </w:rPr>
        <w:t>2020公共基础设施建设类项目减少，争取的</w:t>
      </w:r>
      <w:r>
        <w:rPr>
          <w:rFonts w:hint="eastAsia" w:ascii="Times New Roman" w:hAnsi="Times New Roman" w:eastAsia="方正仿宋_GBK" w:cs="方正仿宋_GBK"/>
          <w:color w:val="auto"/>
          <w:sz w:val="32"/>
          <w:szCs w:val="32"/>
          <w:shd w:val="clear" w:fill="FFFFFF"/>
          <w:lang w:eastAsia="zh-CN"/>
        </w:rPr>
        <w:t>项目资金减少</w:t>
      </w:r>
      <w:r>
        <w:rPr>
          <w:rFonts w:hint="eastAsia" w:ascii="Times New Roman" w:hAnsi="Times New Roman" w:eastAsia="方正仿宋_GBK"/>
          <w:color w:val="auto"/>
          <w:sz w:val="32"/>
          <w:szCs w:val="32"/>
          <w:lang w:val="en-US" w:eastAsia="zh-CN"/>
        </w:rPr>
        <w:t>，</w:t>
      </w:r>
      <w:r>
        <w:rPr>
          <w:rFonts w:hint="eastAsia" w:ascii="Times New Roman" w:hAnsi="Times New Roman" w:eastAsia="方正仿宋_GBK" w:cs="方正仿宋_GBK"/>
          <w:color w:val="auto"/>
          <w:sz w:val="32"/>
          <w:szCs w:val="32"/>
          <w:shd w:val="clear" w:fill="FFFFFF"/>
          <w:lang w:eastAsia="zh-CN"/>
        </w:rPr>
        <w:t>项目资金投入减少</w:t>
      </w:r>
      <w:r>
        <w:rPr>
          <w:rFonts w:hint="eastAsia" w:ascii="Times New Roman" w:hAnsi="Times New Roman" w:eastAsia="方正仿宋_GBK"/>
          <w:color w:val="auto"/>
          <w:sz w:val="32"/>
          <w:szCs w:val="32"/>
        </w:rPr>
        <w:t>。</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hint="eastAsia" w:ascii="方正楷体_GBK" w:hAnsi="方正楷体_GBK" w:eastAsia="方正楷体_GBK" w:cs="方正楷体_GBK"/>
          <w:b w:val="0"/>
          <w:bCs w:val="0"/>
          <w:color w:val="auto"/>
          <w:sz w:val="32"/>
          <w:szCs w:val="32"/>
        </w:rPr>
      </w:pPr>
      <w:r>
        <w:rPr>
          <w:rStyle w:val="10"/>
          <w:rFonts w:hint="eastAsia" w:ascii="方正楷体_GBK" w:hAnsi="方正楷体_GBK" w:eastAsia="方正楷体_GBK" w:cs="方正楷体_GBK"/>
          <w:b w:val="0"/>
          <w:bCs w:val="0"/>
          <w:color w:val="auto"/>
          <w:sz w:val="32"/>
          <w:szCs w:val="32"/>
        </w:rPr>
        <w:t>（三）一般公共预算财政拨款支出决算情况说明</w:t>
      </w:r>
    </w:p>
    <w:p>
      <w:pPr>
        <w:keepNext w:val="0"/>
        <w:keepLines w:val="0"/>
        <w:pageBreakBefore w:val="0"/>
        <w:widowControl w:val="0"/>
        <w:numPr>
          <w:ilvl w:val="0"/>
          <w:numId w:val="0"/>
        </w:numPr>
        <w:kinsoku/>
        <w:wordWrap/>
        <w:overflowPunct/>
        <w:topLinePunct w:val="0"/>
        <w:bidi w:val="0"/>
        <w:adjustRightInd/>
        <w:snapToGrid/>
        <w:spacing w:beforeAutospacing="0" w:afterAutospacing="0" w:line="594" w:lineRule="exact"/>
        <w:ind w:firstLine="640" w:firstLineChars="200"/>
        <w:jc w:val="both"/>
        <w:textAlignment w:val="auto"/>
        <w:rPr>
          <w:rFonts w:hint="eastAsia" w:ascii="Times New Roman" w:hAnsi="Times New Roman" w:eastAsia="方正仿宋_GBK"/>
          <w:color w:val="auto"/>
          <w:sz w:val="32"/>
          <w:szCs w:val="32"/>
        </w:rPr>
      </w:pPr>
      <w:r>
        <w:rPr>
          <w:rFonts w:hint="eastAsia" w:ascii="Times New Roman" w:hAnsi="Times New Roman" w:eastAsia="方正仿宋_GBK"/>
          <w:color w:val="auto"/>
          <w:sz w:val="32"/>
          <w:szCs w:val="32"/>
        </w:rPr>
        <w:t>1.收入情况。2020年度一般公共预算财政拨款收入</w:t>
      </w:r>
      <w:r>
        <w:rPr>
          <w:rFonts w:hint="eastAsia" w:ascii="Times New Roman" w:hAnsi="Times New Roman" w:eastAsia="方正仿宋_GBK"/>
          <w:color w:val="auto"/>
          <w:sz w:val="32"/>
          <w:szCs w:val="32"/>
          <w:lang w:val="en-US" w:eastAsia="zh-CN"/>
        </w:rPr>
        <w:t>1144.09</w:t>
      </w:r>
      <w:r>
        <w:rPr>
          <w:rFonts w:hint="eastAsia" w:ascii="Times New Roman" w:hAnsi="Times New Roman" w:eastAsia="方正仿宋_GBK"/>
          <w:color w:val="auto"/>
          <w:sz w:val="32"/>
          <w:szCs w:val="32"/>
        </w:rPr>
        <w:t>万元，较上年决算数减少</w:t>
      </w:r>
      <w:r>
        <w:rPr>
          <w:rFonts w:hint="eastAsia" w:ascii="Times New Roman" w:hAnsi="Times New Roman" w:eastAsia="方正仿宋_GBK"/>
          <w:color w:val="auto"/>
          <w:sz w:val="32"/>
          <w:szCs w:val="32"/>
          <w:lang w:val="en-US" w:eastAsia="zh-CN"/>
        </w:rPr>
        <w:t>2864.84</w:t>
      </w:r>
      <w:r>
        <w:rPr>
          <w:rFonts w:hint="eastAsia" w:ascii="Times New Roman" w:hAnsi="Times New Roman" w:eastAsia="方正仿宋_GBK"/>
          <w:color w:val="auto"/>
          <w:sz w:val="32"/>
          <w:szCs w:val="32"/>
        </w:rPr>
        <w:t>万元，下</w:t>
      </w:r>
      <w:r>
        <w:rPr>
          <w:rFonts w:hint="eastAsia" w:ascii="Times New Roman" w:hAnsi="Times New Roman" w:eastAsia="方正仿宋_GBK"/>
          <w:color w:val="auto"/>
          <w:sz w:val="32"/>
          <w:szCs w:val="32"/>
          <w:lang w:eastAsia="zh-CN"/>
        </w:rPr>
        <w:t>降</w:t>
      </w:r>
      <w:r>
        <w:rPr>
          <w:rFonts w:hint="eastAsia" w:ascii="Times New Roman" w:hAnsi="Times New Roman" w:eastAsia="方正仿宋_GBK"/>
          <w:color w:val="auto"/>
          <w:sz w:val="32"/>
          <w:szCs w:val="32"/>
          <w:lang w:val="en-US" w:eastAsia="zh-CN"/>
        </w:rPr>
        <w:t>71.5</w:t>
      </w:r>
      <w:r>
        <w:rPr>
          <w:rFonts w:hint="eastAsia" w:ascii="Times New Roman" w:hAnsi="Times New Roman" w:eastAsia="方正仿宋_GBK"/>
          <w:color w:val="auto"/>
          <w:sz w:val="32"/>
          <w:szCs w:val="32"/>
        </w:rPr>
        <w:t>%。主要原因是一般公共预算财政拨款</w:t>
      </w:r>
      <w:r>
        <w:rPr>
          <w:rFonts w:hint="eastAsia" w:ascii="Times New Roman" w:hAnsi="Times New Roman" w:eastAsia="方正仿宋_GBK"/>
          <w:color w:val="auto"/>
          <w:sz w:val="32"/>
          <w:szCs w:val="32"/>
          <w:lang w:eastAsia="zh-CN"/>
        </w:rPr>
        <w:t>投入到农村公路和干线公路等</w:t>
      </w:r>
      <w:r>
        <w:rPr>
          <w:rFonts w:hint="eastAsia" w:ascii="Times New Roman" w:hAnsi="Times New Roman" w:eastAsia="方正仿宋_GBK"/>
          <w:color w:val="auto"/>
          <w:sz w:val="32"/>
          <w:szCs w:val="32"/>
          <w:lang w:val="en-US" w:eastAsia="zh-CN"/>
        </w:rPr>
        <w:t>公共基础设施建设的资金减少</w:t>
      </w:r>
      <w:r>
        <w:rPr>
          <w:rFonts w:hint="eastAsia" w:ascii="Times New Roman" w:hAnsi="Times New Roman" w:eastAsia="方正仿宋_GBK"/>
          <w:color w:val="auto"/>
          <w:sz w:val="32"/>
          <w:szCs w:val="32"/>
        </w:rPr>
        <w:t>。较年初预算数增加</w:t>
      </w:r>
      <w:r>
        <w:rPr>
          <w:rFonts w:hint="eastAsia" w:ascii="Times New Roman" w:hAnsi="Times New Roman" w:eastAsia="方正仿宋_GBK"/>
          <w:color w:val="auto"/>
          <w:sz w:val="32"/>
          <w:szCs w:val="32"/>
          <w:lang w:val="en-US" w:eastAsia="zh-CN"/>
        </w:rPr>
        <w:t>367.36</w:t>
      </w:r>
      <w:r>
        <w:rPr>
          <w:rFonts w:hint="eastAsia" w:ascii="Times New Roman" w:hAnsi="Times New Roman" w:eastAsia="方正仿宋_GBK"/>
          <w:color w:val="auto"/>
          <w:sz w:val="32"/>
          <w:szCs w:val="32"/>
        </w:rPr>
        <w:t xml:space="preserve">万元，增长 </w:t>
      </w:r>
      <w:r>
        <w:rPr>
          <w:rFonts w:hint="eastAsia" w:ascii="Times New Roman" w:hAnsi="Times New Roman" w:eastAsia="方正仿宋_GBK"/>
          <w:color w:val="auto"/>
          <w:sz w:val="32"/>
          <w:szCs w:val="32"/>
          <w:lang w:val="en-US" w:eastAsia="zh-CN"/>
        </w:rPr>
        <w:t>47.3</w:t>
      </w:r>
      <w:r>
        <w:rPr>
          <w:rFonts w:hint="eastAsia" w:ascii="Times New Roman" w:hAnsi="Times New Roman" w:eastAsia="方正仿宋_GBK"/>
          <w:color w:val="auto"/>
          <w:sz w:val="32"/>
          <w:szCs w:val="32"/>
        </w:rPr>
        <w:t>%。主要原因是年中追加安排</w:t>
      </w:r>
      <w:r>
        <w:rPr>
          <w:rFonts w:hint="eastAsia" w:ascii="Times New Roman" w:hAnsi="Times New Roman" w:eastAsia="方正仿宋_GBK"/>
          <w:color w:val="auto"/>
          <w:sz w:val="32"/>
          <w:szCs w:val="32"/>
          <w:lang w:eastAsia="zh-CN"/>
        </w:rPr>
        <w:t>抗疫国债</w:t>
      </w:r>
      <w:r>
        <w:rPr>
          <w:rFonts w:hint="eastAsia" w:ascii="Times New Roman" w:hAnsi="Times New Roman" w:eastAsia="方正仿宋_GBK"/>
          <w:color w:val="auto"/>
          <w:sz w:val="32"/>
          <w:szCs w:val="32"/>
        </w:rPr>
        <w:t>专项经费支出预算100万元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2019年争资工作补助经费60万元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成品油补贴0.49万元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2020</w:t>
      </w:r>
      <w:r>
        <w:rPr>
          <w:rFonts w:hint="eastAsia" w:ascii="Times New Roman" w:hAnsi="Times New Roman" w:eastAsia="方正仿宋_GBK"/>
          <w:color w:val="auto"/>
          <w:sz w:val="32"/>
          <w:szCs w:val="32"/>
          <w:lang w:eastAsia="zh-CN"/>
        </w:rPr>
        <w:t>安保工程专项经费</w:t>
      </w:r>
      <w:r>
        <w:rPr>
          <w:rFonts w:hint="eastAsia" w:ascii="Times New Roman" w:hAnsi="Times New Roman" w:eastAsia="方正仿宋_GBK"/>
          <w:color w:val="auto"/>
          <w:sz w:val="32"/>
          <w:szCs w:val="32"/>
        </w:rPr>
        <w:t>181万元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防汛抢险补助7万元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人员经费预算18.87万。此外，年初财政拨款结转和结余</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元。</w:t>
      </w:r>
    </w:p>
    <w:p>
      <w:pPr>
        <w:keepNext w:val="0"/>
        <w:keepLines w:val="0"/>
        <w:pageBreakBefore w:val="0"/>
        <w:widowControl w:val="0"/>
        <w:numPr>
          <w:ilvl w:val="0"/>
          <w:numId w:val="0"/>
        </w:numPr>
        <w:kinsoku/>
        <w:wordWrap/>
        <w:overflowPunct/>
        <w:topLinePunct w:val="0"/>
        <w:bidi w:val="0"/>
        <w:adjustRightInd/>
        <w:snapToGrid/>
        <w:spacing w:beforeAutospacing="0" w:afterAutospacing="0" w:line="594" w:lineRule="exact"/>
        <w:ind w:firstLine="640" w:firstLineChars="200"/>
        <w:jc w:val="both"/>
        <w:textAlignment w:val="auto"/>
        <w:rPr>
          <w:rFonts w:hint="eastAsia" w:ascii="Times New Roman" w:hAnsi="Times New Roman" w:eastAsia="方正仿宋_GBK"/>
          <w:color w:val="auto"/>
          <w:sz w:val="32"/>
          <w:szCs w:val="32"/>
        </w:rPr>
      </w:pPr>
      <w:r>
        <w:rPr>
          <w:rFonts w:hint="eastAsia" w:ascii="Times New Roman" w:hAnsi="Times New Roman" w:eastAsia="方正仿宋_GBK"/>
          <w:color w:val="auto"/>
          <w:sz w:val="32"/>
          <w:szCs w:val="32"/>
        </w:rPr>
        <w:t>2.支出情况。2020年度一般公共预算财政拨款支出</w:t>
      </w:r>
      <w:r>
        <w:rPr>
          <w:rFonts w:hint="eastAsia" w:ascii="Times New Roman" w:hAnsi="Times New Roman" w:eastAsia="方正仿宋_GBK"/>
          <w:color w:val="auto"/>
          <w:sz w:val="32"/>
          <w:szCs w:val="32"/>
          <w:lang w:val="en-US" w:eastAsia="zh-CN"/>
        </w:rPr>
        <w:t>1144.09</w:t>
      </w:r>
      <w:r>
        <w:rPr>
          <w:rFonts w:hint="eastAsia" w:ascii="Times New Roman" w:hAnsi="Times New Roman" w:eastAsia="方正仿宋_GBK"/>
          <w:color w:val="auto"/>
          <w:sz w:val="32"/>
          <w:szCs w:val="32"/>
        </w:rPr>
        <w:t>万元，较上年决算数减少</w:t>
      </w:r>
      <w:r>
        <w:rPr>
          <w:rFonts w:hint="eastAsia" w:ascii="Times New Roman" w:hAnsi="Times New Roman" w:eastAsia="方正仿宋_GBK"/>
          <w:color w:val="auto"/>
          <w:sz w:val="32"/>
          <w:szCs w:val="32"/>
          <w:lang w:val="en-US" w:eastAsia="zh-CN"/>
        </w:rPr>
        <w:t>2871.05</w:t>
      </w:r>
      <w:r>
        <w:rPr>
          <w:rFonts w:hint="eastAsia" w:ascii="Times New Roman" w:hAnsi="Times New Roman" w:eastAsia="方正仿宋_GBK"/>
          <w:color w:val="auto"/>
          <w:sz w:val="32"/>
          <w:szCs w:val="32"/>
        </w:rPr>
        <w:t>万元，下降</w:t>
      </w:r>
      <w:r>
        <w:rPr>
          <w:rFonts w:hint="eastAsia" w:ascii="Times New Roman" w:hAnsi="Times New Roman" w:eastAsia="方正仿宋_GBK"/>
          <w:color w:val="auto"/>
          <w:sz w:val="32"/>
          <w:szCs w:val="32"/>
          <w:lang w:val="en-US" w:eastAsia="zh-CN"/>
        </w:rPr>
        <w:t>71.5</w:t>
      </w:r>
      <w:r>
        <w:rPr>
          <w:rFonts w:hint="eastAsia" w:ascii="Times New Roman" w:hAnsi="Times New Roman" w:eastAsia="方正仿宋_GBK"/>
          <w:color w:val="auto"/>
          <w:sz w:val="32"/>
          <w:szCs w:val="32"/>
        </w:rPr>
        <w:t>%。主要原因是一般公共预算财政拨款</w:t>
      </w:r>
      <w:r>
        <w:rPr>
          <w:rFonts w:hint="eastAsia" w:ascii="Times New Roman" w:hAnsi="Times New Roman" w:eastAsia="方正仿宋_GBK"/>
          <w:color w:val="auto"/>
          <w:sz w:val="32"/>
          <w:szCs w:val="32"/>
          <w:lang w:eastAsia="zh-CN"/>
        </w:rPr>
        <w:t>投入到农村公路和干线公路等</w:t>
      </w:r>
      <w:r>
        <w:rPr>
          <w:rFonts w:hint="eastAsia" w:ascii="Times New Roman" w:hAnsi="Times New Roman" w:eastAsia="方正仿宋_GBK"/>
          <w:color w:val="auto"/>
          <w:sz w:val="32"/>
          <w:szCs w:val="32"/>
          <w:lang w:val="en-US" w:eastAsia="zh-CN"/>
        </w:rPr>
        <w:t>公共基础设施建设的资金减少</w:t>
      </w:r>
      <w:r>
        <w:rPr>
          <w:rFonts w:hint="eastAsia" w:ascii="Times New Roman" w:hAnsi="Times New Roman" w:eastAsia="方正仿宋_GBK"/>
          <w:color w:val="auto"/>
          <w:sz w:val="32"/>
          <w:szCs w:val="32"/>
        </w:rPr>
        <w:t xml:space="preserve">。较年初预算数增加 </w:t>
      </w:r>
      <w:r>
        <w:rPr>
          <w:rFonts w:hint="eastAsia" w:ascii="Times New Roman" w:hAnsi="Times New Roman" w:eastAsia="方正仿宋_GBK"/>
          <w:color w:val="auto"/>
          <w:sz w:val="32"/>
          <w:szCs w:val="32"/>
          <w:lang w:val="en-US" w:eastAsia="zh-CN"/>
        </w:rPr>
        <w:t>367.36</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47.3</w:t>
      </w:r>
      <w:r>
        <w:rPr>
          <w:rFonts w:hint="eastAsia" w:ascii="Times New Roman" w:hAnsi="Times New Roman" w:eastAsia="方正仿宋_GBK"/>
          <w:color w:val="auto"/>
          <w:sz w:val="32"/>
          <w:szCs w:val="32"/>
        </w:rPr>
        <w:t>%。主要原因是年中</w:t>
      </w:r>
      <w:r>
        <w:rPr>
          <w:rFonts w:hint="eastAsia" w:ascii="Times New Roman" w:hAnsi="Times New Roman" w:eastAsia="方正仿宋_GBK"/>
          <w:color w:val="auto"/>
          <w:sz w:val="32"/>
          <w:szCs w:val="32"/>
          <w:lang w:eastAsia="zh-CN"/>
        </w:rPr>
        <w:t>增</w:t>
      </w:r>
      <w:r>
        <w:rPr>
          <w:rFonts w:hint="eastAsia" w:ascii="Times New Roman" w:hAnsi="Times New Roman" w:eastAsia="方正仿宋_GBK"/>
          <w:color w:val="auto"/>
          <w:sz w:val="32"/>
          <w:szCs w:val="32"/>
        </w:rPr>
        <w:t>加支出</w:t>
      </w:r>
      <w:r>
        <w:rPr>
          <w:rFonts w:hint="eastAsia" w:ascii="Times New Roman" w:hAnsi="Times New Roman" w:eastAsia="方正仿宋_GBK"/>
          <w:color w:val="auto"/>
          <w:sz w:val="32"/>
          <w:szCs w:val="32"/>
          <w:lang w:eastAsia="zh-CN"/>
        </w:rPr>
        <w:t>抗疫国债</w:t>
      </w:r>
      <w:r>
        <w:rPr>
          <w:rFonts w:hint="eastAsia" w:ascii="Times New Roman" w:hAnsi="Times New Roman" w:eastAsia="方正仿宋_GBK"/>
          <w:color w:val="auto"/>
          <w:sz w:val="32"/>
          <w:szCs w:val="32"/>
        </w:rPr>
        <w:t>专项经费100万元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2019年争资工作补助经费60万元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成品油补贴0.49万元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2020</w:t>
      </w:r>
      <w:r>
        <w:rPr>
          <w:rFonts w:hint="eastAsia" w:ascii="Times New Roman" w:hAnsi="Times New Roman" w:eastAsia="方正仿宋_GBK"/>
          <w:color w:val="auto"/>
          <w:sz w:val="32"/>
          <w:szCs w:val="32"/>
          <w:lang w:eastAsia="zh-CN"/>
        </w:rPr>
        <w:t>安保工程专项经费</w:t>
      </w:r>
      <w:r>
        <w:rPr>
          <w:rFonts w:hint="eastAsia" w:ascii="Times New Roman" w:hAnsi="Times New Roman" w:eastAsia="方正仿宋_GBK"/>
          <w:color w:val="auto"/>
          <w:sz w:val="32"/>
          <w:szCs w:val="32"/>
        </w:rPr>
        <w:t>181万元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防汛抢险补助7万元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人员经费预算18.87万。</w:t>
      </w:r>
    </w:p>
    <w:p>
      <w:pPr>
        <w:keepNext w:val="0"/>
        <w:keepLines w:val="0"/>
        <w:pageBreakBefore w:val="0"/>
        <w:widowControl w:val="0"/>
        <w:numPr>
          <w:ilvl w:val="0"/>
          <w:numId w:val="0"/>
        </w:numPr>
        <w:kinsoku/>
        <w:wordWrap/>
        <w:overflowPunct/>
        <w:topLinePunct w:val="0"/>
        <w:bidi w:val="0"/>
        <w:adjustRightInd/>
        <w:snapToGrid/>
        <w:spacing w:beforeAutospacing="0" w:afterAutospacing="0" w:line="594" w:lineRule="exact"/>
        <w:ind w:firstLine="640" w:firstLineChars="200"/>
        <w:jc w:val="both"/>
        <w:textAlignment w:val="auto"/>
        <w:rPr>
          <w:rFonts w:hint="eastAsia" w:ascii="Times New Roman" w:hAnsi="Times New Roman" w:eastAsia="方正仿宋_GBK"/>
          <w:color w:val="auto"/>
          <w:sz w:val="32"/>
          <w:szCs w:val="32"/>
        </w:rPr>
      </w:pPr>
      <w:r>
        <w:rPr>
          <w:rFonts w:hint="eastAsia" w:ascii="Times New Roman" w:hAnsi="Times New Roman" w:eastAsia="方正仿宋_GBK"/>
          <w:color w:val="auto"/>
          <w:sz w:val="32"/>
          <w:szCs w:val="32"/>
        </w:rPr>
        <w:t>3.结转结余情况。2020年度年末一般公共预算财政拨款结转和结余</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元，</w:t>
      </w:r>
      <w:r>
        <w:rPr>
          <w:rFonts w:hint="eastAsia" w:ascii="Times New Roman" w:hAnsi="Times New Roman" w:eastAsia="方正仿宋_GBK"/>
          <w:color w:val="auto"/>
          <w:sz w:val="32"/>
          <w:szCs w:val="32"/>
          <w:lang w:eastAsia="zh-CN"/>
        </w:rPr>
        <w:t>与上年一致</w:t>
      </w:r>
      <w:r>
        <w:rPr>
          <w:rFonts w:hint="eastAsia" w:ascii="Times New Roman" w:hAnsi="Times New Roman" w:eastAsia="方正仿宋_GBK"/>
          <w:color w:val="auto"/>
          <w:sz w:val="32"/>
          <w:szCs w:val="32"/>
        </w:rPr>
        <w:t>。</w:t>
      </w:r>
    </w:p>
    <w:p>
      <w:pPr>
        <w:keepNext w:val="0"/>
        <w:keepLines w:val="0"/>
        <w:pageBreakBefore w:val="0"/>
        <w:widowControl w:val="0"/>
        <w:numPr>
          <w:ilvl w:val="0"/>
          <w:numId w:val="0"/>
        </w:numPr>
        <w:kinsoku/>
        <w:wordWrap/>
        <w:overflowPunct/>
        <w:topLinePunct w:val="0"/>
        <w:bidi w:val="0"/>
        <w:adjustRightInd/>
        <w:snapToGrid/>
        <w:spacing w:beforeAutospacing="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4.比较情况。本部门2020年度一般公共预算财政拨款支出主要用于以下几个方面：</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（1）社会保障与就业支出</w:t>
      </w:r>
      <w:r>
        <w:rPr>
          <w:rFonts w:hint="eastAsia" w:ascii="Times New Roman" w:hAnsi="Times New Roman" w:eastAsia="方正仿宋_GBK"/>
          <w:color w:val="auto"/>
          <w:sz w:val="32"/>
          <w:szCs w:val="32"/>
          <w:lang w:val="en-US" w:eastAsia="zh-CN"/>
        </w:rPr>
        <w:t>73.21</w:t>
      </w:r>
      <w:r>
        <w:rPr>
          <w:rFonts w:hint="eastAsia" w:ascii="Times New Roman" w:hAnsi="Times New Roman" w:eastAsia="方正仿宋_GBK"/>
          <w:color w:val="auto"/>
          <w:sz w:val="32"/>
          <w:szCs w:val="32"/>
        </w:rPr>
        <w:t>万元，占</w:t>
      </w:r>
      <w:r>
        <w:rPr>
          <w:rFonts w:hint="eastAsia" w:ascii="Times New Roman" w:hAnsi="Times New Roman" w:eastAsia="方正仿宋_GBK"/>
          <w:color w:val="auto"/>
          <w:sz w:val="32"/>
          <w:szCs w:val="32"/>
          <w:lang w:val="en-US" w:eastAsia="zh-CN"/>
        </w:rPr>
        <w:t>6.4</w:t>
      </w:r>
      <w:r>
        <w:rPr>
          <w:rFonts w:hint="eastAsia" w:ascii="Times New Roman" w:hAnsi="Times New Roman" w:eastAsia="方正仿宋_GBK"/>
          <w:color w:val="auto"/>
          <w:sz w:val="32"/>
          <w:szCs w:val="32"/>
        </w:rPr>
        <w:t>%，较年初预算数增加</w:t>
      </w:r>
      <w:r>
        <w:rPr>
          <w:rFonts w:hint="eastAsia" w:ascii="Times New Roman" w:hAnsi="Times New Roman" w:eastAsia="方正仿宋_GBK"/>
          <w:color w:val="auto"/>
          <w:sz w:val="32"/>
          <w:szCs w:val="32"/>
          <w:lang w:val="en-US" w:eastAsia="zh-CN"/>
        </w:rPr>
        <w:t>5.24</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7.2</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eastAsia="zh-CN"/>
        </w:rPr>
        <w:t>人员工资调整追加工资支出和</w:t>
      </w:r>
      <w:r>
        <w:rPr>
          <w:rFonts w:hint="eastAsia" w:ascii="Times New Roman" w:hAnsi="Times New Roman" w:eastAsia="方正仿宋_GBK"/>
          <w:color w:val="auto"/>
          <w:sz w:val="32"/>
          <w:szCs w:val="32"/>
        </w:rPr>
        <w:t>离退休人员健康休养费</w:t>
      </w:r>
      <w:r>
        <w:rPr>
          <w:rFonts w:hint="eastAsia" w:ascii="Times New Roman" w:hAnsi="Times New Roman" w:eastAsia="方正仿宋_GBK"/>
          <w:color w:val="auto"/>
          <w:sz w:val="32"/>
          <w:szCs w:val="32"/>
          <w:lang w:val="en-US" w:eastAsia="zh-CN"/>
        </w:rPr>
        <w:t>5.24万元</w:t>
      </w:r>
      <w:r>
        <w:rPr>
          <w:rFonts w:hint="eastAsia" w:ascii="Times New Roman" w:hAnsi="Times New Roman" w:eastAsia="方正仿宋_GBK"/>
          <w:color w:val="auto"/>
          <w:sz w:val="32"/>
          <w:szCs w:val="32"/>
        </w:rPr>
        <w:t>。</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w:t>
      </w:r>
      <w:r>
        <w:rPr>
          <w:rFonts w:hint="eastAsia" w:ascii="Times New Roman" w:hAnsi="Times New Roman" w:eastAsia="方正仿宋_GBK"/>
          <w:color w:val="auto"/>
          <w:sz w:val="32"/>
          <w:szCs w:val="32"/>
          <w:lang w:val="en-US" w:eastAsia="zh-CN"/>
        </w:rPr>
        <w:t>2</w:t>
      </w:r>
      <w:r>
        <w:rPr>
          <w:rFonts w:hint="eastAsia" w:ascii="Times New Roman" w:hAnsi="Times New Roman" w:eastAsia="方正仿宋_GBK"/>
          <w:color w:val="auto"/>
          <w:sz w:val="32"/>
          <w:szCs w:val="32"/>
        </w:rPr>
        <w:t>）卫生健康支出</w:t>
      </w:r>
      <w:r>
        <w:rPr>
          <w:rFonts w:hint="eastAsia" w:ascii="Times New Roman" w:hAnsi="Times New Roman" w:eastAsia="方正仿宋_GBK"/>
          <w:color w:val="auto"/>
          <w:sz w:val="32"/>
          <w:szCs w:val="32"/>
          <w:lang w:val="en-US" w:eastAsia="zh-CN"/>
        </w:rPr>
        <w:t>20.79</w:t>
      </w:r>
      <w:r>
        <w:rPr>
          <w:rFonts w:hint="eastAsia" w:ascii="Times New Roman" w:hAnsi="Times New Roman" w:eastAsia="方正仿宋_GBK"/>
          <w:color w:val="auto"/>
          <w:sz w:val="32"/>
          <w:szCs w:val="32"/>
        </w:rPr>
        <w:t>万元，占</w:t>
      </w:r>
      <w:r>
        <w:rPr>
          <w:rFonts w:hint="eastAsia" w:ascii="Times New Roman" w:hAnsi="Times New Roman" w:eastAsia="方正仿宋_GBK"/>
          <w:color w:val="auto"/>
          <w:sz w:val="32"/>
          <w:szCs w:val="32"/>
          <w:lang w:val="en-US" w:eastAsia="zh-CN"/>
        </w:rPr>
        <w:t>1.8</w:t>
      </w:r>
      <w:r>
        <w:rPr>
          <w:rFonts w:hint="eastAsia" w:ascii="Times New Roman" w:hAnsi="Times New Roman" w:eastAsia="方正仿宋_GBK"/>
          <w:color w:val="auto"/>
          <w:sz w:val="32"/>
          <w:szCs w:val="32"/>
        </w:rPr>
        <w:t>%，</w:t>
      </w:r>
      <w:r>
        <w:rPr>
          <w:rFonts w:hint="eastAsia" w:ascii="Times New Roman" w:hAnsi="Times New Roman" w:eastAsia="方正仿宋_GBK"/>
          <w:color w:val="auto"/>
          <w:sz w:val="32"/>
          <w:szCs w:val="32"/>
          <w:lang w:eastAsia="zh-CN"/>
        </w:rPr>
        <w:t>与</w:t>
      </w:r>
      <w:r>
        <w:rPr>
          <w:rFonts w:hint="eastAsia" w:ascii="Times New Roman" w:hAnsi="Times New Roman" w:eastAsia="方正仿宋_GBK"/>
          <w:color w:val="auto"/>
          <w:sz w:val="32"/>
          <w:szCs w:val="32"/>
        </w:rPr>
        <w:t>年初预算数</w:t>
      </w:r>
      <w:r>
        <w:rPr>
          <w:rFonts w:hint="eastAsia" w:ascii="Times New Roman" w:hAnsi="Times New Roman" w:eastAsia="方正仿宋_GBK"/>
          <w:color w:val="auto"/>
          <w:sz w:val="32"/>
          <w:szCs w:val="32"/>
          <w:lang w:eastAsia="zh-CN"/>
        </w:rPr>
        <w:t>一致</w:t>
      </w:r>
      <w:r>
        <w:rPr>
          <w:rFonts w:hint="eastAsia" w:ascii="Times New Roman" w:hAnsi="Times New Roman" w:eastAsia="方正仿宋_GBK"/>
          <w:color w:val="auto"/>
          <w:sz w:val="32"/>
          <w:szCs w:val="32"/>
        </w:rPr>
        <w:t>。</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w:t>
      </w:r>
      <w:r>
        <w:rPr>
          <w:rFonts w:hint="eastAsia" w:ascii="Times New Roman" w:hAnsi="Times New Roman" w:eastAsia="方正仿宋_GBK"/>
          <w:color w:val="auto"/>
          <w:sz w:val="32"/>
          <w:szCs w:val="32"/>
          <w:lang w:val="en-US" w:eastAsia="zh-CN"/>
        </w:rPr>
        <w:t>3</w:t>
      </w:r>
      <w:r>
        <w:rPr>
          <w:rFonts w:hint="eastAsia" w:ascii="Times New Roman" w:hAnsi="Times New Roman" w:eastAsia="方正仿宋_GBK"/>
          <w:color w:val="auto"/>
          <w:sz w:val="32"/>
          <w:szCs w:val="32"/>
        </w:rPr>
        <w:t>）交通运输支出</w:t>
      </w:r>
      <w:r>
        <w:rPr>
          <w:rFonts w:hint="eastAsia" w:ascii="Times New Roman" w:hAnsi="Times New Roman" w:eastAsia="方正仿宋_GBK"/>
          <w:color w:val="auto"/>
          <w:sz w:val="32"/>
          <w:szCs w:val="32"/>
          <w:lang w:val="en-US" w:eastAsia="zh-CN"/>
        </w:rPr>
        <w:t>1034.8</w:t>
      </w:r>
      <w:r>
        <w:rPr>
          <w:rFonts w:hint="eastAsia" w:ascii="Times New Roman" w:hAnsi="Times New Roman" w:eastAsia="方正仿宋_GBK"/>
          <w:color w:val="auto"/>
          <w:sz w:val="32"/>
          <w:szCs w:val="32"/>
        </w:rPr>
        <w:t>万元，占</w:t>
      </w:r>
      <w:r>
        <w:rPr>
          <w:rFonts w:hint="eastAsia" w:ascii="Times New Roman" w:hAnsi="Times New Roman" w:eastAsia="方正仿宋_GBK"/>
          <w:color w:val="auto"/>
          <w:sz w:val="32"/>
          <w:szCs w:val="32"/>
          <w:lang w:val="en-US" w:eastAsia="zh-CN"/>
        </w:rPr>
        <w:t>90.5</w:t>
      </w:r>
      <w:r>
        <w:rPr>
          <w:rFonts w:hint="eastAsia" w:ascii="Times New Roman" w:hAnsi="Times New Roman" w:eastAsia="方正仿宋_GBK"/>
          <w:color w:val="auto"/>
          <w:sz w:val="32"/>
          <w:szCs w:val="32"/>
        </w:rPr>
        <w:t>%，较年初预算数增加</w:t>
      </w:r>
      <w:r>
        <w:rPr>
          <w:rFonts w:hint="eastAsia" w:ascii="Times New Roman" w:hAnsi="Times New Roman" w:eastAsia="方正仿宋_GBK"/>
          <w:color w:val="auto"/>
          <w:sz w:val="32"/>
          <w:szCs w:val="32"/>
          <w:lang w:val="en-US" w:eastAsia="zh-CN"/>
        </w:rPr>
        <w:t>362.12</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53.8%</w:t>
      </w:r>
      <w:r>
        <w:rPr>
          <w:rFonts w:hint="eastAsia" w:ascii="Times New Roman" w:hAnsi="Times New Roman" w:eastAsia="方正仿宋_GBK"/>
          <w:color w:val="auto"/>
          <w:sz w:val="32"/>
          <w:szCs w:val="32"/>
        </w:rPr>
        <w:t>，主要原因是年中</w:t>
      </w:r>
      <w:r>
        <w:rPr>
          <w:rFonts w:hint="eastAsia" w:ascii="Times New Roman" w:hAnsi="Times New Roman" w:eastAsia="方正仿宋_GBK"/>
          <w:color w:val="auto"/>
          <w:sz w:val="32"/>
          <w:szCs w:val="32"/>
          <w:lang w:eastAsia="zh-CN"/>
        </w:rPr>
        <w:t>追</w:t>
      </w:r>
      <w:r>
        <w:rPr>
          <w:rFonts w:hint="eastAsia" w:ascii="Times New Roman" w:hAnsi="Times New Roman" w:eastAsia="方正仿宋_GBK"/>
          <w:color w:val="auto"/>
          <w:sz w:val="32"/>
          <w:szCs w:val="32"/>
        </w:rPr>
        <w:t>加支出</w:t>
      </w:r>
      <w:r>
        <w:rPr>
          <w:rFonts w:hint="eastAsia" w:ascii="Times New Roman" w:hAnsi="Times New Roman" w:eastAsia="方正仿宋_GBK"/>
          <w:color w:val="auto"/>
          <w:sz w:val="32"/>
          <w:szCs w:val="32"/>
          <w:lang w:eastAsia="zh-CN"/>
        </w:rPr>
        <w:t>抗疫国债</w:t>
      </w:r>
      <w:r>
        <w:rPr>
          <w:rFonts w:hint="eastAsia" w:ascii="Times New Roman" w:hAnsi="Times New Roman" w:eastAsia="方正仿宋_GBK"/>
          <w:color w:val="auto"/>
          <w:sz w:val="32"/>
          <w:szCs w:val="32"/>
        </w:rPr>
        <w:t>专项经费100万元</w:t>
      </w:r>
      <w:r>
        <w:rPr>
          <w:rFonts w:hint="eastAsia" w:ascii="Times New Roman" w:hAnsi="Times New Roman" w:eastAsia="方正仿宋_GBK"/>
          <w:color w:val="auto"/>
          <w:sz w:val="32"/>
          <w:szCs w:val="32"/>
          <w:lang w:eastAsia="zh-CN"/>
        </w:rPr>
        <w:t>、</w:t>
      </w:r>
      <w:r>
        <w:rPr>
          <w:rFonts w:hint="eastAsia" w:ascii="Times New Roman" w:hAnsi="Times New Roman" w:eastAsia="仿宋_GB2312" w:cs="Times New Roman"/>
          <w:color w:val="auto"/>
          <w:sz w:val="32"/>
          <w:szCs w:val="32"/>
        </w:rPr>
        <w:t>2019年争资工作补助经费60万元</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rPr>
        <w:t>成品油补贴0.49万元</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rPr>
        <w:t>2020</w:t>
      </w:r>
      <w:r>
        <w:rPr>
          <w:rFonts w:hint="eastAsia" w:ascii="Times New Roman" w:hAnsi="Times New Roman" w:eastAsia="仿宋_GB2312" w:cs="Times New Roman"/>
          <w:color w:val="auto"/>
          <w:sz w:val="32"/>
          <w:szCs w:val="32"/>
          <w:lang w:eastAsia="zh-CN"/>
        </w:rPr>
        <w:t>安保工程专项经费</w:t>
      </w:r>
      <w:r>
        <w:rPr>
          <w:rFonts w:hint="eastAsia" w:ascii="Times New Roman" w:hAnsi="Times New Roman" w:eastAsia="仿宋_GB2312" w:cs="Times New Roman"/>
          <w:color w:val="auto"/>
          <w:sz w:val="32"/>
          <w:szCs w:val="32"/>
        </w:rPr>
        <w:t>181万元</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rPr>
        <w:t>防汛抢险补助7万元</w:t>
      </w:r>
      <w:r>
        <w:rPr>
          <w:rFonts w:hint="eastAsia" w:ascii="Times New Roman" w:hAnsi="Times New Roman" w:eastAsia="仿宋_GB2312" w:cs="Times New Roman"/>
          <w:color w:val="auto"/>
          <w:sz w:val="32"/>
          <w:szCs w:val="32"/>
          <w:lang w:eastAsia="zh-CN"/>
        </w:rPr>
        <w:t>、</w:t>
      </w:r>
      <w:r>
        <w:rPr>
          <w:rFonts w:hint="eastAsia" w:ascii="Times New Roman" w:hAnsi="Times New Roman" w:eastAsia="方正仿宋_GBK"/>
          <w:color w:val="auto"/>
          <w:sz w:val="32"/>
          <w:szCs w:val="32"/>
          <w:lang w:eastAsia="zh-CN"/>
        </w:rPr>
        <w:t>人员工资调整追加工资支出</w:t>
      </w:r>
      <w:r>
        <w:rPr>
          <w:rFonts w:hint="eastAsia" w:ascii="Times New Roman" w:hAnsi="Times New Roman" w:eastAsia="仿宋_GB2312" w:cs="Times New Roman"/>
          <w:color w:val="auto"/>
          <w:sz w:val="32"/>
          <w:szCs w:val="32"/>
        </w:rPr>
        <w:t>1</w:t>
      </w:r>
      <w:r>
        <w:rPr>
          <w:rFonts w:hint="eastAsia" w:ascii="Times New Roman" w:hAnsi="Times New Roman" w:eastAsia="仿宋_GB2312" w:cs="Times New Roman"/>
          <w:color w:val="auto"/>
          <w:sz w:val="32"/>
          <w:szCs w:val="32"/>
          <w:lang w:val="en-US" w:eastAsia="zh-CN"/>
        </w:rPr>
        <w:t>3.63</w:t>
      </w:r>
      <w:r>
        <w:rPr>
          <w:rFonts w:hint="eastAsia" w:ascii="Times New Roman" w:hAnsi="Times New Roman" w:eastAsia="仿宋_GB2312" w:cs="Times New Roman"/>
          <w:color w:val="auto"/>
          <w:sz w:val="32"/>
          <w:szCs w:val="32"/>
        </w:rPr>
        <w:t>万</w:t>
      </w:r>
      <w:r>
        <w:rPr>
          <w:rFonts w:hint="eastAsia" w:ascii="Times New Roman" w:hAnsi="Times New Roman" w:eastAsia="方正仿宋_GBK"/>
          <w:color w:val="auto"/>
          <w:sz w:val="32"/>
          <w:szCs w:val="32"/>
        </w:rPr>
        <w:t>。</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w:t>
      </w:r>
      <w:r>
        <w:rPr>
          <w:rFonts w:hint="eastAsia" w:ascii="Times New Roman" w:hAnsi="Times New Roman" w:eastAsia="方正仿宋_GBK"/>
          <w:color w:val="auto"/>
          <w:sz w:val="32"/>
          <w:szCs w:val="32"/>
          <w:lang w:val="en-US" w:eastAsia="zh-CN"/>
        </w:rPr>
        <w:t>4</w:t>
      </w:r>
      <w:r>
        <w:rPr>
          <w:rFonts w:hint="eastAsia" w:ascii="Times New Roman" w:hAnsi="Times New Roman" w:eastAsia="方正仿宋_GBK"/>
          <w:color w:val="auto"/>
          <w:sz w:val="32"/>
          <w:szCs w:val="32"/>
        </w:rPr>
        <w:t>）住房保障支出</w:t>
      </w:r>
      <w:r>
        <w:rPr>
          <w:rFonts w:hint="eastAsia" w:ascii="Times New Roman" w:hAnsi="Times New Roman" w:eastAsia="方正仿宋_GBK"/>
          <w:color w:val="auto"/>
          <w:sz w:val="32"/>
          <w:szCs w:val="32"/>
          <w:lang w:val="en-US" w:eastAsia="zh-CN"/>
        </w:rPr>
        <w:t>15.29</w:t>
      </w:r>
      <w:r>
        <w:rPr>
          <w:rFonts w:hint="eastAsia" w:ascii="Times New Roman" w:hAnsi="Times New Roman" w:eastAsia="方正仿宋_GBK"/>
          <w:color w:val="auto"/>
          <w:sz w:val="32"/>
          <w:szCs w:val="32"/>
        </w:rPr>
        <w:t>万元，占</w:t>
      </w:r>
      <w:r>
        <w:rPr>
          <w:rFonts w:hint="eastAsia" w:ascii="Times New Roman" w:hAnsi="Times New Roman" w:eastAsia="方正仿宋_GBK"/>
          <w:color w:val="auto"/>
          <w:sz w:val="32"/>
          <w:szCs w:val="32"/>
          <w:lang w:val="en-US" w:eastAsia="zh-CN"/>
        </w:rPr>
        <w:t>1.3</w:t>
      </w:r>
      <w:r>
        <w:rPr>
          <w:rFonts w:hint="eastAsia" w:ascii="Times New Roman" w:hAnsi="Times New Roman" w:eastAsia="方正仿宋_GBK"/>
          <w:color w:val="auto"/>
          <w:sz w:val="32"/>
          <w:szCs w:val="32"/>
        </w:rPr>
        <w:t>%，</w:t>
      </w:r>
      <w:r>
        <w:rPr>
          <w:rFonts w:hint="eastAsia" w:ascii="Times New Roman" w:hAnsi="Times New Roman" w:eastAsia="方正仿宋_GBK"/>
          <w:color w:val="auto"/>
          <w:sz w:val="32"/>
          <w:szCs w:val="32"/>
          <w:lang w:eastAsia="zh-CN"/>
        </w:rPr>
        <w:t>与</w:t>
      </w:r>
      <w:r>
        <w:rPr>
          <w:rFonts w:hint="eastAsia" w:ascii="Times New Roman" w:hAnsi="Times New Roman" w:eastAsia="方正仿宋_GBK"/>
          <w:color w:val="auto"/>
          <w:sz w:val="32"/>
          <w:szCs w:val="32"/>
        </w:rPr>
        <w:t>年初预算数</w:t>
      </w:r>
      <w:r>
        <w:rPr>
          <w:rFonts w:hint="eastAsia" w:ascii="Times New Roman" w:hAnsi="Times New Roman" w:eastAsia="方正仿宋_GBK"/>
          <w:color w:val="auto"/>
          <w:sz w:val="32"/>
          <w:szCs w:val="32"/>
          <w:lang w:eastAsia="zh-CN"/>
        </w:rPr>
        <w:t>一致</w:t>
      </w:r>
      <w:r>
        <w:rPr>
          <w:rFonts w:hint="eastAsia" w:ascii="Times New Roman" w:hAnsi="Times New Roman" w:eastAsia="方正仿宋_GBK"/>
          <w:color w:val="auto"/>
          <w:sz w:val="32"/>
          <w:szCs w:val="32"/>
        </w:rPr>
        <w:t>。</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Fonts w:hint="eastAsia" w:ascii="方正楷体_GBK" w:hAnsi="方正楷体_GBK" w:eastAsia="方正楷体_GBK" w:cs="方正楷体_GBK"/>
          <w:b w:val="0"/>
          <w:bCs w:val="0"/>
          <w:color w:val="auto"/>
          <w:sz w:val="32"/>
          <w:szCs w:val="32"/>
        </w:rPr>
      </w:pPr>
      <w:r>
        <w:rPr>
          <w:rStyle w:val="10"/>
          <w:rFonts w:hint="eastAsia" w:ascii="方正楷体_GBK" w:hAnsi="方正楷体_GBK" w:eastAsia="方正楷体_GBK" w:cs="方正楷体_GBK"/>
          <w:b w:val="0"/>
          <w:bCs w:val="0"/>
          <w:color w:val="auto"/>
          <w:sz w:val="32"/>
          <w:szCs w:val="32"/>
        </w:rPr>
        <w:t>（四）一般公共预算财政拨款基本支出决算情况说明</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2020年度一般公共财政拨款基本支出</w:t>
      </w:r>
      <w:r>
        <w:rPr>
          <w:rFonts w:hint="eastAsia" w:ascii="Times New Roman" w:hAnsi="Times New Roman" w:eastAsia="方正仿宋_GBK"/>
          <w:color w:val="auto"/>
          <w:sz w:val="32"/>
          <w:szCs w:val="32"/>
          <w:lang w:val="en-US" w:eastAsia="zh-CN"/>
        </w:rPr>
        <w:t>435</w:t>
      </w:r>
      <w:r>
        <w:rPr>
          <w:rFonts w:hint="eastAsia" w:ascii="Times New Roman" w:hAnsi="Times New Roman" w:eastAsia="方正仿宋_GBK"/>
          <w:color w:val="auto"/>
          <w:sz w:val="32"/>
          <w:szCs w:val="32"/>
        </w:rPr>
        <w:t>万元。其中：人员经费</w:t>
      </w:r>
      <w:r>
        <w:rPr>
          <w:rFonts w:hint="eastAsia" w:ascii="Times New Roman" w:hAnsi="Times New Roman" w:eastAsia="方正仿宋_GBK"/>
          <w:color w:val="auto"/>
          <w:sz w:val="32"/>
          <w:szCs w:val="32"/>
          <w:lang w:val="en-US" w:eastAsia="zh-CN"/>
        </w:rPr>
        <w:t>335.85</w:t>
      </w:r>
      <w:r>
        <w:rPr>
          <w:rFonts w:hint="eastAsia" w:ascii="Times New Roman" w:hAnsi="Times New Roman" w:eastAsia="方正仿宋_GBK"/>
          <w:color w:val="auto"/>
          <w:sz w:val="32"/>
          <w:szCs w:val="32"/>
        </w:rPr>
        <w:t>万元，较上年决算数增加</w:t>
      </w:r>
      <w:r>
        <w:rPr>
          <w:rFonts w:hint="eastAsia" w:ascii="Times New Roman" w:hAnsi="Times New Roman" w:eastAsia="方正仿宋_GBK"/>
          <w:color w:val="auto"/>
          <w:sz w:val="32"/>
          <w:szCs w:val="32"/>
          <w:lang w:val="en-US" w:eastAsia="zh-CN"/>
        </w:rPr>
        <w:t>9.9</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3.0</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eastAsia="zh-CN"/>
        </w:rPr>
        <w:t>本年增加一名退休人员，退休人员经费增加，另补缴一名退休军人社保费</w:t>
      </w:r>
      <w:r>
        <w:rPr>
          <w:rFonts w:hint="eastAsia" w:ascii="Times New Roman" w:hAnsi="Times New Roman" w:eastAsia="方正仿宋_GBK"/>
          <w:color w:val="auto"/>
          <w:sz w:val="32"/>
          <w:szCs w:val="32"/>
          <w:lang w:val="en-US" w:eastAsia="zh-CN"/>
        </w:rPr>
        <w:t>8.6万元</w:t>
      </w:r>
      <w:r>
        <w:rPr>
          <w:rFonts w:hint="eastAsia" w:ascii="Times New Roman" w:hAnsi="Times New Roman" w:eastAsia="方正仿宋_GBK"/>
          <w:color w:val="auto"/>
          <w:sz w:val="32"/>
          <w:szCs w:val="32"/>
        </w:rPr>
        <w:t>。</w:t>
      </w:r>
      <w:r>
        <w:rPr>
          <w:rFonts w:hint="eastAsia" w:ascii="Times New Roman" w:hAnsi="Times New Roman" w:eastAsia="方正仿宋_GBK" w:cs="方正仿宋_GBK"/>
          <w:color w:val="auto"/>
          <w:sz w:val="32"/>
          <w:szCs w:val="32"/>
          <w:shd w:val="clear" w:fill="FFFFFF"/>
          <w:lang w:eastAsia="zh-CN"/>
        </w:rPr>
        <w:t>人员经费用途主要包括基本工资、津贴补贴、奖金、绩效工资、社会保障缴费、住房公积金、退休费、医疗费等方面。</w:t>
      </w:r>
      <w:r>
        <w:rPr>
          <w:rFonts w:hint="eastAsia" w:ascii="Times New Roman" w:hAnsi="Times New Roman" w:eastAsia="方正仿宋_GBK"/>
          <w:color w:val="auto"/>
          <w:sz w:val="32"/>
          <w:szCs w:val="32"/>
        </w:rPr>
        <w:t>公用经费</w:t>
      </w:r>
      <w:r>
        <w:rPr>
          <w:rFonts w:hint="eastAsia" w:ascii="Times New Roman" w:hAnsi="Times New Roman" w:eastAsia="方正仿宋_GBK"/>
          <w:color w:val="auto"/>
          <w:sz w:val="32"/>
          <w:szCs w:val="32"/>
          <w:lang w:val="en-US" w:eastAsia="zh-CN"/>
        </w:rPr>
        <w:t>99.15</w:t>
      </w:r>
      <w:r>
        <w:rPr>
          <w:rFonts w:hint="eastAsia" w:ascii="Times New Roman" w:hAnsi="Times New Roman" w:eastAsia="方正仿宋_GBK"/>
          <w:color w:val="auto"/>
          <w:sz w:val="32"/>
          <w:szCs w:val="32"/>
        </w:rPr>
        <w:t>万元，较上年决算数减少</w:t>
      </w:r>
      <w:r>
        <w:rPr>
          <w:rFonts w:hint="eastAsia" w:ascii="Times New Roman" w:hAnsi="Times New Roman" w:eastAsia="方正仿宋_GBK"/>
          <w:color w:val="auto"/>
          <w:sz w:val="32"/>
          <w:szCs w:val="32"/>
          <w:lang w:val="en-US" w:eastAsia="zh-CN"/>
        </w:rPr>
        <w:t>21.98</w:t>
      </w:r>
      <w:r>
        <w:rPr>
          <w:rFonts w:hint="eastAsia" w:ascii="Times New Roman" w:hAnsi="Times New Roman" w:eastAsia="方正仿宋_GBK"/>
          <w:color w:val="auto"/>
          <w:sz w:val="32"/>
          <w:szCs w:val="32"/>
        </w:rPr>
        <w:t>万元，下降</w:t>
      </w:r>
      <w:r>
        <w:rPr>
          <w:rFonts w:hint="eastAsia" w:ascii="Times New Roman" w:hAnsi="Times New Roman" w:eastAsia="方正仿宋_GBK"/>
          <w:color w:val="auto"/>
          <w:sz w:val="32"/>
          <w:szCs w:val="32"/>
          <w:lang w:val="en-US" w:eastAsia="zh-CN"/>
        </w:rPr>
        <w:t>18.2</w:t>
      </w:r>
      <w:r>
        <w:rPr>
          <w:rFonts w:hint="eastAsia" w:ascii="Times New Roman" w:hAnsi="Times New Roman" w:eastAsia="方正仿宋_GBK"/>
          <w:color w:val="auto"/>
          <w:sz w:val="32"/>
          <w:szCs w:val="32"/>
        </w:rPr>
        <w:t>%，主要原因是</w:t>
      </w:r>
      <w:r>
        <w:rPr>
          <w:rFonts w:hint="eastAsia" w:ascii="Times New Roman" w:hAnsi="Times New Roman" w:eastAsia="方正仿宋_GBK" w:cs="方正仿宋_GBK"/>
          <w:color w:val="auto"/>
          <w:sz w:val="32"/>
          <w:szCs w:val="32"/>
          <w:shd w:val="clear" w:fill="FFFFFF"/>
          <w:lang w:eastAsia="zh-CN"/>
        </w:rPr>
        <w:t>厉行节约，办公设备购置减少</w:t>
      </w:r>
      <w:r>
        <w:rPr>
          <w:rFonts w:hint="eastAsia" w:ascii="Times New Roman" w:hAnsi="Times New Roman" w:eastAsia="方正仿宋_GBK"/>
          <w:color w:val="auto"/>
          <w:sz w:val="32"/>
          <w:szCs w:val="32"/>
        </w:rPr>
        <w:t>。公用经费用途主要包括</w:t>
      </w:r>
      <w:r>
        <w:rPr>
          <w:rFonts w:hint="eastAsia" w:ascii="Times New Roman" w:hAnsi="Times New Roman" w:eastAsia="方正仿宋_GBK" w:cs="方正仿宋_GBK"/>
          <w:color w:val="auto"/>
          <w:sz w:val="32"/>
          <w:szCs w:val="32"/>
          <w:shd w:val="clear" w:fill="FFFFFF"/>
          <w:lang w:eastAsia="zh-CN"/>
        </w:rPr>
        <w:t>办公费、印刷费、水费、电费、邮电费、差旅费、维修费、会议费、培训费、公务接待费、劳务费、工会经费、公务用车运行维护费等方面</w:t>
      </w:r>
      <w:r>
        <w:rPr>
          <w:rFonts w:hint="eastAsia" w:ascii="Times New Roman" w:hAnsi="Times New Roman" w:eastAsia="方正仿宋_GBK"/>
          <w:color w:val="auto"/>
          <w:sz w:val="32"/>
          <w:szCs w:val="32"/>
        </w:rPr>
        <w:t>。</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hint="eastAsia" w:ascii="方正楷体_GBK" w:hAnsi="方正楷体_GBK" w:eastAsia="方正楷体_GBK" w:cs="方正楷体_GBK"/>
          <w:b w:val="0"/>
          <w:bCs w:val="0"/>
          <w:color w:val="auto"/>
        </w:rPr>
      </w:pPr>
      <w:r>
        <w:rPr>
          <w:rStyle w:val="10"/>
          <w:rFonts w:hint="eastAsia" w:ascii="方正楷体_GBK" w:hAnsi="方正楷体_GBK" w:eastAsia="方正楷体_GBK" w:cs="方正楷体_GBK"/>
          <w:b w:val="0"/>
          <w:bCs w:val="0"/>
          <w:color w:val="auto"/>
          <w:sz w:val="32"/>
          <w:szCs w:val="32"/>
        </w:rPr>
        <w:t>（五）政府性基金预算收支决算情况说明</w:t>
      </w:r>
    </w:p>
    <w:p>
      <w:pPr>
        <w:keepNext w:val="0"/>
        <w:keepLines w:val="0"/>
        <w:pageBreakBefore w:val="0"/>
        <w:widowControl w:val="0"/>
        <w:kinsoku/>
        <w:wordWrap/>
        <w:overflowPunct/>
        <w:topLinePunct w:val="0"/>
        <w:bidi w:val="0"/>
        <w:adjustRightInd/>
        <w:snapToGrid/>
        <w:spacing w:line="594" w:lineRule="exact"/>
        <w:ind w:firstLine="660"/>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2020年度政府性基金预算财政拨款年初结转结余</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元，年末结转结余</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万元。本年收入</w:t>
      </w:r>
      <w:r>
        <w:rPr>
          <w:rFonts w:hint="eastAsia" w:ascii="Times New Roman" w:hAnsi="Times New Roman" w:eastAsia="方正仿宋_GBK"/>
          <w:color w:val="auto"/>
          <w:sz w:val="32"/>
          <w:szCs w:val="32"/>
          <w:lang w:val="en-US" w:eastAsia="zh-CN"/>
        </w:rPr>
        <w:t>1670</w:t>
      </w:r>
      <w:r>
        <w:rPr>
          <w:rFonts w:hint="eastAsia" w:ascii="Times New Roman" w:hAnsi="Times New Roman" w:eastAsia="方正仿宋_GBK"/>
          <w:color w:val="auto"/>
          <w:sz w:val="32"/>
          <w:szCs w:val="32"/>
        </w:rPr>
        <w:t>万元，较上年决算数增加</w:t>
      </w:r>
      <w:r>
        <w:rPr>
          <w:rFonts w:hint="eastAsia" w:ascii="Times New Roman" w:hAnsi="Times New Roman" w:eastAsia="方正仿宋_GBK"/>
          <w:color w:val="auto"/>
          <w:sz w:val="32"/>
          <w:szCs w:val="32"/>
          <w:lang w:val="en-US" w:eastAsia="zh-CN"/>
        </w:rPr>
        <w:t>1669.52</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3478.2</w:t>
      </w:r>
      <w:r>
        <w:rPr>
          <w:rFonts w:hint="eastAsia" w:ascii="Times New Roman" w:hAnsi="Times New Roman" w:eastAsia="方正仿宋_GBK"/>
          <w:color w:val="auto"/>
          <w:sz w:val="32"/>
          <w:szCs w:val="32"/>
        </w:rPr>
        <w:t>%，主要原因是</w:t>
      </w:r>
      <w:r>
        <w:rPr>
          <w:rFonts w:hint="eastAsia"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eastAsia="zh-CN"/>
        </w:rPr>
        <w:t>中</w:t>
      </w:r>
      <w:r>
        <w:rPr>
          <w:rFonts w:hint="eastAsia" w:ascii="Times New Roman" w:hAnsi="Times New Roman" w:eastAsia="仿宋_GB2312" w:cs="Times New Roman"/>
          <w:color w:val="auto"/>
          <w:sz w:val="32"/>
          <w:szCs w:val="32"/>
        </w:rPr>
        <w:t>追加普通干线公路</w:t>
      </w:r>
      <w:r>
        <w:rPr>
          <w:rFonts w:hint="eastAsia" w:ascii="Times New Roman" w:hAnsi="Times New Roman" w:eastAsia="仿宋_GB2312" w:cs="Times New Roman"/>
          <w:color w:val="auto"/>
          <w:sz w:val="32"/>
          <w:szCs w:val="32"/>
          <w:lang w:eastAsia="zh-CN"/>
        </w:rPr>
        <w:t>和</w:t>
      </w:r>
      <w:r>
        <w:rPr>
          <w:rFonts w:hint="eastAsia" w:ascii="Times New Roman" w:hAnsi="Times New Roman" w:eastAsia="仿宋_GB2312" w:cs="Times New Roman"/>
          <w:color w:val="auto"/>
          <w:sz w:val="32"/>
          <w:szCs w:val="32"/>
        </w:rPr>
        <w:t>“四好农村路”市级补助资金</w:t>
      </w:r>
      <w:r>
        <w:rPr>
          <w:rFonts w:hint="eastAsia" w:ascii="Times New Roman" w:hAnsi="Times New Roman" w:eastAsia="仿宋_GB2312" w:cs="Times New Roman"/>
          <w:color w:val="auto"/>
          <w:sz w:val="32"/>
          <w:szCs w:val="32"/>
          <w:lang w:val="en-US" w:eastAsia="zh-CN"/>
        </w:rPr>
        <w:t>1670万元</w:t>
      </w:r>
      <w:r>
        <w:rPr>
          <w:rFonts w:hint="eastAsia" w:ascii="Times New Roman" w:hAnsi="Times New Roman" w:eastAsia="方正仿宋_GBK"/>
          <w:color w:val="auto"/>
          <w:sz w:val="32"/>
          <w:szCs w:val="32"/>
        </w:rPr>
        <w:t>。本年支出</w:t>
      </w:r>
      <w:r>
        <w:rPr>
          <w:rFonts w:hint="eastAsia" w:ascii="Times New Roman" w:hAnsi="Times New Roman" w:eastAsia="方正仿宋_GBK"/>
          <w:color w:val="auto"/>
          <w:sz w:val="32"/>
          <w:szCs w:val="32"/>
          <w:lang w:val="en-US" w:eastAsia="zh-CN"/>
        </w:rPr>
        <w:t>1670</w:t>
      </w:r>
      <w:r>
        <w:rPr>
          <w:rFonts w:hint="eastAsia" w:ascii="Times New Roman" w:hAnsi="Times New Roman" w:eastAsia="方正仿宋_GBK"/>
          <w:color w:val="auto"/>
          <w:sz w:val="32"/>
          <w:szCs w:val="32"/>
        </w:rPr>
        <w:t>万元，较上年决算数增加</w:t>
      </w:r>
      <w:r>
        <w:rPr>
          <w:rFonts w:hint="eastAsia" w:ascii="Times New Roman" w:hAnsi="Times New Roman" w:eastAsia="方正仿宋_GBK"/>
          <w:color w:val="auto"/>
          <w:sz w:val="32"/>
          <w:szCs w:val="32"/>
          <w:lang w:val="en-US" w:eastAsia="zh-CN"/>
        </w:rPr>
        <w:t>1669.52</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3478.2</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eastAsia="zh-CN"/>
        </w:rPr>
        <w:t>增加了</w:t>
      </w:r>
      <w:r>
        <w:rPr>
          <w:rFonts w:hint="eastAsia" w:ascii="Times New Roman" w:hAnsi="Times New Roman" w:eastAsia="仿宋_GB2312" w:cs="Times New Roman"/>
          <w:color w:val="auto"/>
          <w:sz w:val="32"/>
          <w:szCs w:val="32"/>
        </w:rPr>
        <w:t>普通干线公路</w:t>
      </w:r>
      <w:r>
        <w:rPr>
          <w:rFonts w:hint="eastAsia" w:ascii="Times New Roman" w:hAnsi="Times New Roman" w:eastAsia="仿宋_GB2312" w:cs="Times New Roman"/>
          <w:color w:val="auto"/>
          <w:sz w:val="32"/>
          <w:szCs w:val="32"/>
          <w:lang w:eastAsia="zh-CN"/>
        </w:rPr>
        <w:t>和</w:t>
      </w:r>
      <w:r>
        <w:rPr>
          <w:rFonts w:hint="eastAsia" w:ascii="Times New Roman" w:hAnsi="Times New Roman" w:eastAsia="仿宋_GB2312" w:cs="Times New Roman"/>
          <w:color w:val="auto"/>
          <w:sz w:val="32"/>
          <w:szCs w:val="32"/>
        </w:rPr>
        <w:t>“四好农村路”</w:t>
      </w:r>
      <w:r>
        <w:rPr>
          <w:rFonts w:hint="eastAsia" w:ascii="Times New Roman" w:hAnsi="Times New Roman" w:eastAsia="仿宋_GB2312" w:cs="Times New Roman"/>
          <w:color w:val="auto"/>
          <w:sz w:val="32"/>
          <w:szCs w:val="32"/>
          <w:lang w:eastAsia="zh-CN"/>
        </w:rPr>
        <w:t>等基础设施建设支出</w:t>
      </w:r>
      <w:r>
        <w:rPr>
          <w:rFonts w:hint="eastAsia" w:ascii="Times New Roman" w:hAnsi="Times New Roman" w:eastAsia="仿宋_GB2312" w:cs="Times New Roman"/>
          <w:color w:val="auto"/>
          <w:sz w:val="32"/>
          <w:szCs w:val="32"/>
          <w:lang w:val="en-US" w:eastAsia="zh-CN"/>
        </w:rPr>
        <w:t>1670万元</w:t>
      </w:r>
      <w:r>
        <w:rPr>
          <w:rFonts w:hint="eastAsia" w:ascii="Times New Roman" w:hAnsi="Times New Roman" w:eastAsia="方正仿宋_GBK"/>
          <w:color w:val="auto"/>
          <w:sz w:val="32"/>
          <w:szCs w:val="32"/>
        </w:rPr>
        <w:t>。</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hint="eastAsia" w:ascii="方正楷体_GBK" w:hAnsi="方正楷体_GBK" w:eastAsia="方正楷体_GBK" w:cs="方正楷体_GBK"/>
          <w:b w:val="0"/>
          <w:bCs w:val="0"/>
          <w:color w:val="auto"/>
          <w:sz w:val="32"/>
          <w:szCs w:val="32"/>
        </w:rPr>
      </w:pPr>
      <w:r>
        <w:rPr>
          <w:rStyle w:val="10"/>
          <w:rFonts w:hint="eastAsia" w:ascii="方正楷体_GBK" w:hAnsi="方正楷体_GBK" w:eastAsia="方正楷体_GBK" w:cs="方正楷体_GBK"/>
          <w:b w:val="0"/>
          <w:bCs w:val="0"/>
          <w:color w:val="auto"/>
          <w:sz w:val="32"/>
          <w:szCs w:val="32"/>
        </w:rPr>
        <w:t>（六）国有资本经营预算财政拨款支出决算情况说明</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olor w:val="auto"/>
          <w:sz w:val="32"/>
          <w:szCs w:val="32"/>
          <w:highlight w:val="none"/>
        </w:rPr>
        <w:t xml:space="preserve">  </w:t>
      </w:r>
      <w:r>
        <w:rPr>
          <w:rFonts w:hint="eastAsia" w:ascii="Times New Roman" w:hAnsi="Times New Roman" w:eastAsia="方正仿宋_GBK" w:cs="方正仿宋_GBK"/>
          <w:color w:val="auto"/>
          <w:sz w:val="32"/>
          <w:szCs w:val="32"/>
          <w:lang w:val="en-US" w:eastAsia="zh-CN" w:bidi="ar-SA"/>
        </w:rPr>
        <w:t>本部门</w:t>
      </w:r>
      <w:r>
        <w:rPr>
          <w:rFonts w:hint="eastAsia" w:ascii="Times New Roman" w:hAnsi="Times New Roman" w:eastAsia="仿宋_GB2312" w:cs="Times New Roman"/>
          <w:color w:val="auto"/>
          <w:sz w:val="32"/>
          <w:szCs w:val="32"/>
          <w:lang w:val="en-US" w:eastAsia="zh-CN" w:bidi="ar-SA"/>
        </w:rPr>
        <w:t>2020</w:t>
      </w:r>
      <w:r>
        <w:rPr>
          <w:rFonts w:hint="eastAsia" w:ascii="Times New Roman" w:hAnsi="Times New Roman" w:eastAsia="方正仿宋_GBK" w:cs="方正仿宋_GBK"/>
          <w:color w:val="auto"/>
          <w:sz w:val="32"/>
          <w:szCs w:val="32"/>
          <w:lang w:val="en-US" w:eastAsia="zh-CN" w:bidi="ar-SA"/>
        </w:rPr>
        <w:t>年度无国有资本经营预算财政拨款支出。</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ascii="Times New Roman" w:hAnsi="Times New Roman" w:eastAsia="方正黑体_GBK"/>
          <w:color w:val="auto"/>
        </w:rPr>
      </w:pPr>
      <w:r>
        <w:rPr>
          <w:rStyle w:val="10"/>
          <w:rFonts w:hint="eastAsia" w:ascii="Times New Roman" w:hAnsi="Times New Roman" w:eastAsia="方正黑体_GBK"/>
          <w:b w:val="0"/>
          <w:color w:val="auto"/>
          <w:sz w:val="32"/>
          <w:szCs w:val="32"/>
        </w:rPr>
        <w:t>三、“三公”经费情况说明</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hint="eastAsia" w:ascii="方正楷体_GBK" w:hAnsi="方正楷体_GBK" w:eastAsia="方正楷体_GBK" w:cs="方正楷体_GBK"/>
          <w:b w:val="0"/>
          <w:bCs w:val="0"/>
          <w:color w:val="auto"/>
          <w:sz w:val="32"/>
          <w:szCs w:val="32"/>
        </w:rPr>
      </w:pPr>
      <w:r>
        <w:rPr>
          <w:rStyle w:val="10"/>
          <w:rFonts w:hint="eastAsia" w:ascii="方正楷体_GBK" w:hAnsi="方正楷体_GBK" w:eastAsia="方正楷体_GBK" w:cs="方正楷体_GBK"/>
          <w:b w:val="0"/>
          <w:bCs w:val="0"/>
          <w:color w:val="auto"/>
          <w:sz w:val="32"/>
          <w:szCs w:val="32"/>
        </w:rPr>
        <w:t>（一）“三公”经费支出总体情况说明</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olor w:val="auto"/>
          <w:sz w:val="32"/>
          <w:szCs w:val="32"/>
          <w:lang w:eastAsia="zh-CN"/>
        </w:rPr>
      </w:pPr>
      <w:r>
        <w:rPr>
          <w:rFonts w:hint="eastAsia" w:ascii="Times New Roman" w:hAnsi="Times New Roman" w:eastAsia="方正仿宋_GBK"/>
          <w:color w:val="auto"/>
          <w:sz w:val="32"/>
          <w:szCs w:val="32"/>
        </w:rPr>
        <w:t>2020年度“三公”经费支出共计</w:t>
      </w:r>
      <w:r>
        <w:rPr>
          <w:rFonts w:hint="eastAsia" w:ascii="Times New Roman" w:hAnsi="Times New Roman" w:eastAsia="方正仿宋_GBK"/>
          <w:color w:val="auto"/>
          <w:sz w:val="32"/>
          <w:szCs w:val="32"/>
          <w:lang w:val="en-US" w:eastAsia="zh-CN"/>
        </w:rPr>
        <w:t>12.09</w:t>
      </w:r>
      <w:r>
        <w:rPr>
          <w:rFonts w:hint="eastAsia" w:ascii="Times New Roman" w:hAnsi="Times New Roman" w:eastAsia="方正仿宋_GBK"/>
          <w:color w:val="auto"/>
          <w:sz w:val="32"/>
          <w:szCs w:val="32"/>
        </w:rPr>
        <w:t>万元，较年初预算数减少</w:t>
      </w:r>
      <w:r>
        <w:rPr>
          <w:rFonts w:hint="eastAsia" w:ascii="Times New Roman" w:hAnsi="Times New Roman" w:eastAsia="方正仿宋_GBK"/>
          <w:color w:val="auto"/>
          <w:sz w:val="32"/>
          <w:szCs w:val="32"/>
          <w:lang w:val="en-US" w:eastAsia="zh-CN"/>
        </w:rPr>
        <w:t>15.41</w:t>
      </w:r>
      <w:r>
        <w:rPr>
          <w:rFonts w:hint="eastAsia" w:ascii="Times New Roman" w:hAnsi="Times New Roman" w:eastAsia="方正仿宋_GBK"/>
          <w:color w:val="auto"/>
          <w:sz w:val="32"/>
          <w:szCs w:val="32"/>
        </w:rPr>
        <w:t>万元，下降</w:t>
      </w:r>
      <w:r>
        <w:rPr>
          <w:rFonts w:hint="eastAsia" w:ascii="Times New Roman" w:hAnsi="Times New Roman" w:eastAsia="方正仿宋_GBK"/>
          <w:color w:val="auto"/>
          <w:sz w:val="32"/>
          <w:szCs w:val="32"/>
          <w:lang w:val="en-US" w:eastAsia="zh-CN"/>
        </w:rPr>
        <w:t>56.1</w:t>
      </w:r>
      <w:r>
        <w:rPr>
          <w:rFonts w:hint="eastAsia" w:ascii="Times New Roman" w:hAnsi="Times New Roman" w:eastAsia="方正仿宋_GBK"/>
          <w:color w:val="auto"/>
          <w:sz w:val="32"/>
          <w:szCs w:val="32"/>
        </w:rPr>
        <w:t>%，主要原因是</w:t>
      </w:r>
      <w:r>
        <w:rPr>
          <w:rFonts w:hint="eastAsia" w:ascii="Times New Roman" w:hAnsi="Times New Roman" w:eastAsia="方正仿宋_GBK" w:cs="方正仿宋_GBK"/>
          <w:color w:val="auto"/>
          <w:sz w:val="32"/>
          <w:szCs w:val="32"/>
          <w:shd w:val="clear" w:fill="FFFFFF"/>
          <w:lang w:eastAsia="zh-CN"/>
        </w:rPr>
        <w:t>认真贯彻落实中央八项规定精神和厉行节约要求，按照只减不增的要求从严控制三公经费，全年实际支出较预算有所下降</w:t>
      </w:r>
      <w:r>
        <w:rPr>
          <w:rFonts w:hint="eastAsia" w:ascii="Times New Roman" w:hAnsi="Times New Roman" w:eastAsia="方正仿宋_GBK"/>
          <w:color w:val="auto"/>
          <w:sz w:val="32"/>
          <w:szCs w:val="32"/>
        </w:rPr>
        <w:t>。较上年支出数增加</w:t>
      </w:r>
      <w:r>
        <w:rPr>
          <w:rFonts w:hint="eastAsia" w:ascii="Times New Roman" w:hAnsi="Times New Roman" w:eastAsia="方正仿宋_GBK"/>
          <w:color w:val="auto"/>
          <w:sz w:val="32"/>
          <w:szCs w:val="32"/>
          <w:lang w:val="en-US" w:eastAsia="zh-CN"/>
        </w:rPr>
        <w:t>8.29</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218.4</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eastAsia="zh-CN"/>
        </w:rPr>
        <w:t>本年增加治超专项使用公务车辆，公务用车运行维护费较上年有所增加。</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1"/>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sz w:val="32"/>
          <w:szCs w:val="32"/>
        </w:rPr>
        <w:t>（二）“三公”经费分项支出情况</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olor w:val="auto"/>
          <w:sz w:val="32"/>
          <w:szCs w:val="32"/>
          <w:lang w:eastAsia="zh-CN"/>
        </w:rPr>
      </w:pPr>
      <w:r>
        <w:rPr>
          <w:rFonts w:hint="eastAsia" w:ascii="Times New Roman" w:hAnsi="Times New Roman" w:eastAsia="方正仿宋_GBK"/>
          <w:color w:val="auto"/>
          <w:sz w:val="32"/>
          <w:szCs w:val="32"/>
        </w:rPr>
        <w:t>本单位2020年度未发生因公出国（境）费用支出</w:t>
      </w:r>
      <w:r>
        <w:rPr>
          <w:rFonts w:hint="eastAsia" w:ascii="方正仿宋_GBK" w:hAnsi="Times New Roman" w:eastAsia="方正仿宋_GBK"/>
          <w:sz w:val="32"/>
          <w:szCs w:val="32"/>
          <w:lang w:eastAsia="zh-CN"/>
        </w:rPr>
        <w:t>，</w:t>
      </w:r>
      <w:r>
        <w:rPr>
          <w:rFonts w:hint="eastAsia" w:ascii="方正仿宋_GBK" w:hAnsi="Times New Roman" w:eastAsia="方正仿宋_GBK"/>
          <w:sz w:val="32"/>
          <w:szCs w:val="32"/>
        </w:rPr>
        <w:t>与</w:t>
      </w:r>
      <w:r>
        <w:rPr>
          <w:rFonts w:hint="eastAsia" w:ascii="Times New Roman" w:hAnsi="Times New Roman" w:eastAsia="方正仿宋_GBK"/>
          <w:color w:val="auto"/>
          <w:sz w:val="32"/>
          <w:szCs w:val="32"/>
        </w:rPr>
        <w:t>2020年预算数和2019年决</w:t>
      </w:r>
      <w:r>
        <w:rPr>
          <w:rFonts w:hint="eastAsia" w:ascii="方正仿宋_GBK" w:hAnsi="Times New Roman" w:eastAsia="方正仿宋_GBK"/>
          <w:sz w:val="32"/>
          <w:szCs w:val="32"/>
        </w:rPr>
        <w:t>算数保持一致</w:t>
      </w:r>
      <w:r>
        <w:rPr>
          <w:rFonts w:hint="eastAsia" w:ascii="方正仿宋_GBK" w:hAnsi="Times New Roman" w:eastAsia="方正仿宋_GBK"/>
          <w:sz w:val="32"/>
          <w:szCs w:val="32"/>
          <w:lang w:eastAsia="zh-CN"/>
        </w:rPr>
        <w:t>，无变动</w:t>
      </w:r>
      <w:r>
        <w:rPr>
          <w:rFonts w:hint="eastAsia" w:ascii="Times New Roman" w:hAnsi="Times New Roman" w:eastAsia="方正仿宋_GBK"/>
          <w:color w:val="auto"/>
          <w:sz w:val="32"/>
          <w:szCs w:val="32"/>
          <w:lang w:eastAsia="zh-CN"/>
        </w:rPr>
        <w:t>。</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本单位2020年度未发生公务车购置费费用支出</w:t>
      </w:r>
      <w:r>
        <w:rPr>
          <w:rFonts w:hint="eastAsia" w:ascii="方正仿宋_GBK" w:hAnsi="Times New Roman" w:eastAsia="方正仿宋_GBK"/>
          <w:sz w:val="32"/>
          <w:szCs w:val="32"/>
          <w:lang w:eastAsia="zh-CN"/>
        </w:rPr>
        <w:t>，</w:t>
      </w:r>
      <w:r>
        <w:rPr>
          <w:rFonts w:hint="eastAsia" w:ascii="方正仿宋_GBK" w:hAnsi="Times New Roman" w:eastAsia="方正仿宋_GBK"/>
          <w:sz w:val="32"/>
          <w:szCs w:val="32"/>
        </w:rPr>
        <w:t>与</w:t>
      </w:r>
      <w:r>
        <w:rPr>
          <w:rFonts w:hint="eastAsia" w:ascii="Times New Roman" w:hAnsi="Times New Roman" w:eastAsia="方正仿宋_GBK"/>
          <w:color w:val="auto"/>
          <w:sz w:val="32"/>
          <w:szCs w:val="32"/>
        </w:rPr>
        <w:t>2020年预算数和2019年决</w:t>
      </w:r>
      <w:r>
        <w:rPr>
          <w:rFonts w:hint="eastAsia" w:ascii="方正仿宋_GBK" w:hAnsi="Times New Roman" w:eastAsia="方正仿宋_GBK"/>
          <w:sz w:val="32"/>
          <w:szCs w:val="32"/>
        </w:rPr>
        <w:t>算数保持一致</w:t>
      </w:r>
      <w:r>
        <w:rPr>
          <w:rFonts w:hint="eastAsia" w:ascii="方正仿宋_GBK" w:hAnsi="Times New Roman" w:eastAsia="方正仿宋_GBK"/>
          <w:sz w:val="32"/>
          <w:szCs w:val="32"/>
          <w:lang w:eastAsia="zh-CN"/>
        </w:rPr>
        <w:t>，无变动</w:t>
      </w:r>
      <w:r>
        <w:rPr>
          <w:rFonts w:hint="eastAsia" w:ascii="Times New Roman" w:hAnsi="Times New Roman" w:eastAsia="方正仿宋_GBK"/>
          <w:color w:val="auto"/>
          <w:sz w:val="32"/>
          <w:szCs w:val="32"/>
        </w:rPr>
        <w:t>。</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olor w:val="auto"/>
          <w:sz w:val="32"/>
          <w:szCs w:val="32"/>
          <w:lang w:eastAsia="zh-CN"/>
        </w:rPr>
      </w:pPr>
      <w:r>
        <w:rPr>
          <w:rFonts w:hint="eastAsia" w:ascii="Times New Roman" w:hAnsi="Times New Roman" w:eastAsia="方正仿宋_GBK"/>
          <w:color w:val="auto"/>
          <w:sz w:val="32"/>
          <w:szCs w:val="32"/>
        </w:rPr>
        <w:t>公务车运行维护费</w:t>
      </w:r>
      <w:r>
        <w:rPr>
          <w:rFonts w:hint="eastAsia" w:ascii="Times New Roman" w:hAnsi="Times New Roman" w:eastAsia="方正仿宋_GBK"/>
          <w:color w:val="auto"/>
          <w:sz w:val="32"/>
          <w:szCs w:val="32"/>
          <w:lang w:val="en-US" w:eastAsia="zh-CN"/>
        </w:rPr>
        <w:t>11.86</w:t>
      </w:r>
      <w:r>
        <w:rPr>
          <w:rFonts w:hint="eastAsia" w:ascii="Times New Roman" w:hAnsi="Times New Roman" w:eastAsia="方正仿宋_GBK"/>
          <w:color w:val="auto"/>
          <w:sz w:val="32"/>
          <w:szCs w:val="32"/>
        </w:rPr>
        <w:t>万元，主要用于</w:t>
      </w:r>
      <w:r>
        <w:rPr>
          <w:rFonts w:hint="eastAsia" w:ascii="Times New Roman" w:hAnsi="Times New Roman" w:eastAsia="方正仿宋_GBK"/>
          <w:color w:val="auto"/>
          <w:sz w:val="32"/>
          <w:szCs w:val="32"/>
          <w:lang w:eastAsia="zh-CN"/>
        </w:rPr>
        <w:t>治理超限超载巡逻，</w:t>
      </w:r>
      <w:r>
        <w:rPr>
          <w:rFonts w:hint="eastAsia" w:ascii="Times New Roman" w:hAnsi="Times New Roman" w:eastAsia="方正仿宋_GBK"/>
          <w:color w:val="auto"/>
          <w:sz w:val="32"/>
          <w:szCs w:val="32"/>
        </w:rPr>
        <w:t xml:space="preserve">机要文件交换、市内因公出行等工作所需车辆的燃料费、维修费、过桥过路费、保险费等。费用支出较年初预算数减少 </w:t>
      </w:r>
      <w:r>
        <w:rPr>
          <w:rFonts w:hint="eastAsia" w:ascii="Times New Roman" w:hAnsi="Times New Roman" w:eastAsia="方正仿宋_GBK"/>
          <w:color w:val="auto"/>
          <w:sz w:val="32"/>
          <w:szCs w:val="32"/>
          <w:lang w:val="en-US" w:eastAsia="zh-CN"/>
        </w:rPr>
        <w:t>14.64</w:t>
      </w:r>
      <w:r>
        <w:rPr>
          <w:rFonts w:hint="eastAsia" w:ascii="Times New Roman" w:hAnsi="Times New Roman" w:eastAsia="方正仿宋_GBK"/>
          <w:color w:val="auto"/>
          <w:sz w:val="32"/>
          <w:szCs w:val="32"/>
        </w:rPr>
        <w:t>万元，下降</w:t>
      </w:r>
      <w:r>
        <w:rPr>
          <w:rFonts w:hint="eastAsia" w:ascii="Times New Roman" w:hAnsi="Times New Roman" w:eastAsia="方正仿宋_GBK"/>
          <w:color w:val="auto"/>
          <w:sz w:val="32"/>
          <w:szCs w:val="32"/>
          <w:lang w:val="en-US" w:eastAsia="zh-CN"/>
        </w:rPr>
        <w:t>55.2</w:t>
      </w:r>
      <w:r>
        <w:rPr>
          <w:rFonts w:hint="eastAsia" w:ascii="Times New Roman" w:hAnsi="Times New Roman" w:eastAsia="方正仿宋_GBK"/>
          <w:color w:val="auto"/>
          <w:sz w:val="32"/>
          <w:szCs w:val="32"/>
        </w:rPr>
        <w:t>%，主要原因是</w:t>
      </w:r>
      <w:r>
        <w:rPr>
          <w:rFonts w:hint="eastAsia" w:ascii="Times New Roman" w:hAnsi="Times New Roman" w:eastAsia="方正仿宋_GBK" w:cs="方正仿宋_GBK"/>
          <w:color w:val="auto"/>
          <w:sz w:val="32"/>
          <w:szCs w:val="32"/>
          <w:shd w:val="clear" w:fill="FFFFFF"/>
          <w:lang w:eastAsia="zh-CN"/>
        </w:rPr>
        <w:t>认真贯彻落实中央八项规定精神和厉行节约要求，按照只减不增的要求从严控制三公经费，全年实际支出较预算有所下降</w:t>
      </w:r>
      <w:r>
        <w:rPr>
          <w:rFonts w:hint="eastAsia" w:ascii="Times New Roman" w:hAnsi="Times New Roman" w:eastAsia="方正仿宋_GBK"/>
          <w:color w:val="auto"/>
          <w:sz w:val="32"/>
          <w:szCs w:val="32"/>
        </w:rPr>
        <w:t>。较上年支出数增加</w:t>
      </w:r>
      <w:r>
        <w:rPr>
          <w:rFonts w:hint="eastAsia" w:ascii="Times New Roman" w:hAnsi="Times New Roman" w:eastAsia="方正仿宋_GBK"/>
          <w:color w:val="auto"/>
          <w:sz w:val="32"/>
          <w:szCs w:val="32"/>
          <w:lang w:val="en-US" w:eastAsia="zh-CN"/>
        </w:rPr>
        <w:t>8.28</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231.3</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eastAsia="zh-CN"/>
        </w:rPr>
        <w:t>本年增加治超专项使用公务车辆，公务用车运行维护费较上年有所增加。</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公务接待费</w:t>
      </w:r>
      <w:r>
        <w:rPr>
          <w:rFonts w:hint="eastAsia" w:ascii="Times New Roman" w:hAnsi="Times New Roman" w:eastAsia="方正仿宋_GBK"/>
          <w:color w:val="auto"/>
          <w:sz w:val="32"/>
          <w:szCs w:val="32"/>
          <w:lang w:val="en-US" w:eastAsia="zh-CN"/>
        </w:rPr>
        <w:t>0.22</w:t>
      </w:r>
      <w:r>
        <w:rPr>
          <w:rFonts w:hint="eastAsia" w:ascii="Times New Roman" w:hAnsi="Times New Roman" w:eastAsia="方正仿宋_GBK"/>
          <w:color w:val="auto"/>
          <w:sz w:val="32"/>
          <w:szCs w:val="32"/>
        </w:rPr>
        <w:t>万元，主要用于接待</w:t>
      </w:r>
      <w:r>
        <w:rPr>
          <w:rFonts w:hint="eastAsia" w:ascii="Times New Roman" w:hAnsi="Times New Roman" w:eastAsia="方正仿宋_GBK"/>
          <w:color w:val="auto"/>
          <w:sz w:val="32"/>
          <w:szCs w:val="32"/>
          <w:lang w:eastAsia="zh-CN"/>
        </w:rPr>
        <w:t>重庆航空来我区考察交流</w:t>
      </w:r>
      <w:r>
        <w:rPr>
          <w:rFonts w:hint="eastAsia" w:ascii="Times New Roman" w:hAnsi="Times New Roman" w:eastAsia="方正仿宋_GBK"/>
          <w:color w:val="auto"/>
          <w:sz w:val="32"/>
          <w:szCs w:val="32"/>
        </w:rPr>
        <w:t>。费用支出较年初预算数</w:t>
      </w:r>
      <w:r>
        <w:rPr>
          <w:rFonts w:hint="eastAsia" w:ascii="Times New Roman" w:hAnsi="Times New Roman" w:eastAsia="方正仿宋_GBK"/>
          <w:color w:val="auto"/>
          <w:sz w:val="32"/>
          <w:szCs w:val="32"/>
          <w:lang w:eastAsia="zh-CN"/>
        </w:rPr>
        <w:t>减少</w:t>
      </w:r>
      <w:r>
        <w:rPr>
          <w:rFonts w:hint="eastAsia" w:ascii="Times New Roman" w:hAnsi="Times New Roman" w:eastAsia="方正仿宋_GBK"/>
          <w:color w:val="auto"/>
          <w:sz w:val="32"/>
          <w:szCs w:val="32"/>
          <w:lang w:val="en-US" w:eastAsia="zh-CN"/>
        </w:rPr>
        <w:t>0.78</w:t>
      </w:r>
      <w:r>
        <w:rPr>
          <w:rFonts w:hint="eastAsia" w:ascii="Times New Roman" w:hAnsi="Times New Roman" w:eastAsia="方正仿宋_GBK"/>
          <w:color w:val="auto"/>
          <w:sz w:val="32"/>
          <w:szCs w:val="32"/>
        </w:rPr>
        <w:t>万元，</w:t>
      </w:r>
      <w:r>
        <w:rPr>
          <w:rFonts w:hint="eastAsia" w:ascii="Times New Roman" w:hAnsi="Times New Roman" w:eastAsia="方正仿宋_GBK"/>
          <w:color w:val="auto"/>
          <w:sz w:val="32"/>
          <w:szCs w:val="32"/>
          <w:lang w:eastAsia="zh-CN"/>
        </w:rPr>
        <w:t>下降</w:t>
      </w:r>
      <w:r>
        <w:rPr>
          <w:rFonts w:hint="eastAsia" w:ascii="Times New Roman" w:hAnsi="Times New Roman" w:eastAsia="方正仿宋_GBK"/>
          <w:color w:val="auto"/>
          <w:sz w:val="32"/>
          <w:szCs w:val="32"/>
          <w:lang w:val="en-US" w:eastAsia="zh-CN"/>
        </w:rPr>
        <w:t>4.6</w:t>
      </w:r>
      <w:r>
        <w:rPr>
          <w:rFonts w:hint="eastAsia" w:ascii="Times New Roman" w:hAnsi="Times New Roman" w:eastAsia="方正仿宋_GBK"/>
          <w:color w:val="auto"/>
          <w:sz w:val="32"/>
          <w:szCs w:val="32"/>
        </w:rPr>
        <w:t>%，主要原因是</w:t>
      </w:r>
      <w:r>
        <w:rPr>
          <w:rFonts w:hint="eastAsia" w:ascii="Times New Roman" w:hAnsi="Times New Roman" w:eastAsia="方正仿宋_GBK" w:cs="方正仿宋_GBK"/>
          <w:color w:val="auto"/>
          <w:sz w:val="32"/>
          <w:szCs w:val="32"/>
          <w:shd w:val="clear" w:fill="FFFFFF"/>
          <w:lang w:eastAsia="zh-CN"/>
        </w:rPr>
        <w:t>贯彻落实《重庆市党政机关国内公务接待管理办法》，厉行节约，控制严格接待人次、标准。</w:t>
      </w:r>
      <w:r>
        <w:rPr>
          <w:rFonts w:hint="eastAsia" w:ascii="Times New Roman" w:hAnsi="Times New Roman" w:eastAsia="方正仿宋_GBK"/>
          <w:color w:val="auto"/>
          <w:sz w:val="32"/>
          <w:szCs w:val="32"/>
        </w:rPr>
        <w:t>较上年支出数增加</w:t>
      </w:r>
      <w:r>
        <w:rPr>
          <w:rFonts w:hint="eastAsia" w:ascii="Times New Roman" w:hAnsi="Times New Roman" w:eastAsia="方正仿宋_GBK"/>
          <w:color w:val="auto"/>
          <w:sz w:val="32"/>
          <w:szCs w:val="32"/>
          <w:lang w:val="en-US" w:eastAsia="zh-CN"/>
        </w:rPr>
        <w:t>0.01</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4.6</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eastAsia="zh-CN"/>
        </w:rPr>
        <w:t>接待人数变动，公务接待餐费增加</w:t>
      </w:r>
      <w:r>
        <w:rPr>
          <w:rFonts w:hint="eastAsia" w:ascii="Times New Roman" w:hAnsi="Times New Roman" w:eastAsia="方正仿宋_GBK"/>
          <w:color w:val="auto"/>
          <w:sz w:val="32"/>
          <w:szCs w:val="32"/>
        </w:rPr>
        <w:t>。</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1"/>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sz w:val="32"/>
          <w:szCs w:val="32"/>
        </w:rPr>
        <w:t>（三）“三公”经费实物量情况</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2020年度本部门因公出国（境）共计</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个团组，</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人；公务用车购置</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辆，公务车保有量为</w:t>
      </w:r>
      <w:r>
        <w:rPr>
          <w:rFonts w:hint="eastAsia" w:ascii="Times New Roman" w:hAnsi="Times New Roman" w:eastAsia="方正仿宋_GBK"/>
          <w:color w:val="auto"/>
          <w:sz w:val="32"/>
          <w:szCs w:val="32"/>
          <w:lang w:val="en-US" w:eastAsia="zh-CN"/>
        </w:rPr>
        <w:t>3</w:t>
      </w:r>
      <w:r>
        <w:rPr>
          <w:rFonts w:hint="eastAsia" w:ascii="Times New Roman" w:hAnsi="Times New Roman" w:eastAsia="方正仿宋_GBK"/>
          <w:color w:val="auto"/>
          <w:sz w:val="32"/>
          <w:szCs w:val="32"/>
        </w:rPr>
        <w:t>辆；国内公务接待</w:t>
      </w:r>
      <w:r>
        <w:rPr>
          <w:rFonts w:hint="eastAsia" w:ascii="Times New Roman" w:hAnsi="Times New Roman" w:eastAsia="方正仿宋_GBK"/>
          <w:color w:val="auto"/>
          <w:sz w:val="32"/>
          <w:szCs w:val="32"/>
          <w:lang w:val="en-US" w:eastAsia="zh-CN"/>
        </w:rPr>
        <w:t>1</w:t>
      </w:r>
      <w:r>
        <w:rPr>
          <w:rFonts w:hint="eastAsia" w:ascii="Times New Roman" w:hAnsi="Times New Roman" w:eastAsia="方正仿宋_GBK"/>
          <w:color w:val="auto"/>
          <w:sz w:val="32"/>
          <w:szCs w:val="32"/>
        </w:rPr>
        <w:t>批次</w:t>
      </w:r>
      <w:r>
        <w:rPr>
          <w:rFonts w:hint="eastAsia" w:ascii="Times New Roman" w:hAnsi="Times New Roman" w:eastAsia="方正仿宋_GBK"/>
          <w:color w:val="auto"/>
          <w:sz w:val="32"/>
          <w:szCs w:val="32"/>
          <w:lang w:val="en-US" w:eastAsia="zh-CN"/>
        </w:rPr>
        <w:t>22</w:t>
      </w:r>
      <w:r>
        <w:rPr>
          <w:rFonts w:hint="eastAsia" w:ascii="Times New Roman" w:hAnsi="Times New Roman" w:eastAsia="方正仿宋_GBK"/>
          <w:color w:val="auto"/>
          <w:sz w:val="32"/>
          <w:szCs w:val="32"/>
        </w:rPr>
        <w:t>人，其中：国内外事接待</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批次，</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人；国（境）外公务接待</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批次，</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人。20</w:t>
      </w:r>
      <w:r>
        <w:rPr>
          <w:rFonts w:hint="eastAsia" w:ascii="Times New Roman" w:hAnsi="Times New Roman" w:eastAsia="方正仿宋_GBK"/>
          <w:color w:val="auto"/>
          <w:sz w:val="32"/>
          <w:szCs w:val="32"/>
          <w:lang w:val="en-US" w:eastAsia="zh-CN"/>
        </w:rPr>
        <w:t>20</w:t>
      </w:r>
      <w:r>
        <w:rPr>
          <w:rFonts w:hint="eastAsia" w:ascii="Times New Roman" w:hAnsi="Times New Roman" w:eastAsia="方正仿宋_GBK"/>
          <w:color w:val="auto"/>
          <w:sz w:val="32"/>
          <w:szCs w:val="32"/>
        </w:rPr>
        <w:t>年本部门人均接待费</w:t>
      </w:r>
      <w:r>
        <w:rPr>
          <w:rFonts w:hint="eastAsia" w:ascii="Times New Roman" w:hAnsi="Times New Roman" w:eastAsia="方正仿宋_GBK"/>
          <w:color w:val="auto"/>
          <w:sz w:val="32"/>
          <w:szCs w:val="32"/>
          <w:lang w:val="en-US" w:eastAsia="zh-CN"/>
        </w:rPr>
        <w:t>102.18</w:t>
      </w:r>
      <w:r>
        <w:rPr>
          <w:rFonts w:hint="eastAsia" w:ascii="Times New Roman" w:hAnsi="Times New Roman" w:eastAsia="方正仿宋_GBK"/>
          <w:color w:val="auto"/>
          <w:sz w:val="32"/>
          <w:szCs w:val="32"/>
        </w:rPr>
        <w:t>元，车均购置费</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万元，车均维护费</w:t>
      </w:r>
      <w:r>
        <w:rPr>
          <w:rFonts w:hint="eastAsia" w:ascii="Times New Roman" w:hAnsi="Times New Roman" w:eastAsia="方正仿宋_GBK"/>
          <w:color w:val="auto"/>
          <w:sz w:val="32"/>
          <w:szCs w:val="32"/>
          <w:lang w:val="en-US" w:eastAsia="zh-CN"/>
        </w:rPr>
        <w:t>3.95</w:t>
      </w:r>
      <w:r>
        <w:rPr>
          <w:rFonts w:hint="eastAsia" w:ascii="Times New Roman" w:hAnsi="Times New Roman" w:eastAsia="方正仿宋_GBK"/>
          <w:color w:val="auto"/>
          <w:sz w:val="32"/>
          <w:szCs w:val="32"/>
        </w:rPr>
        <w:t>万元。</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ascii="Times New Roman" w:hAnsi="Times New Roman"/>
          <w:color w:val="auto"/>
        </w:rPr>
      </w:pPr>
      <w:r>
        <w:rPr>
          <w:rStyle w:val="10"/>
          <w:rFonts w:hint="eastAsia" w:ascii="Times New Roman" w:hAnsi="Times New Roman" w:eastAsia="方正黑体_GBK"/>
          <w:b w:val="0"/>
          <w:color w:val="auto"/>
          <w:sz w:val="32"/>
          <w:szCs w:val="32"/>
        </w:rPr>
        <w:t>四、其他需要说明的事项</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Style w:val="10"/>
          <w:rFonts w:hint="eastAsia" w:ascii="方正楷体_GBK" w:hAnsi="方正楷体_GBK" w:eastAsia="方正楷体_GBK" w:cs="方正楷体_GBK"/>
          <w:b w:val="0"/>
          <w:bCs w:val="0"/>
          <w:color w:val="auto"/>
          <w:sz w:val="32"/>
          <w:szCs w:val="32"/>
        </w:rPr>
      </w:pPr>
      <w:r>
        <w:rPr>
          <w:rStyle w:val="10"/>
          <w:rFonts w:hint="eastAsia" w:ascii="方正楷体_GBK" w:hAnsi="方正楷体_GBK" w:eastAsia="方正楷体_GBK" w:cs="方正楷体_GBK"/>
          <w:b w:val="0"/>
          <w:bCs w:val="0"/>
          <w:color w:val="auto"/>
          <w:sz w:val="32"/>
          <w:szCs w:val="32"/>
        </w:rPr>
        <w:t>（一）机关运行经费情况说明</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2020年度本部门机关运行经费支出</w:t>
      </w:r>
      <w:r>
        <w:rPr>
          <w:rFonts w:hint="eastAsia" w:ascii="Times New Roman" w:hAnsi="Times New Roman" w:eastAsia="方正仿宋_GBK"/>
          <w:color w:val="auto"/>
          <w:sz w:val="32"/>
          <w:szCs w:val="32"/>
          <w:lang w:val="en-US" w:eastAsia="zh-CN"/>
        </w:rPr>
        <w:t>99.15</w:t>
      </w:r>
      <w:r>
        <w:rPr>
          <w:rFonts w:hint="eastAsia" w:ascii="Times New Roman" w:hAnsi="Times New Roman" w:eastAsia="方正仿宋_GBK"/>
          <w:color w:val="auto"/>
          <w:sz w:val="32"/>
          <w:szCs w:val="32"/>
        </w:rPr>
        <w:t>万元，机关运行经费主要用于开支</w:t>
      </w:r>
      <w:r>
        <w:rPr>
          <w:rFonts w:hint="eastAsia" w:ascii="Times New Roman" w:hAnsi="Times New Roman" w:eastAsia="方正仿宋_GBK" w:cs="方正仿宋_GBK"/>
          <w:color w:val="auto"/>
          <w:sz w:val="32"/>
          <w:szCs w:val="32"/>
          <w:shd w:val="clear" w:fill="FFFFFF"/>
          <w:lang w:eastAsia="zh-CN"/>
        </w:rPr>
        <w:t>机关运行经费主要用于开支办公费、印刷费、水费、电费、邮电费、差旅费、维修费、会议费、培训费、公务接待费、劳务费、工会经费、公务用车运行维护费、其他交通费用、其他商品和服务支出、办公用品购置。</w:t>
      </w:r>
      <w:r>
        <w:rPr>
          <w:rFonts w:hint="eastAsia" w:ascii="Times New Roman" w:hAnsi="Times New Roman" w:eastAsia="方正仿宋_GBK"/>
          <w:color w:val="auto"/>
          <w:sz w:val="32"/>
          <w:szCs w:val="32"/>
        </w:rPr>
        <w:t xml:space="preserve">机关运行经费较上年决算数减少 </w:t>
      </w:r>
      <w:r>
        <w:rPr>
          <w:rFonts w:hint="eastAsia" w:ascii="Times New Roman" w:hAnsi="Times New Roman" w:eastAsia="方正仿宋_GBK"/>
          <w:color w:val="auto"/>
          <w:sz w:val="32"/>
          <w:szCs w:val="32"/>
          <w:lang w:val="en-US" w:eastAsia="zh-CN"/>
        </w:rPr>
        <w:t>21.98</w:t>
      </w:r>
      <w:r>
        <w:rPr>
          <w:rFonts w:hint="eastAsia" w:ascii="Times New Roman" w:hAnsi="Times New Roman" w:eastAsia="方正仿宋_GBK"/>
          <w:color w:val="auto"/>
          <w:sz w:val="32"/>
          <w:szCs w:val="32"/>
        </w:rPr>
        <w:t>万元，</w:t>
      </w:r>
      <w:r>
        <w:rPr>
          <w:rFonts w:hint="eastAsia" w:ascii="Times New Roman" w:hAnsi="Times New Roman" w:eastAsia="方正仿宋_GBK"/>
          <w:color w:val="auto"/>
          <w:sz w:val="32"/>
          <w:szCs w:val="32"/>
          <w:lang w:eastAsia="zh-CN"/>
        </w:rPr>
        <w:t>下降</w:t>
      </w:r>
      <w:r>
        <w:rPr>
          <w:rFonts w:hint="eastAsia" w:ascii="Times New Roman" w:hAnsi="Times New Roman" w:eastAsia="方正仿宋_GBK"/>
          <w:color w:val="auto"/>
          <w:sz w:val="32"/>
          <w:szCs w:val="32"/>
          <w:lang w:val="en-US" w:eastAsia="zh-CN"/>
        </w:rPr>
        <w:t>18.2</w:t>
      </w:r>
      <w:r>
        <w:rPr>
          <w:rFonts w:hint="eastAsia" w:ascii="Times New Roman" w:hAnsi="Times New Roman" w:eastAsia="方正仿宋_GBK"/>
          <w:color w:val="auto"/>
          <w:sz w:val="32"/>
          <w:szCs w:val="32"/>
        </w:rPr>
        <w:t>%，主要原因是</w:t>
      </w:r>
      <w:r>
        <w:rPr>
          <w:rFonts w:hint="eastAsia" w:ascii="Times New Roman" w:hAnsi="Times New Roman" w:eastAsia="方正仿宋_GBK" w:cs="方正仿宋_GBK"/>
          <w:color w:val="auto"/>
          <w:sz w:val="32"/>
          <w:szCs w:val="32"/>
          <w:shd w:val="clear" w:fill="FFFFFF"/>
          <w:lang w:eastAsia="zh-CN"/>
        </w:rPr>
        <w:t>厉行节约，办公设备购置减少</w:t>
      </w:r>
      <w:r>
        <w:rPr>
          <w:rFonts w:hint="eastAsia" w:ascii="Times New Roman" w:hAnsi="Times New Roman" w:eastAsia="方正仿宋_GBK"/>
          <w:color w:val="auto"/>
          <w:sz w:val="32"/>
          <w:szCs w:val="32"/>
        </w:rPr>
        <w:t>。</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s="方正仿宋_GBK"/>
          <w:color w:val="auto"/>
          <w:sz w:val="32"/>
          <w:szCs w:val="32"/>
          <w:shd w:val="clear" w:fill="FFFFFF"/>
          <w:lang w:eastAsia="zh-CN"/>
        </w:rPr>
      </w:pPr>
      <w:r>
        <w:rPr>
          <w:rFonts w:hint="eastAsia" w:ascii="Times New Roman" w:hAnsi="Times New Roman" w:eastAsia="方正仿宋_GBK"/>
          <w:color w:val="auto"/>
          <w:sz w:val="32"/>
          <w:szCs w:val="32"/>
        </w:rPr>
        <w:t>其中：本年度会议费支出</w:t>
      </w:r>
      <w:r>
        <w:rPr>
          <w:rFonts w:hint="eastAsia" w:ascii="Times New Roman" w:hAnsi="Times New Roman" w:eastAsia="方正仿宋_GBK"/>
          <w:color w:val="auto"/>
          <w:sz w:val="32"/>
          <w:szCs w:val="32"/>
          <w:lang w:val="en-US" w:eastAsia="zh-CN"/>
        </w:rPr>
        <w:t>1.48</w:t>
      </w:r>
      <w:r>
        <w:rPr>
          <w:rFonts w:hint="eastAsia" w:ascii="Times New Roman" w:hAnsi="Times New Roman" w:eastAsia="方正仿宋_GBK"/>
          <w:color w:val="auto"/>
          <w:sz w:val="32"/>
          <w:szCs w:val="32"/>
        </w:rPr>
        <w:t>万元，较上年决算数增加</w:t>
      </w:r>
      <w:r>
        <w:rPr>
          <w:rFonts w:hint="eastAsia" w:ascii="Times New Roman" w:hAnsi="Times New Roman" w:eastAsia="方正仿宋_GBK"/>
          <w:color w:val="auto"/>
          <w:sz w:val="32"/>
          <w:szCs w:val="32"/>
          <w:lang w:val="en-US" w:eastAsia="zh-CN"/>
        </w:rPr>
        <w:t>0.24</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19.5</w:t>
      </w:r>
      <w:r>
        <w:rPr>
          <w:rFonts w:hint="eastAsia" w:ascii="Times New Roman" w:hAnsi="Times New Roman" w:eastAsia="方正仿宋_GBK"/>
          <w:color w:val="auto"/>
          <w:sz w:val="32"/>
          <w:szCs w:val="32"/>
        </w:rPr>
        <w:t>%，主要原因是</w:t>
      </w:r>
      <w:r>
        <w:rPr>
          <w:rFonts w:hint="eastAsia" w:ascii="Times New Roman" w:hAnsi="Times New Roman" w:eastAsia="方正仿宋_GBK" w:cs="方正仿宋_GBK"/>
          <w:color w:val="auto"/>
          <w:sz w:val="32"/>
          <w:szCs w:val="32"/>
          <w:shd w:val="clear" w:fill="FFFFFF"/>
          <w:lang w:eastAsia="zh-CN"/>
        </w:rPr>
        <w:t>随着铁路建设征地拆迁、两江四岸码头船舶治理等全区性项目的有序开展，工作会议开展次数增多</w:t>
      </w:r>
      <w:r>
        <w:rPr>
          <w:rFonts w:hint="eastAsia" w:ascii="Times New Roman" w:hAnsi="Times New Roman" w:eastAsia="方正仿宋_GBK"/>
          <w:color w:val="auto"/>
          <w:sz w:val="32"/>
          <w:szCs w:val="32"/>
        </w:rPr>
        <w:t>。本年度培训费支出</w:t>
      </w:r>
      <w:r>
        <w:rPr>
          <w:rFonts w:hint="eastAsia" w:ascii="Times New Roman" w:hAnsi="Times New Roman" w:eastAsia="方正仿宋_GBK"/>
          <w:color w:val="auto"/>
          <w:sz w:val="32"/>
          <w:szCs w:val="32"/>
          <w:lang w:val="en-US" w:eastAsia="zh-CN"/>
        </w:rPr>
        <w:t>0.18</w:t>
      </w:r>
      <w:r>
        <w:rPr>
          <w:rFonts w:hint="eastAsia" w:ascii="Times New Roman" w:hAnsi="Times New Roman" w:eastAsia="方正仿宋_GBK"/>
          <w:color w:val="auto"/>
          <w:sz w:val="32"/>
          <w:szCs w:val="32"/>
        </w:rPr>
        <w:t xml:space="preserve">万元，较上年决算数减少 </w:t>
      </w:r>
      <w:r>
        <w:rPr>
          <w:rFonts w:hint="eastAsia" w:ascii="Times New Roman" w:hAnsi="Times New Roman" w:eastAsia="方正仿宋_GBK"/>
          <w:color w:val="auto"/>
          <w:sz w:val="32"/>
          <w:szCs w:val="32"/>
          <w:lang w:val="en-US" w:eastAsia="zh-CN"/>
        </w:rPr>
        <w:t>0.24</w:t>
      </w:r>
      <w:r>
        <w:rPr>
          <w:rFonts w:hint="eastAsia" w:ascii="Times New Roman" w:hAnsi="Times New Roman" w:eastAsia="方正仿宋_GBK"/>
          <w:color w:val="auto"/>
          <w:sz w:val="32"/>
          <w:szCs w:val="32"/>
        </w:rPr>
        <w:t>万元，</w:t>
      </w:r>
      <w:r>
        <w:rPr>
          <w:rFonts w:hint="eastAsia" w:ascii="Times New Roman" w:hAnsi="Times New Roman" w:eastAsia="方正仿宋_GBK"/>
          <w:color w:val="auto"/>
          <w:sz w:val="32"/>
          <w:szCs w:val="32"/>
          <w:lang w:eastAsia="zh-CN"/>
        </w:rPr>
        <w:t>下降</w:t>
      </w:r>
      <w:r>
        <w:rPr>
          <w:rFonts w:hint="eastAsia" w:ascii="Times New Roman" w:hAnsi="Times New Roman" w:eastAsia="方正仿宋_GBK"/>
          <w:color w:val="auto"/>
          <w:sz w:val="32"/>
          <w:szCs w:val="32"/>
          <w:lang w:val="en-US" w:eastAsia="zh-CN"/>
        </w:rPr>
        <w:t>19.5</w:t>
      </w:r>
      <w:r>
        <w:rPr>
          <w:rFonts w:hint="eastAsia" w:ascii="Times New Roman" w:hAnsi="Times New Roman" w:eastAsia="方正仿宋_GBK"/>
          <w:color w:val="auto"/>
          <w:sz w:val="32"/>
          <w:szCs w:val="32"/>
        </w:rPr>
        <w:t>%，主要原因是</w:t>
      </w:r>
      <w:r>
        <w:rPr>
          <w:rFonts w:hint="eastAsia" w:ascii="Times New Roman" w:hAnsi="Times New Roman" w:eastAsia="方正仿宋_GBK" w:cs="方正仿宋_GBK"/>
          <w:color w:val="auto"/>
          <w:sz w:val="32"/>
          <w:szCs w:val="32"/>
          <w:shd w:val="clear" w:fill="FFFFFF"/>
          <w:lang w:eastAsia="zh-CN"/>
        </w:rPr>
        <w:t>我单位厉行节约，减少培训活动。</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Style w:val="10"/>
          <w:rFonts w:hint="eastAsia" w:ascii="方正楷体_GBK" w:hAnsi="方正楷体_GBK" w:eastAsia="方正楷体_GBK" w:cs="方正楷体_GBK"/>
          <w:b w:val="0"/>
          <w:bCs w:val="0"/>
          <w:color w:val="auto"/>
          <w:sz w:val="32"/>
          <w:szCs w:val="32"/>
        </w:rPr>
      </w:pPr>
      <w:r>
        <w:rPr>
          <w:rStyle w:val="10"/>
          <w:rFonts w:hint="eastAsia" w:ascii="方正楷体_GBK" w:hAnsi="方正楷体_GBK" w:eastAsia="方正楷体_GBK" w:cs="方正楷体_GBK"/>
          <w:b w:val="0"/>
          <w:bCs w:val="0"/>
          <w:color w:val="auto"/>
          <w:sz w:val="32"/>
          <w:szCs w:val="32"/>
          <w:lang w:eastAsia="zh-CN"/>
        </w:rPr>
        <w:t>（二）</w:t>
      </w:r>
      <w:r>
        <w:rPr>
          <w:rStyle w:val="10"/>
          <w:rFonts w:hint="eastAsia" w:ascii="方正楷体_GBK" w:hAnsi="方正楷体_GBK" w:eastAsia="方正楷体_GBK" w:cs="方正楷体_GBK"/>
          <w:b w:val="0"/>
          <w:bCs w:val="0"/>
          <w:color w:val="auto"/>
          <w:sz w:val="32"/>
          <w:szCs w:val="32"/>
        </w:rPr>
        <w:t>国有资产占用情况说明</w:t>
      </w:r>
    </w:p>
    <w:p>
      <w:pPr>
        <w:keepNext w:val="0"/>
        <w:keepLines w:val="0"/>
        <w:pageBreakBefore w:val="0"/>
        <w:widowControl w:val="0"/>
        <w:numPr>
          <w:ilvl w:val="0"/>
          <w:numId w:val="0"/>
        </w:numPr>
        <w:kinsoku/>
        <w:wordWrap/>
        <w:overflowPunct/>
        <w:topLinePunct w:val="0"/>
        <w:bidi w:val="0"/>
        <w:adjustRightInd/>
        <w:snapToGrid/>
        <w:spacing w:beforeAutospacing="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截至2020年12月31日，本部门共有车辆</w:t>
      </w:r>
      <w:r>
        <w:rPr>
          <w:rFonts w:hint="eastAsia" w:ascii="Times New Roman" w:hAnsi="Times New Roman" w:eastAsia="方正仿宋_GBK"/>
          <w:color w:val="auto"/>
          <w:sz w:val="32"/>
          <w:szCs w:val="32"/>
          <w:lang w:val="en-US" w:eastAsia="zh-CN"/>
        </w:rPr>
        <w:t>3</w:t>
      </w:r>
      <w:r>
        <w:rPr>
          <w:rFonts w:hint="eastAsia" w:ascii="Times New Roman" w:hAnsi="Times New Roman" w:eastAsia="方正仿宋_GBK"/>
          <w:color w:val="auto"/>
          <w:sz w:val="32"/>
          <w:szCs w:val="32"/>
        </w:rPr>
        <w:t>辆，其中，副部（省）级及以上领导用车</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辆、主要领导干部用车</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辆、机要通信用车</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辆、应急保障用车</w:t>
      </w:r>
      <w:r>
        <w:rPr>
          <w:rFonts w:hint="eastAsia" w:ascii="Times New Roman" w:hAnsi="Times New Roman" w:eastAsia="方正仿宋_GBK"/>
          <w:color w:val="auto"/>
          <w:sz w:val="32"/>
          <w:szCs w:val="32"/>
          <w:lang w:val="en-US" w:eastAsia="zh-CN"/>
        </w:rPr>
        <w:t>1</w:t>
      </w:r>
      <w:r>
        <w:rPr>
          <w:rFonts w:hint="eastAsia" w:ascii="Times New Roman" w:hAnsi="Times New Roman" w:eastAsia="方正仿宋_GBK"/>
          <w:color w:val="auto"/>
          <w:sz w:val="32"/>
          <w:szCs w:val="32"/>
        </w:rPr>
        <w:t>辆、执法执勤用车</w:t>
      </w:r>
      <w:r>
        <w:rPr>
          <w:rFonts w:hint="eastAsia" w:ascii="Times New Roman" w:hAnsi="Times New Roman" w:eastAsia="方正仿宋_GBK"/>
          <w:color w:val="auto"/>
          <w:sz w:val="32"/>
          <w:szCs w:val="32"/>
          <w:lang w:val="en-US" w:eastAsia="zh-CN"/>
        </w:rPr>
        <w:t>2</w:t>
      </w:r>
      <w:r>
        <w:rPr>
          <w:rFonts w:hint="eastAsia" w:ascii="Times New Roman" w:hAnsi="Times New Roman" w:eastAsia="方正仿宋_GBK"/>
          <w:color w:val="auto"/>
          <w:sz w:val="32"/>
          <w:szCs w:val="32"/>
        </w:rPr>
        <w:t>辆，特种专业技术用车</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辆，离退休干部用车</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辆，其他用车</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辆。单价50万元（含）以上通用设备</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台（套），单价100万元（含）以上专用设备</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台（套）。</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Style w:val="10"/>
          <w:rFonts w:hint="eastAsia" w:ascii="方正楷体_GBK" w:hAnsi="方正楷体_GBK" w:eastAsia="方正楷体_GBK" w:cs="方正楷体_GBK"/>
          <w:b w:val="0"/>
          <w:bCs w:val="0"/>
          <w:color w:val="auto"/>
          <w:sz w:val="32"/>
          <w:szCs w:val="32"/>
        </w:rPr>
      </w:pPr>
      <w:r>
        <w:rPr>
          <w:rStyle w:val="10"/>
          <w:rFonts w:hint="eastAsia" w:ascii="方正楷体_GBK" w:hAnsi="方正楷体_GBK" w:eastAsia="方正楷体_GBK" w:cs="方正楷体_GBK"/>
          <w:b w:val="0"/>
          <w:bCs w:val="0"/>
          <w:color w:val="auto"/>
          <w:sz w:val="32"/>
          <w:szCs w:val="32"/>
        </w:rPr>
        <w:t>（三）政府采购支出情况说明</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s="宋体"/>
          <w:color w:val="auto"/>
          <w:sz w:val="32"/>
          <w:szCs w:val="32"/>
          <w:lang w:val="en-US" w:eastAsia="zh-CN" w:bidi="ar-SA"/>
        </w:rPr>
      </w:pPr>
      <w:r>
        <w:rPr>
          <w:rFonts w:hint="eastAsia" w:ascii="Times New Roman" w:hAnsi="Times New Roman" w:eastAsia="方正仿宋_GBK" w:cs="宋体"/>
          <w:color w:val="auto"/>
          <w:sz w:val="32"/>
          <w:szCs w:val="32"/>
          <w:lang w:val="en-US" w:eastAsia="zh-CN" w:bidi="ar-SA"/>
        </w:rPr>
        <w:t>2020年度我单位未发生政府采购事项，无相关经费支出。</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ascii="Times New Roman" w:hAnsi="Times New Roman" w:eastAsia="方正黑体_GBK"/>
          <w:b w:val="0"/>
          <w:bCs w:val="0"/>
          <w:color w:val="auto"/>
        </w:rPr>
      </w:pPr>
      <w:r>
        <w:rPr>
          <w:rStyle w:val="10"/>
          <w:rFonts w:hint="eastAsia" w:ascii="Times New Roman" w:hAnsi="Times New Roman" w:eastAsia="方正黑体_GBK"/>
          <w:b w:val="0"/>
          <w:bCs w:val="0"/>
          <w:color w:val="auto"/>
          <w:sz w:val="32"/>
          <w:szCs w:val="32"/>
        </w:rPr>
        <w:t>五、预算绩效管理情况说明</w:t>
      </w:r>
    </w:p>
    <w:p>
      <w:pPr>
        <w:pStyle w:val="14"/>
        <w:keepNext w:val="0"/>
        <w:keepLines w:val="0"/>
        <w:pageBreakBefore w:val="0"/>
        <w:widowControl w:val="0"/>
        <w:tabs>
          <w:tab w:val="center" w:pos="4153"/>
          <w:tab w:val="left" w:pos="7275"/>
        </w:tabs>
        <w:kinsoku/>
        <w:wordWrap/>
        <w:overflowPunct/>
        <w:topLinePunct w:val="0"/>
        <w:bidi w:val="0"/>
        <w:adjustRightInd/>
        <w:snapToGrid/>
        <w:spacing w:beforeAutospacing="0" w:afterAutospacing="0" w:line="594" w:lineRule="exact"/>
        <w:ind w:firstLine="640"/>
        <w:jc w:val="both"/>
        <w:textAlignment w:val="auto"/>
        <w:rPr>
          <w:rStyle w:val="10"/>
          <w:rFonts w:hint="eastAsia" w:ascii="方正楷体_GBK" w:hAnsi="方正楷体_GBK" w:eastAsia="方正楷体_GBK" w:cs="方正楷体_GBK"/>
          <w:b w:val="0"/>
          <w:bCs w:val="0"/>
          <w:color w:val="auto"/>
          <w:kern w:val="0"/>
          <w:sz w:val="32"/>
          <w:szCs w:val="32"/>
          <w:lang w:val="en-US" w:eastAsia="zh-CN" w:bidi="ar-SA"/>
        </w:rPr>
      </w:pPr>
      <w:r>
        <w:rPr>
          <w:rStyle w:val="10"/>
          <w:rFonts w:hint="eastAsia" w:ascii="方正楷体_GBK" w:hAnsi="方正楷体_GBK" w:eastAsia="方正楷体_GBK" w:cs="方正楷体_GBK"/>
          <w:b w:val="0"/>
          <w:bCs w:val="0"/>
          <w:color w:val="auto"/>
          <w:kern w:val="0"/>
          <w:sz w:val="32"/>
          <w:szCs w:val="32"/>
          <w:lang w:val="en-US" w:eastAsia="zh-CN" w:bidi="ar-SA"/>
        </w:rPr>
        <w:t>（一）预算绩效管理工作开展情况</w:t>
      </w:r>
    </w:p>
    <w:p>
      <w:pPr>
        <w:pStyle w:val="14"/>
        <w:keepNext w:val="0"/>
        <w:keepLines w:val="0"/>
        <w:pageBreakBefore w:val="0"/>
        <w:widowControl w:val="0"/>
        <w:tabs>
          <w:tab w:val="center" w:pos="4153"/>
          <w:tab w:val="left" w:pos="7275"/>
        </w:tabs>
        <w:kinsoku/>
        <w:wordWrap/>
        <w:overflowPunct/>
        <w:topLinePunct w:val="0"/>
        <w:bidi w:val="0"/>
        <w:adjustRightInd/>
        <w:snapToGrid/>
        <w:spacing w:beforeAutospacing="0" w:afterAutospacing="0" w:line="594" w:lineRule="exact"/>
        <w:ind w:firstLine="640"/>
        <w:jc w:val="both"/>
        <w:textAlignment w:val="auto"/>
        <w:rPr>
          <w:rFonts w:ascii="Times New Roman" w:hAnsi="Times New Roman" w:eastAsia="方正仿宋_GBK" w:cs="宋体"/>
          <w:color w:val="auto"/>
          <w:kern w:val="0"/>
          <w:sz w:val="32"/>
          <w:szCs w:val="32"/>
        </w:rPr>
      </w:pPr>
      <w:r>
        <w:rPr>
          <w:rFonts w:hint="eastAsia" w:ascii="Times New Roman" w:hAnsi="Times New Roman" w:eastAsia="方正仿宋_GBK" w:cs="宋体"/>
          <w:color w:val="auto"/>
          <w:kern w:val="0"/>
          <w:sz w:val="32"/>
          <w:szCs w:val="32"/>
        </w:rPr>
        <w:t>根据预算绩效管理要求，本部门对</w:t>
      </w:r>
      <w:r>
        <w:rPr>
          <w:rFonts w:hint="eastAsia" w:ascii="Times New Roman" w:hAnsi="Times New Roman" w:eastAsia="方正仿宋_GBK" w:cs="宋体"/>
          <w:color w:val="auto"/>
          <w:kern w:val="0"/>
          <w:sz w:val="32"/>
          <w:szCs w:val="32"/>
          <w:lang w:val="en-US" w:eastAsia="zh-CN"/>
        </w:rPr>
        <w:t>10</w:t>
      </w:r>
      <w:r>
        <w:rPr>
          <w:rFonts w:hint="eastAsia" w:ascii="Times New Roman" w:hAnsi="Times New Roman" w:eastAsia="方正仿宋_GBK" w:cs="宋体"/>
          <w:color w:val="auto"/>
          <w:kern w:val="0"/>
          <w:sz w:val="32"/>
          <w:szCs w:val="32"/>
        </w:rPr>
        <w:t>个项目开展了绩效自评，其中，以填报目标自评表形式开展自评</w:t>
      </w:r>
      <w:r>
        <w:rPr>
          <w:rFonts w:hint="eastAsia" w:ascii="Times New Roman" w:hAnsi="Times New Roman" w:eastAsia="方正仿宋_GBK" w:cs="宋体"/>
          <w:color w:val="auto"/>
          <w:kern w:val="0"/>
          <w:sz w:val="32"/>
          <w:szCs w:val="32"/>
          <w:lang w:val="en-US" w:eastAsia="zh-CN"/>
        </w:rPr>
        <w:t>10</w:t>
      </w:r>
      <w:r>
        <w:rPr>
          <w:rFonts w:hint="eastAsia" w:ascii="Times New Roman" w:hAnsi="Times New Roman" w:eastAsia="方正仿宋_GBK" w:cs="宋体"/>
          <w:color w:val="auto"/>
          <w:kern w:val="0"/>
          <w:sz w:val="32"/>
          <w:szCs w:val="32"/>
        </w:rPr>
        <w:t>项，涉及资金</w:t>
      </w:r>
      <w:r>
        <w:rPr>
          <w:rFonts w:hint="eastAsia" w:ascii="Times New Roman" w:hAnsi="Times New Roman" w:eastAsia="方正仿宋_GBK" w:cs="宋体"/>
          <w:color w:val="auto"/>
          <w:kern w:val="0"/>
          <w:sz w:val="32"/>
          <w:szCs w:val="32"/>
          <w:lang w:val="en-US" w:eastAsia="zh-CN"/>
        </w:rPr>
        <w:t>2319.09</w:t>
      </w:r>
      <w:r>
        <w:rPr>
          <w:rFonts w:hint="eastAsia" w:ascii="Times New Roman" w:hAnsi="Times New Roman" w:eastAsia="方正仿宋_GBK" w:cs="宋体"/>
          <w:color w:val="auto"/>
          <w:kern w:val="0"/>
          <w:sz w:val="32"/>
          <w:szCs w:val="32"/>
        </w:rPr>
        <w:t>万元</w:t>
      </w:r>
      <w:r>
        <w:rPr>
          <w:rFonts w:hint="eastAsia" w:ascii="Times New Roman" w:hAnsi="Times New Roman" w:eastAsia="方正仿宋_GBK" w:cs="宋体"/>
          <w:color w:val="auto"/>
          <w:kern w:val="0"/>
          <w:sz w:val="32"/>
          <w:szCs w:val="32"/>
          <w:lang w:eastAsia="zh-CN"/>
        </w:rPr>
        <w:t>，</w:t>
      </w:r>
      <w:r>
        <w:rPr>
          <w:rFonts w:hint="eastAsia" w:ascii="Times New Roman" w:hAnsi="Times New Roman" w:eastAsia="方正仿宋_GBK" w:cs="宋体"/>
          <w:color w:val="auto"/>
          <w:kern w:val="0"/>
          <w:sz w:val="32"/>
          <w:szCs w:val="32"/>
        </w:rPr>
        <w:t>从评价情况来看，</w:t>
      </w:r>
      <w:r>
        <w:rPr>
          <w:rFonts w:hint="eastAsia" w:ascii="Times New Roman" w:hAnsi="Times New Roman" w:eastAsia="方正仿宋_GBK" w:cs="方正仿宋_GBK"/>
          <w:color w:val="auto"/>
          <w:sz w:val="32"/>
          <w:szCs w:val="32"/>
          <w:lang w:eastAsia="zh-CN"/>
        </w:rPr>
        <w:t>项目均达到了项目申报时设定的各项绩效目标。</w:t>
      </w:r>
    </w:p>
    <w:p>
      <w:pPr>
        <w:pStyle w:val="14"/>
        <w:keepNext w:val="0"/>
        <w:keepLines w:val="0"/>
        <w:pageBreakBefore w:val="0"/>
        <w:widowControl w:val="0"/>
        <w:tabs>
          <w:tab w:val="center" w:pos="4153"/>
          <w:tab w:val="left" w:pos="7275"/>
        </w:tabs>
        <w:kinsoku/>
        <w:wordWrap/>
        <w:overflowPunct/>
        <w:topLinePunct w:val="0"/>
        <w:bidi w:val="0"/>
        <w:adjustRightInd/>
        <w:snapToGrid/>
        <w:spacing w:beforeAutospacing="0" w:afterAutospacing="0" w:line="594" w:lineRule="exact"/>
        <w:ind w:firstLine="640"/>
        <w:jc w:val="both"/>
        <w:textAlignment w:val="auto"/>
        <w:rPr>
          <w:rStyle w:val="10"/>
          <w:rFonts w:hint="eastAsia" w:ascii="方正楷体_GBK" w:hAnsi="方正楷体_GBK" w:eastAsia="方正楷体_GBK" w:cs="方正楷体_GBK"/>
          <w:b w:val="0"/>
          <w:bCs w:val="0"/>
          <w:color w:val="auto"/>
          <w:kern w:val="0"/>
          <w:sz w:val="32"/>
          <w:szCs w:val="32"/>
          <w:lang w:val="en-US" w:eastAsia="zh-CN" w:bidi="ar-SA"/>
        </w:rPr>
      </w:pPr>
      <w:r>
        <w:rPr>
          <w:rStyle w:val="10"/>
          <w:rFonts w:hint="eastAsia" w:ascii="方正楷体_GBK" w:hAnsi="方正楷体_GBK" w:eastAsia="方正楷体_GBK" w:cs="方正楷体_GBK"/>
          <w:b w:val="0"/>
          <w:bCs w:val="0"/>
          <w:color w:val="auto"/>
          <w:kern w:val="0"/>
          <w:sz w:val="32"/>
          <w:szCs w:val="32"/>
          <w:lang w:val="en-US" w:eastAsia="zh-CN" w:bidi="ar-SA"/>
        </w:rPr>
        <w:t>（二）绩效自评结果</w:t>
      </w:r>
    </w:p>
    <w:p>
      <w:pPr>
        <w:pStyle w:val="14"/>
        <w:keepNext w:val="0"/>
        <w:keepLines w:val="0"/>
        <w:pageBreakBefore w:val="0"/>
        <w:widowControl w:val="0"/>
        <w:tabs>
          <w:tab w:val="center" w:pos="4153"/>
          <w:tab w:val="left" w:pos="7275"/>
        </w:tabs>
        <w:kinsoku/>
        <w:wordWrap/>
        <w:overflowPunct/>
        <w:topLinePunct w:val="0"/>
        <w:bidi w:val="0"/>
        <w:adjustRightInd/>
        <w:snapToGrid/>
        <w:spacing w:beforeAutospacing="0" w:afterAutospacing="0" w:line="594" w:lineRule="exact"/>
        <w:ind w:firstLine="640"/>
        <w:jc w:val="both"/>
        <w:textAlignment w:val="auto"/>
        <w:rPr>
          <w:rFonts w:hint="eastAsia" w:ascii="Times New Roman" w:hAnsi="Times New Roman" w:eastAsia="方正仿宋_GBK" w:cs="宋体"/>
          <w:color w:val="auto"/>
          <w:kern w:val="0"/>
          <w:sz w:val="32"/>
          <w:szCs w:val="32"/>
        </w:rPr>
      </w:pPr>
      <w:r>
        <w:rPr>
          <w:rFonts w:hint="eastAsia" w:ascii="Times New Roman" w:hAnsi="Times New Roman" w:eastAsia="方正仿宋_GBK" w:cs="宋体"/>
          <w:color w:val="auto"/>
          <w:kern w:val="0"/>
          <w:sz w:val="32"/>
          <w:szCs w:val="32"/>
        </w:rPr>
        <w:t>1.绩效自评表</w:t>
      </w:r>
    </w:p>
    <w:p>
      <w:pPr>
        <w:keepNext w:val="0"/>
        <w:keepLines w:val="0"/>
        <w:pageBreakBefore w:val="0"/>
        <w:widowControl w:val="0"/>
        <w:kinsoku/>
        <w:wordWrap/>
        <w:overflowPunct/>
        <w:topLinePunct w:val="0"/>
        <w:autoSpaceDN w:val="0"/>
        <w:bidi w:val="0"/>
        <w:adjustRightInd/>
        <w:snapToGrid/>
        <w:spacing w:beforeAutospacing="0" w:afterAutospacing="0" w:line="594" w:lineRule="exact"/>
        <w:ind w:firstLine="640" w:firstLineChars="200"/>
        <w:jc w:val="both"/>
        <w:textAlignment w:val="auto"/>
        <w:rPr>
          <w:rFonts w:hint="eastAsia" w:ascii="方正仿宋_GBK" w:hAnsi="方正仿宋_GBK" w:eastAsia="方正仿宋_GBK" w:cs="方正仿宋_GBK"/>
          <w:color w:val="auto"/>
          <w:kern w:val="0"/>
          <w:sz w:val="32"/>
          <w:szCs w:val="32"/>
          <w:lang w:eastAsia="zh-CN"/>
        </w:rPr>
      </w:pPr>
      <w:r>
        <w:rPr>
          <w:rFonts w:hint="eastAsia" w:ascii="Times New Roman" w:hAnsi="Times New Roman" w:eastAsia="方正仿宋_GBK" w:cs="方正仿宋_GBK"/>
          <w:color w:val="auto"/>
          <w:kern w:val="0"/>
          <w:sz w:val="32"/>
          <w:szCs w:val="32"/>
          <w:lang w:eastAsia="zh-CN"/>
        </w:rPr>
        <w:t>治理超限超载车辆专项项目绩效目标自评综述：根据年初设定的绩效目标，我局加强了对辖区公路上行驶的超限超载车辆的监管，确保了辖区公路治超工作正常运行，保障了交通安。该项目全年预算数为</w:t>
      </w:r>
      <w:r>
        <w:rPr>
          <w:rFonts w:hint="default" w:ascii="Times New Roman" w:hAnsi="Times New Roman" w:eastAsia="方正仿宋_GBK" w:cs="宋体"/>
          <w:color w:val="auto"/>
          <w:kern w:val="0"/>
          <w:sz w:val="32"/>
          <w:szCs w:val="32"/>
          <w:lang w:val="en-US"/>
        </w:rPr>
        <w:t>1</w:t>
      </w:r>
      <w:r>
        <w:rPr>
          <w:rFonts w:hint="eastAsia" w:ascii="Times New Roman" w:hAnsi="Times New Roman" w:eastAsia="方正仿宋_GBK" w:cs="宋体"/>
          <w:color w:val="auto"/>
          <w:kern w:val="0"/>
          <w:sz w:val="32"/>
          <w:szCs w:val="32"/>
          <w:lang w:val="en-US" w:eastAsia="zh-CN"/>
        </w:rPr>
        <w:t>9</w:t>
      </w:r>
      <w:r>
        <w:rPr>
          <w:rFonts w:hint="default" w:ascii="Times New Roman" w:hAnsi="Times New Roman" w:eastAsia="方正仿宋_GBK" w:cs="宋体"/>
          <w:color w:val="auto"/>
          <w:kern w:val="0"/>
          <w:sz w:val="32"/>
          <w:szCs w:val="32"/>
          <w:lang w:val="en-US"/>
        </w:rPr>
        <w:t>0</w:t>
      </w:r>
      <w:r>
        <w:rPr>
          <w:rFonts w:hint="eastAsia" w:ascii="Times New Roman" w:hAnsi="Times New Roman" w:eastAsia="方正仿宋_GBK" w:cs="方正仿宋_GBK"/>
          <w:color w:val="auto"/>
          <w:kern w:val="0"/>
          <w:sz w:val="32"/>
          <w:szCs w:val="32"/>
          <w:lang w:eastAsia="zh-CN"/>
        </w:rPr>
        <w:t>万元，执行数为</w:t>
      </w:r>
      <w:r>
        <w:rPr>
          <w:rFonts w:hint="default" w:ascii="Times New Roman" w:hAnsi="Times New Roman" w:eastAsia="方正仿宋_GBK" w:cs="宋体"/>
          <w:color w:val="auto"/>
          <w:kern w:val="0"/>
          <w:sz w:val="32"/>
          <w:szCs w:val="32"/>
          <w:lang w:val="en-US"/>
        </w:rPr>
        <w:t>1</w:t>
      </w:r>
      <w:r>
        <w:rPr>
          <w:rFonts w:hint="eastAsia" w:ascii="Times New Roman" w:hAnsi="Times New Roman" w:eastAsia="方正仿宋_GBK" w:cs="宋体"/>
          <w:color w:val="auto"/>
          <w:kern w:val="0"/>
          <w:sz w:val="32"/>
          <w:szCs w:val="32"/>
          <w:lang w:val="en-US" w:eastAsia="zh-CN"/>
        </w:rPr>
        <w:t>9</w:t>
      </w:r>
      <w:r>
        <w:rPr>
          <w:rFonts w:hint="default" w:ascii="Times New Roman" w:hAnsi="Times New Roman" w:eastAsia="方正仿宋_GBK" w:cs="宋体"/>
          <w:color w:val="auto"/>
          <w:kern w:val="0"/>
          <w:sz w:val="32"/>
          <w:szCs w:val="32"/>
          <w:lang w:val="en-US"/>
        </w:rPr>
        <w:t>0</w:t>
      </w:r>
      <w:r>
        <w:rPr>
          <w:rFonts w:hint="eastAsia" w:ascii="Times New Roman" w:hAnsi="Times New Roman" w:eastAsia="方正仿宋_GBK" w:cs="方正仿宋_GBK"/>
          <w:color w:val="auto"/>
          <w:kern w:val="0"/>
          <w:sz w:val="32"/>
          <w:szCs w:val="32"/>
          <w:lang w:eastAsia="zh-CN"/>
        </w:rPr>
        <w:t>万元，完成预算的</w:t>
      </w:r>
      <w:r>
        <w:rPr>
          <w:rFonts w:hint="default" w:ascii="Times New Roman" w:hAnsi="Times New Roman" w:eastAsia="方正仿宋_GBK" w:cs="宋体"/>
          <w:color w:val="auto"/>
          <w:kern w:val="0"/>
          <w:sz w:val="32"/>
          <w:szCs w:val="32"/>
          <w:lang w:val="en-US"/>
        </w:rPr>
        <w:t>100%</w:t>
      </w:r>
      <w:r>
        <w:rPr>
          <w:rFonts w:hint="eastAsia" w:ascii="Times New Roman" w:hAnsi="Times New Roman" w:eastAsia="方正仿宋_GBK" w:cs="方正仿宋_GBK"/>
          <w:color w:val="auto"/>
          <w:kern w:val="0"/>
          <w:sz w:val="32"/>
          <w:szCs w:val="32"/>
          <w:lang w:eastAsia="zh-CN"/>
        </w:rPr>
        <w:t>。主要产出和效果：我局聘用治超人员</w:t>
      </w:r>
      <w:r>
        <w:rPr>
          <w:rFonts w:hint="eastAsia" w:ascii="Times New Roman" w:hAnsi="Times New Roman" w:eastAsia="方正仿宋_GBK" w:cs="宋体"/>
          <w:color w:val="auto"/>
          <w:kern w:val="0"/>
          <w:sz w:val="32"/>
          <w:szCs w:val="32"/>
          <w:lang w:val="en-US" w:eastAsia="zh-CN"/>
        </w:rPr>
        <w:t>30</w:t>
      </w:r>
      <w:r>
        <w:rPr>
          <w:rFonts w:hint="eastAsia" w:ascii="Times New Roman" w:hAnsi="Times New Roman" w:eastAsia="方正仿宋_GBK" w:cs="方正仿宋_GBK"/>
          <w:color w:val="auto"/>
          <w:kern w:val="0"/>
          <w:sz w:val="32"/>
          <w:szCs w:val="32"/>
          <w:lang w:eastAsia="zh-CN"/>
        </w:rPr>
        <w:t>名，在全区开展</w:t>
      </w:r>
      <w:r>
        <w:rPr>
          <w:rFonts w:hint="default" w:ascii="Times New Roman" w:hAnsi="Times New Roman" w:eastAsia="方正仿宋_GBK" w:cs="宋体"/>
          <w:color w:val="auto"/>
          <w:kern w:val="0"/>
          <w:sz w:val="32"/>
          <w:szCs w:val="32"/>
          <w:lang w:val="en-US"/>
        </w:rPr>
        <w:t>24</w:t>
      </w:r>
      <w:r>
        <w:rPr>
          <w:rFonts w:hint="eastAsia" w:ascii="Times New Roman" w:hAnsi="Times New Roman" w:eastAsia="方正仿宋_GBK" w:cs="方正仿宋_GBK"/>
          <w:color w:val="auto"/>
          <w:kern w:val="0"/>
          <w:sz w:val="32"/>
          <w:szCs w:val="32"/>
          <w:lang w:eastAsia="zh-CN"/>
        </w:rPr>
        <w:t>小时流动治超工作，加强了对辖区公路上行驶的超限超载车辆的监管，切实维护了路产路权。</w:t>
      </w:r>
    </w:p>
    <w:p>
      <w:pPr>
        <w:keepNext w:val="0"/>
        <w:keepLines w:val="0"/>
        <w:pageBreakBefore w:val="0"/>
        <w:widowControl w:val="0"/>
        <w:kinsoku/>
        <w:wordWrap/>
        <w:overflowPunct/>
        <w:topLinePunct w:val="0"/>
        <w:bidi w:val="0"/>
        <w:adjustRightInd/>
        <w:snapToGrid/>
        <w:textAlignment w:val="auto"/>
        <w:rPr>
          <w:color w:val="auto"/>
        </w:rPr>
      </w:pPr>
    </w:p>
    <w:tbl>
      <w:tblPr>
        <w:tblStyle w:val="8"/>
        <w:tblW w:w="9160" w:type="dxa"/>
        <w:tblInd w:w="-215" w:type="dxa"/>
        <w:tblLayout w:type="fixed"/>
        <w:tblCellMar>
          <w:top w:w="0" w:type="dxa"/>
          <w:left w:w="108" w:type="dxa"/>
          <w:bottom w:w="0" w:type="dxa"/>
          <w:right w:w="108" w:type="dxa"/>
        </w:tblCellMar>
      </w:tblPr>
      <w:tblGrid>
        <w:gridCol w:w="845"/>
        <w:gridCol w:w="1132"/>
        <w:gridCol w:w="645"/>
        <w:gridCol w:w="786"/>
        <w:gridCol w:w="597"/>
        <w:gridCol w:w="1209"/>
        <w:gridCol w:w="772"/>
        <w:gridCol w:w="699"/>
        <w:gridCol w:w="772"/>
        <w:gridCol w:w="786"/>
        <w:gridCol w:w="917"/>
      </w:tblGrid>
      <w:tr>
        <w:tblPrEx>
          <w:tblCellMar>
            <w:top w:w="0" w:type="dxa"/>
            <w:left w:w="108" w:type="dxa"/>
            <w:bottom w:w="0" w:type="dxa"/>
            <w:right w:w="108" w:type="dxa"/>
          </w:tblCellMar>
        </w:tblPrEx>
        <w:trPr>
          <w:trHeight w:val="601" w:hRule="atLeast"/>
        </w:trPr>
        <w:tc>
          <w:tcPr>
            <w:tcW w:w="9160" w:type="dxa"/>
            <w:gridSpan w:val="11"/>
            <w:tcBorders>
              <w:top w:val="nil"/>
              <w:left w:val="nil"/>
              <w:bottom w:val="nil"/>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spacing w:beforeAutospacing="0" w:afterAutospacing="0" w:line="594" w:lineRule="exact"/>
              <w:jc w:val="both"/>
              <w:textAlignment w:val="auto"/>
              <w:rPr>
                <w:rFonts w:ascii="Times New Roman" w:hAnsi="Times New Roman" w:eastAsia="方正小标宋_GBK"/>
                <w:color w:val="auto"/>
                <w:sz w:val="36"/>
                <w:szCs w:val="36"/>
              </w:rPr>
            </w:pPr>
          </w:p>
          <w:p>
            <w:pPr>
              <w:keepNext w:val="0"/>
              <w:keepLines w:val="0"/>
              <w:pageBreakBefore w:val="0"/>
              <w:widowControl w:val="0"/>
              <w:kinsoku/>
              <w:wordWrap/>
              <w:overflowPunct/>
              <w:topLinePunct w:val="0"/>
              <w:autoSpaceDN w:val="0"/>
              <w:bidi w:val="0"/>
              <w:adjustRightInd/>
              <w:snapToGrid/>
              <w:spacing w:beforeAutospacing="0" w:afterAutospacing="0" w:line="594" w:lineRule="exact"/>
              <w:jc w:val="center"/>
              <w:textAlignment w:val="auto"/>
              <w:rPr>
                <w:rFonts w:ascii="Times New Roman" w:hAnsi="Times New Roman" w:eastAsia="方正小标宋_GBK"/>
                <w:color w:val="auto"/>
                <w:sz w:val="36"/>
                <w:szCs w:val="36"/>
              </w:rPr>
            </w:pPr>
            <w:r>
              <w:rPr>
                <w:rFonts w:hint="eastAsia" w:ascii="Times New Roman" w:hAnsi="Times New Roman" w:eastAsia="方正小标宋_GBK"/>
                <w:color w:val="auto"/>
                <w:sz w:val="36"/>
                <w:szCs w:val="36"/>
              </w:rPr>
              <w:t>一级项目绩效自评表</w:t>
            </w:r>
          </w:p>
        </w:tc>
      </w:tr>
      <w:tr>
        <w:tblPrEx>
          <w:tblCellMar>
            <w:top w:w="0" w:type="dxa"/>
            <w:left w:w="108" w:type="dxa"/>
            <w:bottom w:w="0" w:type="dxa"/>
            <w:right w:w="108" w:type="dxa"/>
          </w:tblCellMar>
        </w:tblPrEx>
        <w:trPr>
          <w:trHeight w:val="23" w:hRule="atLeast"/>
        </w:trPr>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项目名称</w:t>
            </w:r>
          </w:p>
        </w:tc>
        <w:tc>
          <w:tcPr>
            <w:tcW w:w="1777"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治理超限超载车辆专项</w:t>
            </w:r>
            <w:r>
              <w:rPr>
                <w:rFonts w:hint="default" w:ascii="方正仿宋_GBK" w:hAnsi="宋体" w:eastAsia="方正仿宋_GBK" w:cs="宋体"/>
                <w:color w:val="auto"/>
                <w:kern w:val="0"/>
                <w:sz w:val="18"/>
                <w:szCs w:val="18"/>
              </w:rPr>
              <w:t xml:space="preserve"> </w:t>
            </w:r>
          </w:p>
        </w:tc>
        <w:tc>
          <w:tcPr>
            <w:tcW w:w="78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项目编码</w:t>
            </w:r>
          </w:p>
        </w:tc>
        <w:tc>
          <w:tcPr>
            <w:tcW w:w="1806"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2020B102820021218</w:t>
            </w:r>
          </w:p>
        </w:tc>
        <w:tc>
          <w:tcPr>
            <w:tcW w:w="77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自评总分</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（分）</w:t>
            </w:r>
          </w:p>
        </w:tc>
        <w:tc>
          <w:tcPr>
            <w:tcW w:w="3174"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96</w:t>
            </w:r>
          </w:p>
        </w:tc>
      </w:tr>
      <w:tr>
        <w:tblPrEx>
          <w:tblCellMar>
            <w:top w:w="0" w:type="dxa"/>
            <w:left w:w="108" w:type="dxa"/>
            <w:bottom w:w="0" w:type="dxa"/>
            <w:right w:w="108" w:type="dxa"/>
          </w:tblCellMar>
        </w:tblPrEx>
        <w:trPr>
          <w:trHeight w:val="795" w:hRule="atLeast"/>
        </w:trPr>
        <w:tc>
          <w:tcPr>
            <w:tcW w:w="84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主管部门</w:t>
            </w:r>
          </w:p>
        </w:tc>
        <w:tc>
          <w:tcPr>
            <w:tcW w:w="1777"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重庆市南岸区交通局</w:t>
            </w:r>
          </w:p>
        </w:tc>
        <w:tc>
          <w:tcPr>
            <w:tcW w:w="78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财政处室</w:t>
            </w:r>
          </w:p>
        </w:tc>
        <w:tc>
          <w:tcPr>
            <w:tcW w:w="1806"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lang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eastAsia="zh-CN"/>
              </w:rPr>
              <w:t>经建科</w:t>
            </w:r>
          </w:p>
        </w:tc>
        <w:tc>
          <w:tcPr>
            <w:tcW w:w="7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lang w:eastAsia="zh-CN"/>
              </w:rPr>
              <w:t>项</w:t>
            </w:r>
            <w:r>
              <w:rPr>
                <w:rFonts w:hint="eastAsia" w:ascii="方正仿宋_GBK" w:hAnsi="宋体" w:eastAsia="方正仿宋_GBK" w:cs="宋体"/>
                <w:color w:val="auto"/>
                <w:kern w:val="0"/>
                <w:sz w:val="18"/>
                <w:szCs w:val="18"/>
              </w:rPr>
              <w:t>目</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联系人</w:t>
            </w:r>
          </w:p>
        </w:tc>
        <w:tc>
          <w:tcPr>
            <w:tcW w:w="69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lang w:eastAsia="zh-CN"/>
              </w:rPr>
            </w:pPr>
            <w:r>
              <w:rPr>
                <w:rFonts w:hint="eastAsia" w:ascii="方正仿宋_GBK" w:hAnsi="宋体" w:eastAsia="方正仿宋_GBK" w:cs="宋体"/>
                <w:color w:val="auto"/>
                <w:kern w:val="0"/>
                <w:sz w:val="18"/>
                <w:szCs w:val="18"/>
                <w:lang w:eastAsia="zh-CN"/>
              </w:rPr>
              <w:t>程杰</w:t>
            </w:r>
          </w:p>
        </w:tc>
        <w:tc>
          <w:tcPr>
            <w:tcW w:w="7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联系电话</w:t>
            </w:r>
          </w:p>
        </w:tc>
        <w:tc>
          <w:tcPr>
            <w:tcW w:w="1703"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62980755</w:t>
            </w:r>
          </w:p>
        </w:tc>
      </w:tr>
      <w:tr>
        <w:tblPrEx>
          <w:tblCellMar>
            <w:top w:w="0" w:type="dxa"/>
            <w:left w:w="108" w:type="dxa"/>
            <w:bottom w:w="0" w:type="dxa"/>
            <w:right w:w="108" w:type="dxa"/>
          </w:tblCellMar>
        </w:tblPrEx>
        <w:trPr>
          <w:cantSplit/>
          <w:trHeight w:val="23" w:hRule="atLeast"/>
        </w:trPr>
        <w:tc>
          <w:tcPr>
            <w:tcW w:w="84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项目资金（万元）</w:t>
            </w:r>
          </w:p>
        </w:tc>
        <w:tc>
          <w:tcPr>
            <w:tcW w:w="113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c>
          <w:tcPr>
            <w:tcW w:w="1431"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年初预算数</w:t>
            </w:r>
          </w:p>
        </w:tc>
        <w:tc>
          <w:tcPr>
            <w:tcW w:w="1806"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全年（调整）预算数</w:t>
            </w:r>
          </w:p>
        </w:tc>
        <w:tc>
          <w:tcPr>
            <w:tcW w:w="1471"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全年执行数</w:t>
            </w:r>
          </w:p>
        </w:tc>
        <w:tc>
          <w:tcPr>
            <w:tcW w:w="7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执行率</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w:t>
            </w:r>
          </w:p>
        </w:tc>
        <w:tc>
          <w:tcPr>
            <w:tcW w:w="78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执行率</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权重</w:t>
            </w:r>
          </w:p>
        </w:tc>
        <w:tc>
          <w:tcPr>
            <w:tcW w:w="91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执行率得分</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（分）</w:t>
            </w:r>
          </w:p>
        </w:tc>
      </w:tr>
      <w:tr>
        <w:tblPrEx>
          <w:tblCellMar>
            <w:top w:w="0" w:type="dxa"/>
            <w:left w:w="108" w:type="dxa"/>
            <w:bottom w:w="0" w:type="dxa"/>
            <w:right w:w="108" w:type="dxa"/>
          </w:tblCellMar>
        </w:tblPrEx>
        <w:trPr>
          <w:cantSplit/>
          <w:trHeight w:val="510" w:hRule="atLeast"/>
        </w:trPr>
        <w:tc>
          <w:tcPr>
            <w:tcW w:w="84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p>
        </w:tc>
        <w:tc>
          <w:tcPr>
            <w:tcW w:w="113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年度总金额</w:t>
            </w:r>
          </w:p>
        </w:tc>
        <w:tc>
          <w:tcPr>
            <w:tcW w:w="1431"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eastAsia="方正仿宋_GBK" w:cs="宋体"/>
                <w:color w:val="auto"/>
                <w:kern w:val="0"/>
                <w:sz w:val="18"/>
                <w:szCs w:val="18"/>
                <w:lang w:val="en-US" w:eastAsia="zh-CN"/>
              </w:rPr>
              <w:t>190</w:t>
            </w:r>
          </w:p>
        </w:tc>
        <w:tc>
          <w:tcPr>
            <w:tcW w:w="1806"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eastAsia="方正仿宋_GBK" w:cs="宋体"/>
                <w:color w:val="auto"/>
                <w:kern w:val="0"/>
                <w:sz w:val="18"/>
                <w:szCs w:val="18"/>
                <w:lang w:val="en-US" w:eastAsia="zh-CN"/>
              </w:rPr>
              <w:t>190</w:t>
            </w:r>
          </w:p>
        </w:tc>
        <w:tc>
          <w:tcPr>
            <w:tcW w:w="1471"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eastAsia="方正仿宋_GBK" w:cs="宋体"/>
                <w:color w:val="auto"/>
                <w:kern w:val="0"/>
                <w:sz w:val="18"/>
                <w:szCs w:val="18"/>
                <w:lang w:val="en-US" w:eastAsia="zh-CN"/>
              </w:rPr>
              <w:t>190</w:t>
            </w:r>
          </w:p>
        </w:tc>
        <w:tc>
          <w:tcPr>
            <w:tcW w:w="7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eastAsia="方正仿宋_GBK" w:cs="宋体"/>
                <w:color w:val="auto"/>
                <w:kern w:val="0"/>
                <w:sz w:val="18"/>
                <w:szCs w:val="18"/>
                <w:lang w:val="en-US" w:eastAsia="zh-CN"/>
              </w:rPr>
              <w:t>100</w:t>
            </w:r>
          </w:p>
        </w:tc>
        <w:tc>
          <w:tcPr>
            <w:tcW w:w="78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val="en-US" w:eastAsia="zh-CN"/>
              </w:rPr>
              <w:t>10</w:t>
            </w:r>
            <w:r>
              <w:rPr>
                <w:rFonts w:hint="eastAsia" w:ascii="方正仿宋_GBK" w:hAnsi="宋体" w:eastAsia="方正仿宋_GBK" w:cs="宋体"/>
                <w:color w:val="auto"/>
                <w:kern w:val="0"/>
                <w:sz w:val="18"/>
                <w:szCs w:val="18"/>
              </w:rPr>
              <w:t>　</w:t>
            </w:r>
          </w:p>
        </w:tc>
        <w:tc>
          <w:tcPr>
            <w:tcW w:w="91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val="en-US" w:eastAsia="zh-CN"/>
              </w:rPr>
              <w:t>10</w:t>
            </w:r>
            <w:r>
              <w:rPr>
                <w:rFonts w:hint="eastAsia" w:ascii="方正仿宋_GBK" w:hAnsi="宋体" w:eastAsia="方正仿宋_GBK" w:cs="宋体"/>
                <w:color w:val="auto"/>
                <w:kern w:val="0"/>
                <w:sz w:val="18"/>
                <w:szCs w:val="18"/>
              </w:rPr>
              <w:t>　</w:t>
            </w:r>
          </w:p>
        </w:tc>
      </w:tr>
      <w:tr>
        <w:tblPrEx>
          <w:tblCellMar>
            <w:top w:w="0" w:type="dxa"/>
            <w:left w:w="108" w:type="dxa"/>
            <w:bottom w:w="0" w:type="dxa"/>
            <w:right w:w="108" w:type="dxa"/>
          </w:tblCellMar>
        </w:tblPrEx>
        <w:trPr>
          <w:cantSplit/>
          <w:trHeight w:val="23" w:hRule="atLeast"/>
        </w:trPr>
        <w:tc>
          <w:tcPr>
            <w:tcW w:w="84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p>
        </w:tc>
        <w:tc>
          <w:tcPr>
            <w:tcW w:w="113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其中：区级支出</w:t>
            </w:r>
          </w:p>
        </w:tc>
        <w:tc>
          <w:tcPr>
            <w:tcW w:w="1431"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val="en-US" w:eastAsia="zh-CN"/>
              </w:rPr>
              <w:t>190</w:t>
            </w:r>
            <w:r>
              <w:rPr>
                <w:rFonts w:hint="eastAsia" w:ascii="方正仿宋_GBK" w:hAnsi="宋体" w:eastAsia="方正仿宋_GBK" w:cs="宋体"/>
                <w:color w:val="auto"/>
                <w:kern w:val="0"/>
                <w:sz w:val="18"/>
                <w:szCs w:val="18"/>
              </w:rPr>
              <w:t>　</w:t>
            </w:r>
          </w:p>
        </w:tc>
        <w:tc>
          <w:tcPr>
            <w:tcW w:w="1806"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val="en-US" w:eastAsia="zh-CN"/>
              </w:rPr>
              <w:t>190</w:t>
            </w:r>
            <w:r>
              <w:rPr>
                <w:rFonts w:hint="eastAsia" w:ascii="方正仿宋_GBK" w:hAnsi="宋体" w:eastAsia="方正仿宋_GBK" w:cs="宋体"/>
                <w:color w:val="auto"/>
                <w:kern w:val="0"/>
                <w:sz w:val="18"/>
                <w:szCs w:val="18"/>
              </w:rPr>
              <w:t>　</w:t>
            </w:r>
          </w:p>
        </w:tc>
        <w:tc>
          <w:tcPr>
            <w:tcW w:w="1471"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r>
              <w:rPr>
                <w:rFonts w:hint="eastAsia" w:ascii="方正仿宋_GBK" w:eastAsia="方正仿宋_GBK" w:cs="宋体"/>
                <w:color w:val="auto"/>
                <w:kern w:val="0"/>
                <w:sz w:val="18"/>
                <w:szCs w:val="18"/>
                <w:lang w:val="en-US" w:eastAsia="zh-CN"/>
              </w:rPr>
              <w:t>190</w:t>
            </w:r>
          </w:p>
        </w:tc>
        <w:tc>
          <w:tcPr>
            <w:tcW w:w="7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val="en-US" w:eastAsia="zh-CN"/>
              </w:rPr>
              <w:t>100</w:t>
            </w:r>
            <w:r>
              <w:rPr>
                <w:rFonts w:hint="eastAsia" w:ascii="方正仿宋_GBK" w:hAnsi="宋体" w:eastAsia="方正仿宋_GBK" w:cs="宋体"/>
                <w:color w:val="auto"/>
                <w:kern w:val="0"/>
                <w:sz w:val="18"/>
                <w:szCs w:val="18"/>
              </w:rPr>
              <w:t>　</w:t>
            </w:r>
          </w:p>
        </w:tc>
        <w:tc>
          <w:tcPr>
            <w:tcW w:w="78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eastAsia="方正仿宋_GBK" w:cs="宋体"/>
                <w:color w:val="auto"/>
                <w:kern w:val="0"/>
                <w:sz w:val="18"/>
                <w:szCs w:val="18"/>
                <w:lang w:val="en-US" w:eastAsia="zh-CN"/>
              </w:rPr>
              <w:t>10</w:t>
            </w:r>
          </w:p>
        </w:tc>
        <w:tc>
          <w:tcPr>
            <w:tcW w:w="91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val="en-US" w:eastAsia="zh-CN"/>
              </w:rPr>
              <w:t>10</w:t>
            </w:r>
            <w:r>
              <w:rPr>
                <w:rFonts w:hint="eastAsia" w:ascii="方正仿宋_GBK" w:hAnsi="宋体" w:eastAsia="方正仿宋_GBK" w:cs="宋体"/>
                <w:color w:val="auto"/>
                <w:kern w:val="0"/>
                <w:sz w:val="18"/>
                <w:szCs w:val="18"/>
              </w:rPr>
              <w:t>　</w:t>
            </w:r>
          </w:p>
        </w:tc>
      </w:tr>
      <w:tr>
        <w:tblPrEx>
          <w:tblCellMar>
            <w:top w:w="0" w:type="dxa"/>
            <w:left w:w="108" w:type="dxa"/>
            <w:bottom w:w="0" w:type="dxa"/>
            <w:right w:w="108" w:type="dxa"/>
          </w:tblCellMar>
        </w:tblPrEx>
        <w:trPr>
          <w:cantSplit/>
          <w:trHeight w:val="23" w:hRule="atLeast"/>
        </w:trPr>
        <w:tc>
          <w:tcPr>
            <w:tcW w:w="84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r>
              <w:rPr>
                <w:rFonts w:hint="eastAsia" w:ascii="Times New Roman" w:hAnsi="Times New Roman" w:eastAsia="方正仿宋_GBK"/>
                <w:color w:val="auto"/>
                <w:sz w:val="18"/>
                <w:szCs w:val="18"/>
              </w:rPr>
              <w:t>当年绩效目标</w:t>
            </w:r>
          </w:p>
        </w:tc>
        <w:tc>
          <w:tcPr>
            <w:tcW w:w="2563"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r>
              <w:rPr>
                <w:rFonts w:hint="eastAsia" w:ascii="Times New Roman" w:hAnsi="Times New Roman" w:eastAsia="方正仿宋_GBK"/>
                <w:color w:val="auto"/>
                <w:sz w:val="18"/>
                <w:szCs w:val="18"/>
              </w:rPr>
              <w:t>年初绩效目标</w:t>
            </w:r>
          </w:p>
        </w:tc>
        <w:tc>
          <w:tcPr>
            <w:tcW w:w="3277"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r>
              <w:rPr>
                <w:rFonts w:hint="eastAsia" w:ascii="Times New Roman" w:hAnsi="Times New Roman" w:eastAsia="方正仿宋_GBK"/>
                <w:color w:val="auto"/>
                <w:sz w:val="18"/>
                <w:szCs w:val="18"/>
              </w:rPr>
              <w:t>全年（调整）绩效目标</w:t>
            </w:r>
          </w:p>
        </w:tc>
        <w:tc>
          <w:tcPr>
            <w:tcW w:w="2475"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r>
              <w:rPr>
                <w:rFonts w:hint="eastAsia" w:ascii="Times New Roman" w:hAnsi="Times New Roman" w:eastAsia="方正仿宋_GBK"/>
                <w:color w:val="auto"/>
                <w:sz w:val="18"/>
                <w:szCs w:val="18"/>
              </w:rPr>
              <w:t>全年目标实际完成情况</w:t>
            </w:r>
          </w:p>
        </w:tc>
      </w:tr>
      <w:tr>
        <w:tblPrEx>
          <w:tblCellMar>
            <w:top w:w="0" w:type="dxa"/>
            <w:left w:w="108" w:type="dxa"/>
            <w:bottom w:w="0" w:type="dxa"/>
            <w:right w:w="108" w:type="dxa"/>
          </w:tblCellMar>
        </w:tblPrEx>
        <w:trPr>
          <w:cantSplit/>
          <w:trHeight w:val="23" w:hRule="atLeast"/>
        </w:trPr>
        <w:tc>
          <w:tcPr>
            <w:tcW w:w="84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p>
        </w:tc>
        <w:tc>
          <w:tcPr>
            <w:tcW w:w="2563"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严格执行公路治超工作要求，确保辖区公路治超工作正常运行。</w:t>
            </w:r>
          </w:p>
        </w:tc>
        <w:tc>
          <w:tcPr>
            <w:tcW w:w="3277"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撤销治超站点，开展24小时流动治超，对超限车辆冒装撒漏进行处罚。　</w:t>
            </w:r>
          </w:p>
        </w:tc>
        <w:tc>
          <w:tcPr>
            <w:tcW w:w="2475"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开展24小时流动治超，对超限车辆冒装撒漏进行处罚，确保了辖区公路治超工作正常运行。</w:t>
            </w:r>
          </w:p>
        </w:tc>
      </w:tr>
      <w:tr>
        <w:tblPrEx>
          <w:tblCellMar>
            <w:top w:w="0" w:type="dxa"/>
            <w:left w:w="108" w:type="dxa"/>
            <w:bottom w:w="0" w:type="dxa"/>
            <w:right w:w="108" w:type="dxa"/>
          </w:tblCellMar>
        </w:tblPrEx>
        <w:trPr>
          <w:cantSplit/>
          <w:trHeight w:val="23" w:hRule="atLeast"/>
        </w:trPr>
        <w:tc>
          <w:tcPr>
            <w:tcW w:w="845"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keepNext w:val="0"/>
              <w:keepLines w:val="0"/>
              <w:pageBreakBefore w:val="0"/>
              <w:widowControl w:val="0"/>
              <w:kinsoku/>
              <w:wordWrap/>
              <w:overflowPunct/>
              <w:topLinePunct w:val="0"/>
              <w:autoSpaceDN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r>
              <w:rPr>
                <w:rFonts w:hint="eastAsia" w:ascii="Times New Roman" w:hAnsi="Times New Roman" w:eastAsia="方正仿宋_GBK"/>
                <w:color w:val="auto"/>
                <w:sz w:val="18"/>
                <w:szCs w:val="18"/>
              </w:rPr>
              <w:t>绩效指标</w:t>
            </w:r>
          </w:p>
        </w:tc>
        <w:tc>
          <w:tcPr>
            <w:tcW w:w="113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指标名称</w:t>
            </w:r>
          </w:p>
        </w:tc>
        <w:tc>
          <w:tcPr>
            <w:tcW w:w="64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计量</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单位</w:t>
            </w:r>
          </w:p>
        </w:tc>
        <w:tc>
          <w:tcPr>
            <w:tcW w:w="78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指标</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性质</w:t>
            </w:r>
          </w:p>
        </w:tc>
        <w:tc>
          <w:tcPr>
            <w:tcW w:w="5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年初</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指标值</w:t>
            </w:r>
          </w:p>
        </w:tc>
        <w:tc>
          <w:tcPr>
            <w:tcW w:w="120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调整</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指标值</w:t>
            </w:r>
          </w:p>
        </w:tc>
        <w:tc>
          <w:tcPr>
            <w:tcW w:w="7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全年</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完成值</w:t>
            </w:r>
          </w:p>
        </w:tc>
        <w:tc>
          <w:tcPr>
            <w:tcW w:w="69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得分系数</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w:t>
            </w:r>
          </w:p>
        </w:tc>
        <w:tc>
          <w:tcPr>
            <w:tcW w:w="7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指标权重</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（分）</w:t>
            </w:r>
          </w:p>
        </w:tc>
        <w:tc>
          <w:tcPr>
            <w:tcW w:w="78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指标得分</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（分）</w:t>
            </w:r>
          </w:p>
        </w:tc>
        <w:tc>
          <w:tcPr>
            <w:tcW w:w="91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是否核心</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指标</w:t>
            </w:r>
          </w:p>
        </w:tc>
      </w:tr>
      <w:tr>
        <w:tblPrEx>
          <w:tblCellMar>
            <w:top w:w="0" w:type="dxa"/>
            <w:left w:w="108" w:type="dxa"/>
            <w:bottom w:w="0" w:type="dxa"/>
            <w:right w:w="108" w:type="dxa"/>
          </w:tblCellMar>
        </w:tblPrEx>
        <w:trPr>
          <w:cantSplit/>
          <w:trHeight w:val="23" w:hRule="atLeast"/>
        </w:trPr>
        <w:tc>
          <w:tcPr>
            <w:tcW w:w="84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p>
        </w:tc>
        <w:tc>
          <w:tcPr>
            <w:tcW w:w="113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治超站点</w:t>
            </w:r>
          </w:p>
        </w:tc>
        <w:tc>
          <w:tcPr>
            <w:tcW w:w="645"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个</w:t>
            </w:r>
          </w:p>
        </w:tc>
        <w:tc>
          <w:tcPr>
            <w:tcW w:w="786"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lang w:val="en-US" w:eastAsia="zh-CN"/>
              </w:rPr>
              <w:t>=</w:t>
            </w:r>
          </w:p>
        </w:tc>
        <w:tc>
          <w:tcPr>
            <w:tcW w:w="597"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2</w:t>
            </w:r>
          </w:p>
        </w:tc>
        <w:tc>
          <w:tcPr>
            <w:tcW w:w="1209"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2020年治理超限超载车辆冒装撒漏案件数&gt;1200件</w:t>
            </w:r>
          </w:p>
        </w:tc>
        <w:tc>
          <w:tcPr>
            <w:tcW w:w="772"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1401</w:t>
            </w:r>
          </w:p>
        </w:tc>
        <w:tc>
          <w:tcPr>
            <w:tcW w:w="699"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val="en-US" w:eastAsia="zh-CN"/>
              </w:rPr>
              <w:t>100</w:t>
            </w: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lang w:val="en-US" w:eastAsia="zh-CN"/>
              </w:rPr>
              <w:t>20</w:t>
            </w:r>
            <w:r>
              <w:rPr>
                <w:rFonts w:hint="eastAsia" w:ascii="方正仿宋_GBK" w:hAnsi="宋体" w:eastAsia="方正仿宋_GBK" w:cs="宋体"/>
                <w:color w:val="auto"/>
                <w:kern w:val="0"/>
                <w:sz w:val="18"/>
                <w:szCs w:val="18"/>
              </w:rPr>
              <w:t>　</w:t>
            </w:r>
          </w:p>
        </w:tc>
        <w:tc>
          <w:tcPr>
            <w:tcW w:w="786"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lang w:val="en-US" w:eastAsia="zh-CN"/>
              </w:rPr>
              <w:t>20</w:t>
            </w:r>
          </w:p>
        </w:tc>
        <w:tc>
          <w:tcPr>
            <w:tcW w:w="91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r>
      <w:tr>
        <w:tblPrEx>
          <w:tblCellMar>
            <w:top w:w="0" w:type="dxa"/>
            <w:left w:w="108" w:type="dxa"/>
            <w:bottom w:w="0" w:type="dxa"/>
            <w:right w:w="108" w:type="dxa"/>
          </w:tblCellMar>
        </w:tblPrEx>
        <w:trPr>
          <w:cantSplit/>
          <w:trHeight w:val="23" w:hRule="atLeast"/>
        </w:trPr>
        <w:tc>
          <w:tcPr>
            <w:tcW w:w="84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p>
        </w:tc>
        <w:tc>
          <w:tcPr>
            <w:tcW w:w="113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lang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eastAsia="zh-CN"/>
              </w:rPr>
              <w:t>治超人员</w:t>
            </w:r>
          </w:p>
        </w:tc>
        <w:tc>
          <w:tcPr>
            <w:tcW w:w="645"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eastAsia="zh-CN"/>
              </w:rPr>
              <w:t>人</w:t>
            </w:r>
          </w:p>
        </w:tc>
        <w:tc>
          <w:tcPr>
            <w:tcW w:w="786"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w:t>
            </w:r>
          </w:p>
        </w:tc>
        <w:tc>
          <w:tcPr>
            <w:tcW w:w="597"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30</w:t>
            </w:r>
          </w:p>
        </w:tc>
        <w:tc>
          <w:tcPr>
            <w:tcW w:w="1209"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30</w:t>
            </w:r>
          </w:p>
        </w:tc>
        <w:tc>
          <w:tcPr>
            <w:tcW w:w="699"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100</w:t>
            </w:r>
          </w:p>
        </w:tc>
        <w:tc>
          <w:tcPr>
            <w:tcW w:w="772"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20</w:t>
            </w:r>
          </w:p>
        </w:tc>
        <w:tc>
          <w:tcPr>
            <w:tcW w:w="786"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lang w:val="en-US" w:eastAsia="zh-CN"/>
              </w:rPr>
              <w:t>20</w:t>
            </w:r>
            <w:r>
              <w:rPr>
                <w:rFonts w:hint="eastAsia" w:ascii="方正仿宋_GBK" w:hAnsi="宋体" w:eastAsia="方正仿宋_GBK" w:cs="宋体"/>
                <w:color w:val="auto"/>
                <w:kern w:val="0"/>
                <w:sz w:val="18"/>
                <w:szCs w:val="18"/>
              </w:rPr>
              <w:t>　</w:t>
            </w:r>
          </w:p>
        </w:tc>
        <w:tc>
          <w:tcPr>
            <w:tcW w:w="91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r>
      <w:tr>
        <w:tblPrEx>
          <w:tblCellMar>
            <w:top w:w="0" w:type="dxa"/>
            <w:left w:w="108" w:type="dxa"/>
            <w:bottom w:w="0" w:type="dxa"/>
            <w:right w:w="108" w:type="dxa"/>
          </w:tblCellMar>
        </w:tblPrEx>
        <w:trPr>
          <w:cantSplit/>
          <w:trHeight w:val="23" w:hRule="atLeast"/>
        </w:trPr>
        <w:tc>
          <w:tcPr>
            <w:tcW w:w="84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p>
        </w:tc>
        <w:tc>
          <w:tcPr>
            <w:tcW w:w="113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lang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eastAsia="zh-CN"/>
              </w:rPr>
              <w:t>治超工作时间</w:t>
            </w:r>
          </w:p>
        </w:tc>
        <w:tc>
          <w:tcPr>
            <w:tcW w:w="645"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lang w:val="en-US" w:eastAsia="zh-CN"/>
              </w:rPr>
              <w:t>小时</w:t>
            </w:r>
            <w:r>
              <w:rPr>
                <w:rFonts w:hint="eastAsia" w:ascii="方正仿宋_GBK" w:hAnsi="宋体" w:eastAsia="方正仿宋_GBK" w:cs="宋体"/>
                <w:color w:val="auto"/>
                <w:kern w:val="0"/>
                <w:sz w:val="18"/>
                <w:szCs w:val="18"/>
              </w:rPr>
              <w:t>　</w:t>
            </w:r>
          </w:p>
        </w:tc>
        <w:tc>
          <w:tcPr>
            <w:tcW w:w="786"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w:t>
            </w:r>
          </w:p>
        </w:tc>
        <w:tc>
          <w:tcPr>
            <w:tcW w:w="597"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24</w:t>
            </w:r>
          </w:p>
        </w:tc>
        <w:tc>
          <w:tcPr>
            <w:tcW w:w="1209"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24</w:t>
            </w:r>
          </w:p>
        </w:tc>
        <w:tc>
          <w:tcPr>
            <w:tcW w:w="699"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lang w:val="en-US" w:eastAsia="zh-CN"/>
              </w:rPr>
              <w:t>100</w:t>
            </w: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15</w:t>
            </w:r>
          </w:p>
        </w:tc>
        <w:tc>
          <w:tcPr>
            <w:tcW w:w="786"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lang w:val="en-US" w:eastAsia="zh-CN"/>
              </w:rPr>
              <w:t>15</w:t>
            </w:r>
            <w:r>
              <w:rPr>
                <w:rFonts w:hint="eastAsia" w:ascii="方正仿宋_GBK" w:hAnsi="宋体" w:eastAsia="方正仿宋_GBK" w:cs="宋体"/>
                <w:color w:val="auto"/>
                <w:kern w:val="0"/>
                <w:sz w:val="18"/>
                <w:szCs w:val="18"/>
              </w:rPr>
              <w:t>　</w:t>
            </w:r>
          </w:p>
        </w:tc>
        <w:tc>
          <w:tcPr>
            <w:tcW w:w="91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r>
      <w:tr>
        <w:tblPrEx>
          <w:tblCellMar>
            <w:top w:w="0" w:type="dxa"/>
            <w:left w:w="108" w:type="dxa"/>
            <w:bottom w:w="0" w:type="dxa"/>
            <w:right w:w="108" w:type="dxa"/>
          </w:tblCellMar>
        </w:tblPrEx>
        <w:trPr>
          <w:cantSplit/>
          <w:trHeight w:val="23" w:hRule="atLeast"/>
        </w:trPr>
        <w:tc>
          <w:tcPr>
            <w:tcW w:w="84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p>
        </w:tc>
        <w:tc>
          <w:tcPr>
            <w:tcW w:w="113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eastAsia="zh-CN"/>
              </w:rPr>
              <w:t>路政处罚</w:t>
            </w:r>
            <w:r>
              <w:rPr>
                <w:rFonts w:hint="eastAsia" w:ascii="方正仿宋_GBK" w:hAnsi="宋体" w:eastAsia="方正仿宋_GBK" w:cs="宋体"/>
                <w:color w:val="auto"/>
                <w:kern w:val="0"/>
                <w:sz w:val="18"/>
                <w:szCs w:val="18"/>
              </w:rPr>
              <w:t>　</w:t>
            </w:r>
          </w:p>
        </w:tc>
        <w:tc>
          <w:tcPr>
            <w:tcW w:w="645"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lang w:eastAsia="zh-CN"/>
              </w:rPr>
            </w:pPr>
            <w:r>
              <w:rPr>
                <w:rFonts w:hint="eastAsia" w:ascii="方正仿宋_GBK" w:hAnsi="宋体" w:eastAsia="方正仿宋_GBK" w:cs="宋体"/>
                <w:color w:val="auto"/>
                <w:kern w:val="0"/>
                <w:sz w:val="18"/>
                <w:szCs w:val="18"/>
              </w:rPr>
              <w:t>　</w:t>
            </w:r>
            <w:r>
              <w:rPr>
                <w:rFonts w:hint="eastAsia" w:ascii="方正仿宋_GBK" w:eastAsia="方正仿宋_GBK" w:cs="宋体"/>
                <w:color w:val="auto"/>
                <w:kern w:val="0"/>
                <w:sz w:val="18"/>
                <w:szCs w:val="18"/>
                <w:lang w:eastAsia="zh-CN"/>
              </w:rPr>
              <w:t>件</w:t>
            </w:r>
          </w:p>
        </w:tc>
        <w:tc>
          <w:tcPr>
            <w:tcW w:w="786"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&gt;</w:t>
            </w:r>
          </w:p>
        </w:tc>
        <w:tc>
          <w:tcPr>
            <w:tcW w:w="597"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10　</w:t>
            </w:r>
          </w:p>
        </w:tc>
        <w:tc>
          <w:tcPr>
            <w:tcW w:w="1209"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rPr>
            </w:pPr>
            <w:r>
              <w:rPr>
                <w:rFonts w:hint="eastAsia" w:ascii="方正仿宋_GBK" w:eastAsia="方正仿宋_GBK" w:cs="宋体"/>
                <w:color w:val="auto"/>
                <w:kern w:val="0"/>
                <w:sz w:val="18"/>
                <w:szCs w:val="18"/>
                <w:lang w:val="en-US" w:eastAsia="zh-CN"/>
              </w:rPr>
              <w:t>54</w:t>
            </w:r>
          </w:p>
        </w:tc>
        <w:tc>
          <w:tcPr>
            <w:tcW w:w="699"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val="en-US" w:eastAsia="zh-CN"/>
              </w:rPr>
              <w:t>93</w:t>
            </w: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eastAsia="方正仿宋_GBK" w:cs="宋体"/>
                <w:color w:val="auto"/>
                <w:kern w:val="0"/>
                <w:sz w:val="18"/>
                <w:szCs w:val="18"/>
                <w:lang w:val="en-US" w:eastAsia="zh-CN"/>
              </w:rPr>
              <w:t>15</w:t>
            </w:r>
          </w:p>
        </w:tc>
        <w:tc>
          <w:tcPr>
            <w:tcW w:w="786"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val="en-US" w:eastAsia="zh-CN"/>
              </w:rPr>
              <w:t>14</w:t>
            </w:r>
            <w:r>
              <w:rPr>
                <w:rFonts w:hint="eastAsia" w:ascii="方正仿宋_GBK" w:hAnsi="宋体" w:eastAsia="方正仿宋_GBK" w:cs="宋体"/>
                <w:color w:val="auto"/>
                <w:kern w:val="0"/>
                <w:sz w:val="18"/>
                <w:szCs w:val="18"/>
              </w:rPr>
              <w:t>　</w:t>
            </w:r>
          </w:p>
        </w:tc>
        <w:tc>
          <w:tcPr>
            <w:tcW w:w="91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r>
      <w:tr>
        <w:tblPrEx>
          <w:tblCellMar>
            <w:top w:w="0" w:type="dxa"/>
            <w:left w:w="108" w:type="dxa"/>
            <w:bottom w:w="0" w:type="dxa"/>
            <w:right w:w="108" w:type="dxa"/>
          </w:tblCellMar>
        </w:tblPrEx>
        <w:trPr>
          <w:cantSplit/>
          <w:trHeight w:val="23" w:hRule="atLeast"/>
        </w:trPr>
        <w:tc>
          <w:tcPr>
            <w:tcW w:w="84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p>
        </w:tc>
        <w:tc>
          <w:tcPr>
            <w:tcW w:w="113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服务对象满意度</w:t>
            </w:r>
            <w:r>
              <w:rPr>
                <w:rFonts w:hint="eastAsia" w:ascii="方正仿宋_GBK" w:hAnsi="宋体" w:eastAsia="方正仿宋_GBK" w:cs="宋体"/>
                <w:color w:val="auto"/>
                <w:kern w:val="0"/>
                <w:sz w:val="18"/>
                <w:szCs w:val="18"/>
              </w:rPr>
              <w:t>　</w:t>
            </w:r>
          </w:p>
        </w:tc>
        <w:tc>
          <w:tcPr>
            <w:tcW w:w="645"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百分数</w:t>
            </w:r>
            <w:r>
              <w:rPr>
                <w:rFonts w:hint="eastAsia" w:ascii="方正仿宋_GBK" w:hAnsi="宋体" w:eastAsia="方正仿宋_GBK" w:cs="宋体"/>
                <w:color w:val="auto"/>
                <w:kern w:val="0"/>
                <w:sz w:val="18"/>
                <w:szCs w:val="18"/>
              </w:rPr>
              <w:t>　</w:t>
            </w:r>
          </w:p>
        </w:tc>
        <w:tc>
          <w:tcPr>
            <w:tcW w:w="786"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满意度指标</w:t>
            </w:r>
            <w:r>
              <w:rPr>
                <w:rFonts w:hint="eastAsia" w:ascii="方正仿宋_GBK" w:hAnsi="宋体" w:eastAsia="方正仿宋_GBK" w:cs="宋体"/>
                <w:color w:val="auto"/>
                <w:kern w:val="0"/>
                <w:sz w:val="18"/>
                <w:szCs w:val="18"/>
              </w:rPr>
              <w:t>　</w:t>
            </w:r>
          </w:p>
        </w:tc>
        <w:tc>
          <w:tcPr>
            <w:tcW w:w="597"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90</w:t>
            </w:r>
            <w:r>
              <w:rPr>
                <w:rFonts w:hint="eastAsia" w:ascii="方正仿宋_GBK" w:hAnsi="宋体" w:eastAsia="方正仿宋_GBK" w:cs="宋体"/>
                <w:color w:val="auto"/>
                <w:kern w:val="0"/>
                <w:sz w:val="18"/>
                <w:szCs w:val="18"/>
              </w:rPr>
              <w:t>　</w:t>
            </w:r>
          </w:p>
        </w:tc>
        <w:tc>
          <w:tcPr>
            <w:tcW w:w="1209"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93</w:t>
            </w:r>
            <w:r>
              <w:rPr>
                <w:rFonts w:hint="eastAsia" w:ascii="方正仿宋_GBK" w:hAnsi="宋体" w:eastAsia="方正仿宋_GBK" w:cs="宋体"/>
                <w:color w:val="auto"/>
                <w:kern w:val="0"/>
                <w:sz w:val="18"/>
                <w:szCs w:val="18"/>
              </w:rPr>
              <w:t>　</w:t>
            </w:r>
          </w:p>
        </w:tc>
        <w:tc>
          <w:tcPr>
            <w:tcW w:w="699"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eastAsia="方正仿宋_GBK" w:cs="宋体"/>
                <w:color w:val="auto"/>
                <w:kern w:val="0"/>
                <w:sz w:val="18"/>
                <w:szCs w:val="18"/>
                <w:lang w:val="en-US" w:eastAsia="zh-CN"/>
              </w:rPr>
              <w:t>90</w:t>
            </w: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20</w:t>
            </w:r>
            <w:r>
              <w:rPr>
                <w:rFonts w:hint="eastAsia" w:ascii="方正仿宋_GBK" w:hAnsi="宋体" w:eastAsia="方正仿宋_GBK" w:cs="宋体"/>
                <w:color w:val="auto"/>
                <w:kern w:val="0"/>
                <w:sz w:val="18"/>
                <w:szCs w:val="18"/>
              </w:rPr>
              <w:t>　</w:t>
            </w:r>
          </w:p>
        </w:tc>
        <w:tc>
          <w:tcPr>
            <w:tcW w:w="786"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18</w:t>
            </w:r>
            <w:r>
              <w:rPr>
                <w:rFonts w:hint="eastAsia" w:ascii="方正仿宋_GBK" w:hAnsi="宋体" w:eastAsia="方正仿宋_GBK" w:cs="宋体"/>
                <w:color w:val="auto"/>
                <w:kern w:val="0"/>
                <w:sz w:val="18"/>
                <w:szCs w:val="18"/>
              </w:rPr>
              <w:t>　</w:t>
            </w:r>
          </w:p>
        </w:tc>
        <w:tc>
          <w:tcPr>
            <w:tcW w:w="91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r>
      <w:tr>
        <w:tblPrEx>
          <w:tblCellMar>
            <w:top w:w="0" w:type="dxa"/>
            <w:left w:w="108" w:type="dxa"/>
            <w:bottom w:w="0" w:type="dxa"/>
            <w:right w:w="108" w:type="dxa"/>
          </w:tblCellMar>
        </w:tblPrEx>
        <w:trPr>
          <w:cantSplit/>
          <w:trHeight w:val="23" w:hRule="atLeast"/>
        </w:trPr>
        <w:tc>
          <w:tcPr>
            <w:tcW w:w="84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p>
        </w:tc>
        <w:tc>
          <w:tcPr>
            <w:tcW w:w="1132" w:type="dxa"/>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资金执行率</w:t>
            </w:r>
            <w:r>
              <w:rPr>
                <w:rFonts w:hint="eastAsia" w:ascii="方正仿宋_GBK" w:hAnsi="宋体" w:eastAsia="方正仿宋_GBK" w:cs="宋体"/>
                <w:color w:val="auto"/>
                <w:kern w:val="0"/>
                <w:sz w:val="18"/>
                <w:szCs w:val="18"/>
              </w:rPr>
              <w:t>　</w:t>
            </w:r>
          </w:p>
        </w:tc>
        <w:tc>
          <w:tcPr>
            <w:tcW w:w="645"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百分数</w:t>
            </w:r>
            <w:r>
              <w:rPr>
                <w:rFonts w:hint="eastAsia" w:ascii="方正仿宋_GBK" w:hAnsi="宋体" w:eastAsia="方正仿宋_GBK" w:cs="宋体"/>
                <w:color w:val="auto"/>
                <w:kern w:val="0"/>
                <w:sz w:val="18"/>
                <w:szCs w:val="18"/>
              </w:rPr>
              <w:t>　</w:t>
            </w:r>
          </w:p>
        </w:tc>
        <w:tc>
          <w:tcPr>
            <w:tcW w:w="786"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资金执行率指标</w:t>
            </w:r>
            <w:r>
              <w:rPr>
                <w:rFonts w:hint="eastAsia" w:ascii="方正仿宋_GBK" w:hAnsi="宋体" w:eastAsia="方正仿宋_GBK" w:cs="宋体"/>
                <w:color w:val="auto"/>
                <w:kern w:val="0"/>
                <w:sz w:val="18"/>
                <w:szCs w:val="18"/>
              </w:rPr>
              <w:t>　</w:t>
            </w:r>
          </w:p>
        </w:tc>
        <w:tc>
          <w:tcPr>
            <w:tcW w:w="597"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100</w:t>
            </w:r>
            <w:r>
              <w:rPr>
                <w:rFonts w:hint="eastAsia" w:ascii="方正仿宋_GBK" w:hAnsi="宋体" w:eastAsia="方正仿宋_GBK" w:cs="宋体"/>
                <w:color w:val="auto"/>
                <w:kern w:val="0"/>
                <w:sz w:val="18"/>
                <w:szCs w:val="18"/>
              </w:rPr>
              <w:t>　</w:t>
            </w:r>
          </w:p>
        </w:tc>
        <w:tc>
          <w:tcPr>
            <w:tcW w:w="1209"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100</w:t>
            </w:r>
            <w:r>
              <w:rPr>
                <w:rFonts w:hint="eastAsia" w:ascii="方正仿宋_GBK" w:hAnsi="宋体" w:eastAsia="方正仿宋_GBK" w:cs="宋体"/>
                <w:color w:val="auto"/>
                <w:kern w:val="0"/>
                <w:sz w:val="18"/>
                <w:szCs w:val="18"/>
              </w:rPr>
              <w:t>　</w:t>
            </w:r>
          </w:p>
        </w:tc>
        <w:tc>
          <w:tcPr>
            <w:tcW w:w="699"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eastAsia="方正仿宋_GBK" w:cs="宋体"/>
                <w:color w:val="auto"/>
                <w:kern w:val="0"/>
                <w:sz w:val="18"/>
                <w:szCs w:val="18"/>
                <w:lang w:val="en-US" w:eastAsia="zh-CN"/>
              </w:rPr>
              <w:t>90</w:t>
            </w: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10</w:t>
            </w:r>
            <w:r>
              <w:rPr>
                <w:rFonts w:hint="eastAsia" w:ascii="方正仿宋_GBK" w:hAnsi="宋体" w:eastAsia="方正仿宋_GBK" w:cs="宋体"/>
                <w:color w:val="auto"/>
                <w:kern w:val="0"/>
                <w:sz w:val="18"/>
                <w:szCs w:val="18"/>
              </w:rPr>
              <w:t>　</w:t>
            </w:r>
          </w:p>
        </w:tc>
        <w:tc>
          <w:tcPr>
            <w:tcW w:w="786" w:type="dxa"/>
            <w:tcBorders>
              <w:top w:val="nil"/>
              <w:left w:val="single" w:color="auto" w:sz="4" w:space="0"/>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eastAsia="方正仿宋_GBK" w:cs="宋体"/>
                <w:color w:val="auto"/>
                <w:kern w:val="0"/>
                <w:sz w:val="18"/>
                <w:szCs w:val="18"/>
                <w:lang w:val="en-US" w:eastAsia="zh-CN"/>
              </w:rPr>
              <w:t>9</w:t>
            </w:r>
            <w:r>
              <w:rPr>
                <w:rFonts w:hint="eastAsia" w:ascii="方正仿宋_GBK" w:hAnsi="宋体" w:eastAsia="方正仿宋_GBK" w:cs="宋体"/>
                <w:color w:val="auto"/>
                <w:kern w:val="0"/>
                <w:sz w:val="18"/>
                <w:szCs w:val="18"/>
              </w:rPr>
              <w:t>　</w:t>
            </w:r>
          </w:p>
        </w:tc>
        <w:tc>
          <w:tcPr>
            <w:tcW w:w="91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r>
      <w:tr>
        <w:tblPrEx>
          <w:tblCellMar>
            <w:top w:w="0" w:type="dxa"/>
            <w:left w:w="108" w:type="dxa"/>
            <w:bottom w:w="0" w:type="dxa"/>
            <w:right w:w="108" w:type="dxa"/>
          </w:tblCellMar>
        </w:tblPrEx>
        <w:trPr>
          <w:trHeight w:val="23" w:hRule="atLeast"/>
        </w:trPr>
        <w:tc>
          <w:tcPr>
            <w:tcW w:w="84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r>
              <w:rPr>
                <w:rFonts w:hint="eastAsia" w:ascii="Times New Roman" w:hAnsi="Times New Roman" w:eastAsia="方正仿宋_GBK"/>
                <w:color w:val="auto"/>
                <w:sz w:val="18"/>
                <w:szCs w:val="18"/>
              </w:rPr>
              <w:t>说明</w:t>
            </w:r>
          </w:p>
        </w:tc>
        <w:tc>
          <w:tcPr>
            <w:tcW w:w="8315" w:type="dxa"/>
            <w:gridSpan w:val="10"/>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N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r>
              <w:rPr>
                <w:rFonts w:hint="eastAsia" w:ascii="Times New Roman" w:hAnsi="Times New Roman" w:eastAsia="方正仿宋_GBK"/>
                <w:color w:val="auto"/>
                <w:sz w:val="18"/>
                <w:szCs w:val="18"/>
              </w:rPr>
              <w:t>　</w:t>
            </w:r>
          </w:p>
        </w:tc>
      </w:tr>
    </w:tbl>
    <w:p>
      <w:pPr>
        <w:pStyle w:val="14"/>
        <w:keepNext w:val="0"/>
        <w:keepLines w:val="0"/>
        <w:pageBreakBefore w:val="0"/>
        <w:widowControl w:val="0"/>
        <w:tabs>
          <w:tab w:val="center" w:pos="4153"/>
          <w:tab w:val="left" w:pos="7275"/>
        </w:tabs>
        <w:kinsoku/>
        <w:wordWrap/>
        <w:overflowPunct/>
        <w:topLinePunct w:val="0"/>
        <w:bidi w:val="0"/>
        <w:adjustRightInd/>
        <w:snapToGrid/>
        <w:spacing w:beforeAutospacing="0" w:afterAutospacing="0" w:line="594" w:lineRule="exact"/>
        <w:ind w:left="0" w:leftChars="0" w:firstLine="640" w:firstLineChars="200"/>
        <w:jc w:val="both"/>
        <w:textAlignment w:val="auto"/>
        <w:rPr>
          <w:rFonts w:ascii="Times New Roman" w:hAnsi="Times New Roman" w:eastAsia="方正仿宋_GBK" w:cs="宋体"/>
          <w:b/>
          <w:color w:val="auto"/>
          <w:kern w:val="0"/>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（三）重点绩效评价结果</w:t>
      </w:r>
    </w:p>
    <w:p>
      <w:pPr>
        <w:pStyle w:val="14"/>
        <w:keepNext w:val="0"/>
        <w:keepLines w:val="0"/>
        <w:pageBreakBefore w:val="0"/>
        <w:widowControl w:val="0"/>
        <w:tabs>
          <w:tab w:val="center" w:pos="4153"/>
          <w:tab w:val="left" w:pos="7275"/>
        </w:tabs>
        <w:kinsoku/>
        <w:wordWrap/>
        <w:overflowPunct/>
        <w:topLinePunct w:val="0"/>
        <w:bidi w:val="0"/>
        <w:adjustRightInd/>
        <w:snapToGrid/>
        <w:spacing w:beforeAutospacing="0" w:afterAutospacing="0" w:line="594" w:lineRule="exact"/>
        <w:ind w:firstLine="640"/>
        <w:jc w:val="both"/>
        <w:textAlignment w:val="auto"/>
        <w:rPr>
          <w:rFonts w:hint="eastAsia" w:ascii="Times New Roman" w:hAnsi="Times New Roman" w:eastAsia="方正仿宋_GBK" w:cs="宋体"/>
          <w:b/>
          <w:color w:val="auto"/>
          <w:kern w:val="0"/>
          <w:sz w:val="32"/>
          <w:szCs w:val="32"/>
          <w:highlight w:val="none"/>
          <w:lang w:eastAsia="zh-CN"/>
        </w:rPr>
      </w:pPr>
      <w:r>
        <w:rPr>
          <w:rFonts w:hint="eastAsia" w:ascii="Times New Roman" w:hAnsi="Times New Roman" w:eastAsia="方正仿宋_GBK"/>
          <w:color w:val="auto"/>
          <w:sz w:val="32"/>
          <w:szCs w:val="32"/>
        </w:rPr>
        <w:t>本单位2020年度</w:t>
      </w:r>
      <w:r>
        <w:rPr>
          <w:rFonts w:hint="eastAsia" w:ascii="Times New Roman" w:hAnsi="Times New Roman" w:eastAsia="方正仿宋_GBK"/>
          <w:color w:val="auto"/>
          <w:sz w:val="32"/>
          <w:szCs w:val="32"/>
          <w:highlight w:val="none"/>
          <w:lang w:eastAsia="zh-CN"/>
        </w:rPr>
        <w:t>无</w:t>
      </w:r>
      <w:r>
        <w:rPr>
          <w:rFonts w:hint="eastAsia" w:ascii="Times New Roman" w:hAnsi="Times New Roman" w:eastAsia="方正仿宋_GBK"/>
          <w:color w:val="auto"/>
          <w:sz w:val="32"/>
          <w:szCs w:val="32"/>
          <w:highlight w:val="none"/>
        </w:rPr>
        <w:t>重点绩效评价</w:t>
      </w:r>
      <w:r>
        <w:rPr>
          <w:rFonts w:hint="eastAsia" w:ascii="Times New Roman" w:hAnsi="Times New Roman" w:eastAsia="方正仿宋_GBK"/>
          <w:color w:val="auto"/>
          <w:sz w:val="32"/>
          <w:szCs w:val="32"/>
          <w:highlight w:val="none"/>
          <w:lang w:eastAsia="zh-CN"/>
        </w:rPr>
        <w:t>项目。</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ascii="Times New Roman" w:hAnsi="Times New Roman" w:eastAsia="方正黑体_GBK"/>
          <w:color w:val="auto"/>
        </w:rPr>
      </w:pPr>
      <w:r>
        <w:rPr>
          <w:rStyle w:val="10"/>
          <w:rFonts w:hint="eastAsia" w:ascii="Times New Roman" w:hAnsi="Times New Roman" w:eastAsia="方正黑体_GBK"/>
          <w:b w:val="0"/>
          <w:color w:val="auto"/>
          <w:sz w:val="32"/>
          <w:szCs w:val="32"/>
        </w:rPr>
        <w:t>六、专业名词解释</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（一）财政拨款收入：</w:t>
      </w:r>
      <w:r>
        <w:rPr>
          <w:rFonts w:hint="eastAsia" w:ascii="Times New Roman" w:hAnsi="Times New Roman" w:eastAsia="方正仿宋_GBK"/>
          <w:color w:val="auto"/>
          <w:sz w:val="32"/>
          <w:szCs w:val="32"/>
        </w:rPr>
        <w:t>指本年度从本级财政部门取得的财政拨款，包括一般公共预算财政拨款和政府性基金预算财政拨款。</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（二）事业收入：</w:t>
      </w:r>
      <w:r>
        <w:rPr>
          <w:rFonts w:hint="eastAsia" w:ascii="Times New Roman" w:hAnsi="Times New Roman" w:eastAsia="方正仿宋_GBK"/>
          <w:color w:val="auto"/>
          <w:sz w:val="32"/>
          <w:szCs w:val="32"/>
        </w:rPr>
        <w:t>指事业单位开展专业业务活动及其辅助活动取得的现金流入；事业单位收到的财政专户实际核拨的教育收费等资金在此反映。</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（三）经营收入：</w:t>
      </w:r>
      <w:r>
        <w:rPr>
          <w:rFonts w:hint="eastAsia" w:ascii="Times New Roman" w:hAnsi="Times New Roman" w:eastAsia="方正仿宋_GBK"/>
          <w:color w:val="auto"/>
          <w:sz w:val="32"/>
          <w:szCs w:val="32"/>
        </w:rPr>
        <w:t>指事业单位在专业业务活动及其辅助活动之外开展非独立核算经营活动取得的现金流入。</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（四）其他收入：</w:t>
      </w:r>
      <w:r>
        <w:rPr>
          <w:rFonts w:hint="eastAsia" w:ascii="Times New Roman" w:hAnsi="Times New Roman" w:eastAsia="方正仿宋_GBK"/>
          <w:color w:val="auto"/>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（五）年初结转和结余：</w:t>
      </w:r>
      <w:r>
        <w:rPr>
          <w:rFonts w:hint="eastAsia" w:ascii="Times New Roman" w:hAnsi="Times New Roman" w:eastAsia="方正仿宋_GBK"/>
          <w:color w:val="auto"/>
          <w:sz w:val="32"/>
          <w:szCs w:val="32"/>
        </w:rPr>
        <w:t>指单位上年结转本年使用的基本支出结转、项目支出结转和结余、经营结余。</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（六）结余分配：</w:t>
      </w:r>
      <w:r>
        <w:rPr>
          <w:rFonts w:hint="eastAsia" w:ascii="Times New Roman" w:hAnsi="Times New Roman" w:eastAsia="方正仿宋_GBK"/>
          <w:color w:val="auto"/>
          <w:sz w:val="32"/>
          <w:szCs w:val="32"/>
        </w:rPr>
        <w:t>指单位按照国家有关规定，缴纳所得税、提取专用基金、转入事业基金等当年结余的分配情况。</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（七）年末结转和结余：</w:t>
      </w:r>
      <w:r>
        <w:rPr>
          <w:rFonts w:hint="eastAsia" w:ascii="Times New Roman" w:hAnsi="Times New Roman" w:eastAsia="方正仿宋_GBK"/>
          <w:color w:val="auto"/>
          <w:sz w:val="32"/>
          <w:szCs w:val="32"/>
        </w:rPr>
        <w:t>指单位结转下年的基本支出结转、项目支出结转和结余、经营结余。</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（八）基本支出：</w:t>
      </w:r>
      <w:r>
        <w:rPr>
          <w:rFonts w:hint="eastAsia" w:ascii="Times New Roman" w:hAnsi="Times New Roman" w:eastAsia="方正仿宋_GBK"/>
          <w:color w:val="auto"/>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（九）项目支出：</w:t>
      </w:r>
      <w:r>
        <w:rPr>
          <w:rFonts w:hint="eastAsia" w:ascii="Times New Roman" w:hAnsi="Times New Roman" w:eastAsia="方正仿宋_GBK"/>
          <w:color w:val="auto"/>
          <w:sz w:val="32"/>
          <w:szCs w:val="32"/>
        </w:rPr>
        <w:t>指在基本支出之外为完成特定行政任务和事业发展目标所发生的支出。</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（十）经营支出：</w:t>
      </w:r>
      <w:r>
        <w:rPr>
          <w:rFonts w:hint="eastAsia" w:ascii="Times New Roman" w:hAnsi="Times New Roman" w:eastAsia="方正仿宋_GBK"/>
          <w:color w:val="auto"/>
          <w:sz w:val="32"/>
          <w:szCs w:val="32"/>
        </w:rPr>
        <w:t>指事业单位在专业业务活动及其辅助活动之外开展非独立核算经营活动发生的支出。</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（十一）“三公”经费：</w:t>
      </w:r>
      <w:r>
        <w:rPr>
          <w:rFonts w:hint="eastAsia" w:ascii="Times New Roman" w:hAnsi="Times New Roman" w:eastAsia="方正仿宋_GBK"/>
          <w:color w:val="auto"/>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w:t>
      </w:r>
      <w:r>
        <w:rPr>
          <w:rFonts w:hint="eastAsia" w:ascii="Times New Roman" w:hAnsi="Times New Roman" w:eastAsia="方正仿宋_GBK"/>
          <w:color w:val="auto"/>
          <w:sz w:val="32"/>
          <w:szCs w:val="32"/>
          <w:lang w:eastAsia="zh-CN"/>
        </w:rPr>
        <w:t>支</w:t>
      </w:r>
      <w:r>
        <w:rPr>
          <w:rFonts w:hint="eastAsia" w:ascii="Times New Roman" w:hAnsi="Times New Roman" w:eastAsia="方正仿宋_GBK"/>
          <w:color w:val="auto"/>
          <w:sz w:val="32"/>
          <w:szCs w:val="32"/>
        </w:rPr>
        <w:t>出；公务接待费反映单位按规定开支的各类公务接待（含外宾接待）支出。</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（十二）机关运行经费：</w:t>
      </w:r>
      <w:r>
        <w:rPr>
          <w:rFonts w:hint="eastAsia" w:ascii="Times New Roman" w:hAnsi="Times New Roman" w:eastAsia="方正仿宋_GBK"/>
          <w:color w:val="auto"/>
          <w:sz w:val="32"/>
          <w:szCs w:val="32"/>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（十三）工资福利支出（支出经济分类科目类级）：</w:t>
      </w:r>
      <w:r>
        <w:rPr>
          <w:rFonts w:hint="eastAsia" w:ascii="Times New Roman" w:hAnsi="Times New Roman" w:eastAsia="方正仿宋_GBK"/>
          <w:color w:val="auto"/>
          <w:sz w:val="32"/>
          <w:szCs w:val="32"/>
        </w:rPr>
        <w:t>反映单位开支的在职职工和编制外长期聘用人员的各类劳动报酬，以及为上述人员缴纳的各项社会保险费等。</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（十四）商品和服务支出（支出经济分类科目类级）：</w:t>
      </w:r>
      <w:r>
        <w:rPr>
          <w:rFonts w:hint="eastAsia" w:ascii="Times New Roman" w:hAnsi="Times New Roman" w:eastAsia="方正仿宋_GBK"/>
          <w:color w:val="auto"/>
          <w:sz w:val="32"/>
          <w:szCs w:val="32"/>
        </w:rPr>
        <w:t>反映单位购买商品和服务的支出（不包括用于购置固定资产的支出、战略性和应急储备支出）。</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sz w:val="32"/>
          <w:szCs w:val="32"/>
        </w:rPr>
        <w:t>（十五）对个人和家庭的补助（支出经济分类科目类级）</w:t>
      </w:r>
      <w:r>
        <w:rPr>
          <w:rFonts w:hint="eastAsia" w:ascii="方正楷体_GBK" w:hAnsi="方正楷体_GBK" w:eastAsia="方正楷体_GBK" w:cs="方正楷体_GBK"/>
          <w:b w:val="0"/>
          <w:bCs w:val="0"/>
          <w:color w:val="auto"/>
          <w:sz w:val="32"/>
          <w:szCs w:val="32"/>
        </w:rPr>
        <w:t>：</w:t>
      </w:r>
      <w:r>
        <w:rPr>
          <w:rFonts w:hint="eastAsia" w:ascii="Times New Roman" w:hAnsi="Times New Roman" w:eastAsia="方正仿宋_GBK"/>
          <w:color w:val="auto"/>
          <w:sz w:val="32"/>
          <w:szCs w:val="32"/>
        </w:rPr>
        <w:t>反映用于对个人和家庭的补助支出。</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sz w:val="32"/>
          <w:szCs w:val="32"/>
        </w:rPr>
        <w:t>（十六）其他资本性支出（支出经济分类科目类级）：</w:t>
      </w:r>
      <w:r>
        <w:rPr>
          <w:rFonts w:hint="eastAsia" w:ascii="Times New Roman" w:hAnsi="Times New Roman" w:eastAsia="方正仿宋_GBK"/>
          <w:color w:val="auto"/>
          <w:sz w:val="32"/>
          <w:szCs w:val="32"/>
        </w:rPr>
        <w:t>反映非各级发展与改革部门集中安排的用于购置固定资产、战略性和应急性储备、土地和无形资产，以及构建基础设施、大型修缮和财政支持企业更新改造所发生的支出。</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Fonts w:ascii="Times New Roman" w:hAnsi="Times New Roman" w:eastAsia="方正黑体_GBK"/>
          <w:b/>
          <w:color w:val="auto"/>
          <w:sz w:val="32"/>
          <w:szCs w:val="32"/>
        </w:rPr>
      </w:pPr>
      <w:r>
        <w:rPr>
          <w:rStyle w:val="10"/>
          <w:rFonts w:hint="eastAsia" w:ascii="Times New Roman" w:hAnsi="Times New Roman" w:eastAsia="方正黑体_GBK"/>
          <w:b w:val="0"/>
          <w:color w:val="auto"/>
          <w:sz w:val="32"/>
          <w:szCs w:val="32"/>
        </w:rPr>
        <w:t>七、决算公开联系方式及信息反馈渠道</w:t>
      </w:r>
    </w:p>
    <w:p>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本单位决算公开信息反馈和联系方式：023-6298</w:t>
      </w:r>
      <w:r>
        <w:rPr>
          <w:rFonts w:hint="eastAsia" w:ascii="Times New Roman" w:hAnsi="Times New Roman" w:eastAsia="方正仿宋_GBK"/>
          <w:color w:val="auto"/>
          <w:sz w:val="32"/>
          <w:szCs w:val="32"/>
          <w:lang w:val="en-US" w:eastAsia="zh-CN"/>
        </w:rPr>
        <w:t>0721</w:t>
      </w:r>
      <w:r>
        <w:rPr>
          <w:rFonts w:hint="eastAsia" w:ascii="Times New Roman" w:hAnsi="Times New Roman" w:eastAsia="方正仿宋_GBK"/>
          <w:color w:val="auto"/>
          <w:sz w:val="32"/>
          <w:szCs w:val="32"/>
        </w:rPr>
        <w:t>。</w:t>
      </w:r>
    </w:p>
    <w:bookmarkEnd w:id="0"/>
    <w:sectPr>
      <w:footerReference r:id="rId3" w:type="default"/>
      <w:pgSz w:w="11907" w:h="16840"/>
      <w:pgMar w:top="2098" w:right="1474" w:bottom="1985"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32487"/>
      <w:docPartObj>
        <w:docPartGallery w:val="autotext"/>
      </w:docPartObj>
    </w:sdtPr>
    <w:sdtContent>
      <w:p>
        <w:pPr>
          <w:pStyle w:val="5"/>
          <w:jc w:val="center"/>
        </w:pPr>
      </w:p>
      <w:p>
        <w:pPr>
          <w:pStyle w:val="5"/>
          <w:jc w:val="cente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16</w:t>
        </w:r>
        <w:r>
          <w:rPr>
            <w:rFonts w:ascii="Times New Roman" w:hAnsi="Times New Roman" w:cs="Times New Roman"/>
            <w:sz w:val="21"/>
            <w:szCs w:val="21"/>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71F8E4"/>
    <w:multiLevelType w:val="singleLevel"/>
    <w:tmpl w:val="D771F8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2"/>
  </w:compat>
  <w:rsids>
    <w:rsidRoot w:val="009A41FA"/>
    <w:rsid w:val="000478A4"/>
    <w:rsid w:val="00065022"/>
    <w:rsid w:val="00115962"/>
    <w:rsid w:val="00221A09"/>
    <w:rsid w:val="0030438F"/>
    <w:rsid w:val="00316F52"/>
    <w:rsid w:val="00317DE3"/>
    <w:rsid w:val="00323DC8"/>
    <w:rsid w:val="003269CF"/>
    <w:rsid w:val="003463D8"/>
    <w:rsid w:val="00420E29"/>
    <w:rsid w:val="0063459A"/>
    <w:rsid w:val="006B3A67"/>
    <w:rsid w:val="006F08AE"/>
    <w:rsid w:val="007813B9"/>
    <w:rsid w:val="0087676C"/>
    <w:rsid w:val="009A41FA"/>
    <w:rsid w:val="009D65BE"/>
    <w:rsid w:val="00B61C9F"/>
    <w:rsid w:val="00C947A8"/>
    <w:rsid w:val="00D33E16"/>
    <w:rsid w:val="00D73116"/>
    <w:rsid w:val="00E07898"/>
    <w:rsid w:val="00F364CA"/>
    <w:rsid w:val="08E1018E"/>
    <w:rsid w:val="159A7284"/>
    <w:rsid w:val="17013E6D"/>
    <w:rsid w:val="193906EE"/>
    <w:rsid w:val="1F01098E"/>
    <w:rsid w:val="206D6799"/>
    <w:rsid w:val="25D2650A"/>
    <w:rsid w:val="3ACA3C5F"/>
    <w:rsid w:val="4E2F68F9"/>
    <w:rsid w:val="4F0B24A4"/>
    <w:rsid w:val="5451143A"/>
    <w:rsid w:val="5D255FD6"/>
    <w:rsid w:val="5E972462"/>
    <w:rsid w:val="66516625"/>
    <w:rsid w:val="7E1350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paragraph" w:styleId="3">
    <w:name w:val="heading 6"/>
    <w:basedOn w:val="1"/>
    <w:next w:val="1"/>
    <w:qFormat/>
    <w:uiPriority w:val="9"/>
    <w:pPr>
      <w:keepNext/>
      <w:keepLines/>
      <w:widowControl/>
      <w:suppressLineNumbers w:val="0"/>
      <w:spacing w:before="240" w:beforeAutospacing="0" w:after="64" w:afterAutospacing="0" w:line="319" w:lineRule="auto"/>
      <w:ind w:left="0" w:right="0"/>
      <w:jc w:val="left"/>
      <w:outlineLvl w:val="5"/>
    </w:pPr>
    <w:rPr>
      <w:rFonts w:hint="default" w:ascii="Cambria" w:hAnsi="Cambria" w:eastAsia="宋体" w:cs="Times New Roman"/>
      <w:b/>
      <w:kern w:val="0"/>
      <w:sz w:val="24"/>
      <w:szCs w:val="24"/>
      <w:lang w:val="en-US" w:eastAsia="zh-CN" w:bidi="ar"/>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b/>
      <w:sz w:val="36"/>
      <w:szCs w:val="20"/>
    </w:rPr>
  </w:style>
  <w:style w:type="paragraph" w:styleId="4">
    <w:name w:val="Document Map"/>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100" w:beforeAutospacing="1" w:after="100" w:afterAutospacing="1"/>
    </w:pPr>
  </w:style>
  <w:style w:type="character" w:styleId="10">
    <w:name w:val="Strong"/>
    <w:basedOn w:val="9"/>
    <w:qFormat/>
    <w:uiPriority w:val="22"/>
    <w:rPr>
      <w:b/>
      <w:bCs/>
    </w:rPr>
  </w:style>
  <w:style w:type="character" w:customStyle="1" w:styleId="11">
    <w:name w:val="页眉 Char"/>
    <w:basedOn w:val="9"/>
    <w:link w:val="6"/>
    <w:semiHidden/>
    <w:qFormat/>
    <w:locked/>
    <w:uiPriority w:val="99"/>
    <w:rPr>
      <w:rFonts w:hint="eastAsia" w:ascii="宋体" w:hAnsi="宋体" w:eastAsia="宋体" w:cs="宋体"/>
      <w:sz w:val="18"/>
      <w:szCs w:val="18"/>
    </w:rPr>
  </w:style>
  <w:style w:type="character" w:customStyle="1" w:styleId="12">
    <w:name w:val="页脚 Char"/>
    <w:basedOn w:val="9"/>
    <w:link w:val="5"/>
    <w:qFormat/>
    <w:locked/>
    <w:uiPriority w:val="99"/>
    <w:rPr>
      <w:rFonts w:hint="eastAsia" w:ascii="宋体" w:hAnsi="宋体" w:eastAsia="宋体" w:cs="宋体"/>
      <w:sz w:val="18"/>
      <w:szCs w:val="18"/>
    </w:rPr>
  </w:style>
  <w:style w:type="character" w:customStyle="1" w:styleId="13">
    <w:name w:val="文档结构图 Char"/>
    <w:basedOn w:val="9"/>
    <w:link w:val="4"/>
    <w:semiHidden/>
    <w:qFormat/>
    <w:locked/>
    <w:uiPriority w:val="99"/>
    <w:rPr>
      <w:rFonts w:hint="eastAsia" w:ascii="宋体" w:hAnsi="宋体" w:eastAsia="宋体" w:cs="宋体"/>
      <w:sz w:val="18"/>
      <w:szCs w:val="18"/>
    </w:rPr>
  </w:style>
  <w:style w:type="paragraph" w:styleId="14">
    <w:name w:val="List Paragraph"/>
    <w:basedOn w:val="1"/>
    <w:qFormat/>
    <w:uiPriority w:val="34"/>
    <w:pPr>
      <w:widowControl w:val="0"/>
      <w:ind w:firstLine="420" w:firstLineChars="200"/>
      <w:jc w:val="both"/>
    </w:pPr>
    <w:rPr>
      <w:rFonts w:ascii="Calibri" w:hAnsi="Calibri" w:cs="Times New Roman"/>
      <w:kern w:val="2"/>
      <w:sz w:val="21"/>
      <w:szCs w:val="22"/>
    </w:rPr>
  </w:style>
  <w:style w:type="paragraph" w:customStyle="1" w:styleId="15">
    <w:name w:val="msonormal"/>
    <w:basedOn w:val="1"/>
    <w:semiHidden/>
    <w:qFormat/>
    <w:uiPriority w:val="99"/>
    <w:pPr>
      <w:spacing w:before="100" w:beforeAutospacing="1" w:after="100" w:afterAutospacing="1"/>
    </w:pPr>
  </w:style>
  <w:style w:type="paragraph" w:customStyle="1" w:styleId="16">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A99550-B257-4546-AB00-96699E81D5B1}">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20</Pages>
  <Words>1492</Words>
  <Characters>8509</Characters>
  <Lines>70</Lines>
  <Paragraphs>19</Paragraphs>
  <TotalTime>1</TotalTime>
  <ScaleCrop>false</ScaleCrop>
  <LinksUpToDate>false</LinksUpToDate>
  <CharactersWithSpaces>9982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李星星</cp:lastModifiedBy>
  <cp:lastPrinted>2021-11-17T02:22:00Z</cp:lastPrinted>
  <dcterms:modified xsi:type="dcterms:W3CDTF">2021-11-23T03:45:14Z</dcterms:modified>
  <dc:title>公开报告模板</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6D4389B8D2D844409464BA747EF4A5BB</vt:lpwstr>
  </property>
</Properties>
</file>