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60" w:lineRule="exact"/>
        <w:jc w:val="center"/>
        <w:rPr>
          <w:rFonts w:ascii="Times New Roman" w:hAnsi="Times New Roman" w:eastAsia="方正小标宋_GBK"/>
          <w:color w:val="000000" w:themeColor="text1"/>
          <w:kern w:val="2"/>
          <w:sz w:val="44"/>
          <w:szCs w:val="44"/>
        </w:rPr>
      </w:pPr>
      <w:r>
        <w:rPr>
          <w:rFonts w:ascii="Times New Roman" w:hAnsi="Times New Roman" w:eastAsia="方正小标宋_GBK"/>
          <w:color w:val="000000" w:themeColor="text1"/>
          <w:kern w:val="2"/>
          <w:sz w:val="44"/>
          <w:szCs w:val="44"/>
        </w:rPr>
        <w:t>重庆市公安局南岸区分局</w:t>
      </w:r>
    </w:p>
    <w:p>
      <w:pPr>
        <w:pStyle w:val="13"/>
        <w:spacing w:line="560" w:lineRule="exact"/>
        <w:jc w:val="center"/>
        <w:rPr>
          <w:rFonts w:ascii="Times New Roman" w:hAnsi="Times New Roman" w:eastAsia="方正小标宋_GBK"/>
          <w:color w:val="000000" w:themeColor="text1"/>
          <w:kern w:val="2"/>
          <w:sz w:val="44"/>
          <w:szCs w:val="44"/>
        </w:rPr>
      </w:pPr>
      <w:r>
        <w:rPr>
          <w:rFonts w:ascii="Times New Roman" w:hAnsi="Times New Roman" w:eastAsia="方正小标宋_GBK"/>
          <w:color w:val="000000" w:themeColor="text1"/>
          <w:sz w:val="44"/>
          <w:szCs w:val="44"/>
        </w:rPr>
        <w:t>关于2024年度法治政府建设情况的报告</w:t>
      </w:r>
    </w:p>
    <w:p>
      <w:pPr>
        <w:pStyle w:val="13"/>
        <w:spacing w:line="560" w:lineRule="exact"/>
        <w:jc w:val="center"/>
        <w:rPr>
          <w:rFonts w:ascii="Times New Roman" w:hAnsi="Times New Roman" w:eastAsia="方正黑体_GBK"/>
          <w:color w:val="000000" w:themeColor="text1"/>
          <w:kern w:val="2"/>
          <w:sz w:val="32"/>
          <w:szCs w:val="32"/>
        </w:rPr>
      </w:pPr>
    </w:p>
    <w:p>
      <w:pPr>
        <w:pStyle w:val="13"/>
        <w:spacing w:line="560" w:lineRule="exact"/>
        <w:ind w:firstLine="640" w:firstLineChars="200"/>
        <w:jc w:val="both"/>
        <w:rPr>
          <w:rFonts w:ascii="Times New Roman" w:hAnsi="Times New Roman" w:eastAsia="方正仿宋_GBK"/>
          <w:color w:val="000000" w:themeColor="text1"/>
          <w:sz w:val="32"/>
          <w:szCs w:val="32"/>
        </w:rPr>
      </w:pPr>
      <w:r>
        <w:rPr>
          <w:rFonts w:ascii="Times New Roman" w:hAnsi="Times New Roman" w:eastAsia="方正仿宋_GBK"/>
          <w:color w:val="000000" w:themeColor="text1"/>
          <w:kern w:val="2"/>
          <w:sz w:val="32"/>
          <w:szCs w:val="32"/>
        </w:rPr>
        <w:t>2024年，南岸区公安分局</w:t>
      </w:r>
      <w:r>
        <w:rPr>
          <w:rFonts w:ascii="Times New Roman" w:hAnsi="Times New Roman" w:eastAsia="方正仿宋_GBK"/>
          <w:kern w:val="2"/>
          <w:sz w:val="32"/>
          <w:szCs w:val="32"/>
        </w:rPr>
        <w:t>坚持以习近平新时代中国特色社会主义思想为指导，</w:t>
      </w:r>
      <w:r>
        <w:rPr>
          <w:rFonts w:ascii="Times New Roman" w:hAnsi="Times New Roman" w:eastAsia="方正仿宋_GBK"/>
          <w:color w:val="000000" w:themeColor="text1"/>
          <w:kern w:val="2"/>
          <w:sz w:val="32"/>
          <w:szCs w:val="32"/>
        </w:rPr>
        <w:t>深入贯彻</w:t>
      </w:r>
      <w:r>
        <w:rPr>
          <w:rFonts w:ascii="Times New Roman" w:hAnsi="Times New Roman" w:eastAsia="方正仿宋_GBK"/>
          <w:sz w:val="32"/>
          <w:szCs w:val="32"/>
        </w:rPr>
        <w:t>习近平总书记关于新时代公安工作的重要论述和视察重庆重要讲话重要指示精神，</w:t>
      </w:r>
      <w:r>
        <w:rPr>
          <w:rFonts w:ascii="Times New Roman" w:hAnsi="Times New Roman" w:eastAsia="方正仿宋_GBK"/>
          <w:color w:val="000000" w:themeColor="text1"/>
          <w:sz w:val="32"/>
          <w:szCs w:val="32"/>
        </w:rPr>
        <w:t>认真</w:t>
      </w:r>
      <w:r>
        <w:rPr>
          <w:rFonts w:ascii="Times New Roman" w:hAnsi="Times New Roman" w:eastAsia="方正仿宋_GBK"/>
          <w:sz w:val="32"/>
          <w:szCs w:val="32"/>
        </w:rPr>
        <w:t>落实中央政法工作会议、全国公安工作会议、全国公安厅局长会议</w:t>
      </w:r>
      <w:r>
        <w:rPr>
          <w:rFonts w:ascii="Times New Roman" w:hAnsi="Times New Roman" w:eastAsia="方正仿宋_GBK"/>
          <w:color w:val="000000" w:themeColor="text1"/>
          <w:sz w:val="32"/>
          <w:szCs w:val="32"/>
        </w:rPr>
        <w:t>和</w:t>
      </w:r>
      <w:r>
        <w:rPr>
          <w:rFonts w:ascii="Times New Roman" w:hAnsi="Times New Roman" w:eastAsia="方正仿宋_GBK"/>
          <w:sz w:val="32"/>
          <w:szCs w:val="32"/>
        </w:rPr>
        <w:t>平安重庆建设大会、全市公安工作会议</w:t>
      </w:r>
      <w:r>
        <w:rPr>
          <w:rFonts w:ascii="Times New Roman" w:hAnsi="Times New Roman" w:eastAsia="方正仿宋_GBK"/>
          <w:color w:val="000000" w:themeColor="text1"/>
          <w:sz w:val="32"/>
          <w:szCs w:val="32"/>
        </w:rPr>
        <w:t>的</w:t>
      </w:r>
      <w:r>
        <w:rPr>
          <w:rFonts w:ascii="Times New Roman" w:hAnsi="Times New Roman" w:eastAsia="方正仿宋_GBK"/>
          <w:sz w:val="32"/>
          <w:szCs w:val="32"/>
        </w:rPr>
        <w:t>部署要求，</w:t>
      </w:r>
      <w:r>
        <w:rPr>
          <w:rFonts w:ascii="Times New Roman" w:hAnsi="Times New Roman" w:eastAsia="方正仿宋_GBK"/>
          <w:color w:val="000000" w:themeColor="text1"/>
          <w:kern w:val="2"/>
          <w:sz w:val="32"/>
          <w:szCs w:val="32"/>
        </w:rPr>
        <w:t>全面推进公安业务工作和法治政府建设，取得了积极成效。现将相关工作情况报告如下：</w:t>
      </w:r>
    </w:p>
    <w:p>
      <w:pPr>
        <w:pStyle w:val="13"/>
        <w:spacing w:line="560" w:lineRule="exact"/>
        <w:ind w:firstLine="640" w:firstLineChars="200"/>
        <w:jc w:val="both"/>
        <w:rPr>
          <w:rFonts w:ascii="Times New Roman" w:hAnsi="Times New Roman" w:eastAsia="方正黑体_GBK"/>
          <w:color w:val="000000" w:themeColor="text1"/>
          <w:sz w:val="32"/>
          <w:szCs w:val="32"/>
        </w:rPr>
      </w:pPr>
      <w:r>
        <w:rPr>
          <w:rFonts w:ascii="Times New Roman" w:hAnsi="Times New Roman" w:eastAsia="方正黑体_GBK"/>
          <w:color w:val="000000" w:themeColor="text1"/>
          <w:kern w:val="2"/>
          <w:sz w:val="32"/>
          <w:szCs w:val="32"/>
        </w:rPr>
        <w:t>一、</w:t>
      </w:r>
      <w:r>
        <w:rPr>
          <w:rFonts w:ascii="Times New Roman" w:hAnsi="Times New Roman" w:eastAsia="方正黑体_GBK"/>
          <w:color w:val="000000" w:themeColor="text1"/>
          <w:sz w:val="32"/>
          <w:szCs w:val="32"/>
        </w:rPr>
        <w:t>2024年</w:t>
      </w:r>
      <w:r>
        <w:rPr>
          <w:rFonts w:ascii="Times New Roman" w:hAnsi="Times New Roman" w:eastAsia="方正黑体_GBK"/>
          <w:sz w:val="32"/>
          <w:szCs w:val="32"/>
        </w:rPr>
        <w:t>推进法治政府建设的主要举措和成效</w:t>
      </w:r>
    </w:p>
    <w:p>
      <w:pPr>
        <w:pStyle w:val="13"/>
        <w:spacing w:line="560" w:lineRule="exact"/>
        <w:ind w:firstLine="640" w:firstLineChars="200"/>
        <w:jc w:val="both"/>
        <w:rPr>
          <w:rFonts w:ascii="Times New Roman" w:hAnsi="Times New Roman" w:eastAsia="方正楷体_GBK"/>
          <w:b/>
          <w:color w:val="000000" w:themeColor="text1"/>
          <w:sz w:val="32"/>
          <w:szCs w:val="32"/>
        </w:rPr>
      </w:pPr>
      <w:r>
        <w:rPr>
          <w:rFonts w:ascii="Times New Roman" w:hAnsi="Times New Roman" w:eastAsia="方正楷体_GBK"/>
          <w:b/>
          <w:color w:val="000000" w:themeColor="text1"/>
          <w:sz w:val="32"/>
          <w:szCs w:val="32"/>
        </w:rPr>
        <w:t>（一）主动服务现代化产业体系建设</w:t>
      </w:r>
      <w:r>
        <w:rPr>
          <w:rFonts w:ascii="Times New Roman" w:hAnsi="Times New Roman" w:eastAsia="方正楷体_GBK"/>
          <w:color w:val="000000" w:themeColor="text1"/>
          <w:sz w:val="32"/>
          <w:szCs w:val="32"/>
        </w:rPr>
        <w:t>。</w:t>
      </w:r>
      <w:r>
        <w:rPr>
          <w:rFonts w:ascii="Times New Roman" w:hAnsi="Times New Roman" w:eastAsia="方正仿宋_GBK"/>
          <w:color w:val="000000" w:themeColor="text1"/>
          <w:sz w:val="32"/>
          <w:szCs w:val="32"/>
        </w:rPr>
        <w:t>依托“打击非法集资预警监测”系统，建立健全每周经济风险集中清查摸底机制，全年累计排查企业203家。推出依法打击涉企犯罪等服务企业发展六项重点措施，健全“一企一警”联系机制，指导协助企业完善安全生产制度107家次。</w:t>
      </w:r>
    </w:p>
    <w:p>
      <w:pPr>
        <w:pStyle w:val="13"/>
        <w:spacing w:line="560" w:lineRule="exact"/>
        <w:ind w:firstLine="640" w:firstLineChars="200"/>
        <w:jc w:val="both"/>
        <w:rPr>
          <w:rFonts w:ascii="Times New Roman" w:hAnsi="Times New Roman" w:eastAsiaTheme="minorEastAsia"/>
          <w:color w:val="000000" w:themeColor="text1"/>
          <w:szCs w:val="32"/>
        </w:rPr>
      </w:pPr>
      <w:r>
        <w:rPr>
          <w:rFonts w:ascii="Times New Roman" w:hAnsi="Times New Roman" w:eastAsia="方正楷体_GBK"/>
          <w:b/>
          <w:color w:val="000000" w:themeColor="text1"/>
          <w:sz w:val="32"/>
          <w:szCs w:val="32"/>
        </w:rPr>
        <w:t>（二）主动服务高水平对外开放</w:t>
      </w:r>
      <w:r>
        <w:rPr>
          <w:rFonts w:ascii="Times New Roman" w:hAnsi="Times New Roman" w:eastAsia="方正楷体_GBK"/>
          <w:color w:val="000000" w:themeColor="text1"/>
          <w:sz w:val="32"/>
          <w:szCs w:val="32"/>
        </w:rPr>
        <w:t>。</w:t>
      </w:r>
      <w:r>
        <w:rPr>
          <w:rFonts w:ascii="Times New Roman" w:hAnsi="Times New Roman" w:eastAsia="方正仿宋_GBK"/>
          <w:color w:val="000000" w:themeColor="text1"/>
          <w:sz w:val="32"/>
          <w:szCs w:val="32"/>
        </w:rPr>
        <w:t>聚焦出入境事项全环节，开设“人才专线”“咨询专线”“预警专线”，采取“一对一”咨询、免预约、办证指导“三项专属”措施，妥善处置多起涉外敏感事项。深化国际执法合作，成功抓捕公安部B级逃犯、“某跨国犯罪集团”重要嫌疑人4人。</w:t>
      </w:r>
    </w:p>
    <w:p>
      <w:pPr>
        <w:pStyle w:val="13"/>
        <w:spacing w:line="560" w:lineRule="exact"/>
        <w:ind w:firstLine="640" w:firstLineChars="200"/>
        <w:jc w:val="both"/>
        <w:rPr>
          <w:rFonts w:ascii="Times New Roman" w:hAnsi="Times New Roman" w:eastAsia="方正仿宋_GBK"/>
          <w:color w:val="000000" w:themeColor="text1"/>
          <w:sz w:val="32"/>
          <w:szCs w:val="32"/>
        </w:rPr>
      </w:pPr>
      <w:r>
        <w:rPr>
          <w:rFonts w:ascii="Times New Roman" w:hAnsi="Times New Roman" w:eastAsia="方正楷体_GBK"/>
          <w:b/>
          <w:color w:val="000000" w:themeColor="text1"/>
          <w:sz w:val="32"/>
          <w:szCs w:val="32"/>
        </w:rPr>
        <w:t>（三）主动规范执法严格监督</w:t>
      </w:r>
      <w:r>
        <w:rPr>
          <w:rFonts w:ascii="Times New Roman" w:hAnsi="Times New Roman" w:eastAsia="方正楷体_GBK"/>
          <w:color w:val="000000" w:themeColor="text1"/>
          <w:sz w:val="32"/>
          <w:szCs w:val="32"/>
        </w:rPr>
        <w:t>。</w:t>
      </w:r>
      <w:r>
        <w:rPr>
          <w:rFonts w:ascii="Times New Roman" w:hAnsi="Times New Roman" w:eastAsia="方正仿宋_GBK"/>
          <w:color w:val="000000" w:themeColor="text1"/>
          <w:sz w:val="32"/>
          <w:szCs w:val="32"/>
        </w:rPr>
        <w:t>优化法制民警“分片包干”指导、个案考评、分管领导跟班培训等工作模式，针对违反“五个一律”规定、“立而不侦、久侦不结”“三色预警”提示案件、接处警、受立案不规范等突出问题，健全“线上+线下”督检，完善案件月考评、实行“一案一考”，有力提升全警法治素养和依法履职水平。全年办理行政复议68件，刑事复议47件，行政诉讼20件，国家赔偿4件，政府信息公开申请21起，未发生一起无罪判决案件和国家赔偿案件。</w:t>
      </w:r>
    </w:p>
    <w:p>
      <w:pPr>
        <w:pStyle w:val="13"/>
        <w:spacing w:line="560" w:lineRule="exact"/>
        <w:ind w:firstLine="640" w:firstLineChars="200"/>
        <w:jc w:val="both"/>
        <w:rPr>
          <w:rFonts w:ascii="Times New Roman" w:hAnsi="Times New Roman" w:eastAsia="方正仿宋_GBK"/>
          <w:color w:val="000000" w:themeColor="text1"/>
          <w:sz w:val="32"/>
          <w:szCs w:val="32"/>
        </w:rPr>
      </w:pPr>
      <w:r>
        <w:rPr>
          <w:rFonts w:ascii="Times New Roman" w:hAnsi="Times New Roman" w:eastAsia="方正楷体_GBK"/>
          <w:b/>
          <w:color w:val="000000" w:themeColor="text1"/>
          <w:sz w:val="32"/>
          <w:szCs w:val="32"/>
        </w:rPr>
        <w:t>（四）主动构建科学完备的执法制度体系</w:t>
      </w:r>
      <w:r>
        <w:rPr>
          <w:rFonts w:ascii="Times New Roman" w:hAnsi="Times New Roman" w:eastAsia="方正楷体_GBK"/>
          <w:color w:val="000000" w:themeColor="text1"/>
          <w:sz w:val="32"/>
          <w:szCs w:val="32"/>
        </w:rPr>
        <w:t>。</w:t>
      </w:r>
      <w:r>
        <w:rPr>
          <w:rFonts w:ascii="Times New Roman" w:hAnsi="Times New Roman" w:eastAsia="方正仿宋_GBK"/>
          <w:color w:val="000000" w:themeColor="text1"/>
          <w:sz w:val="32"/>
          <w:szCs w:val="32"/>
        </w:rPr>
        <w:t>落实嫌疑人安全检查、信息采集、常规体检等工作“一站式”办理，组建“执法保障服务队，有力推动执法办案管理中心提质增效。成立“责任领导+专项民警”法制保障小组，主动服务重大专案、疑难案事件，助推解决案件实战问题10个。依托侦查监督与协作配合办公室、刑事速裁法庭等制度，会同检、法机关及时会商分歧案件，解决疑难问题30起。</w:t>
      </w:r>
    </w:p>
    <w:p>
      <w:pPr>
        <w:pStyle w:val="13"/>
        <w:spacing w:line="560" w:lineRule="exact"/>
        <w:ind w:firstLine="640" w:firstLineChars="200"/>
        <w:jc w:val="both"/>
        <w:rPr>
          <w:rFonts w:ascii="Times New Roman" w:hAnsi="Times New Roman" w:eastAsia="方正仿宋_GBK"/>
          <w:color w:val="000000" w:themeColor="text1"/>
          <w:sz w:val="32"/>
          <w:szCs w:val="32"/>
        </w:rPr>
      </w:pPr>
      <w:r>
        <w:rPr>
          <w:rFonts w:ascii="Times New Roman" w:hAnsi="Times New Roman" w:eastAsia="方正楷体_GBK"/>
          <w:b/>
          <w:color w:val="000000" w:themeColor="text1"/>
          <w:sz w:val="32"/>
          <w:szCs w:val="32"/>
        </w:rPr>
        <w:t>（五）主动打造具有辨识度的改革创新成果</w:t>
      </w:r>
      <w:r>
        <w:rPr>
          <w:rFonts w:ascii="Times New Roman" w:hAnsi="Times New Roman" w:eastAsia="方正楷体_GBK"/>
          <w:color w:val="000000" w:themeColor="text1"/>
          <w:sz w:val="32"/>
          <w:szCs w:val="32"/>
        </w:rPr>
        <w:t>。</w:t>
      </w:r>
      <w:bookmarkStart w:id="0" w:name="_Hlk187755329"/>
      <w:r>
        <w:rPr>
          <w:rFonts w:ascii="Times New Roman" w:hAnsi="Times New Roman" w:eastAsia="方正仿宋_GBK"/>
          <w:color w:val="000000" w:themeColor="text1"/>
          <w:sz w:val="32"/>
          <w:szCs w:val="32"/>
        </w:rPr>
        <w:t>自主研发“易取保”平台，在荣获2023年全市公安机关改革创新大赛第一名金奖的基础上，先后获得“智慧公安我先行”全国公安基层技术革新专项活动决赛三等奖、</w:t>
      </w:r>
      <w:r>
        <w:rPr>
          <w:rFonts w:ascii="Times New Roman" w:hAnsi="Times New Roman" w:eastAsia="方正仿宋_GBK"/>
          <w:color w:val="000000" w:themeColor="text1"/>
          <w:kern w:val="2"/>
          <w:sz w:val="32"/>
        </w:rPr>
        <w:t>全市“五小”创新晒决赛暨优秀项目推介交流系列活动第一名特等奖</w:t>
      </w:r>
      <w:r>
        <w:rPr>
          <w:rFonts w:ascii="Times New Roman" w:hAnsi="Times New Roman" w:eastAsia="方正仿宋_GBK"/>
          <w:color w:val="000000" w:themeColor="text1"/>
          <w:sz w:val="32"/>
          <w:szCs w:val="32"/>
        </w:rPr>
        <w:t>等殊荣，被评为全市清廉政法实践案例和首批清廉公安建设优秀实践案例，顺利通过数字重庆建设“法治·取保候审一件事”评审并纳入“区县应用一本账”，形成“以点带面、多处开花”的良好效果。</w:t>
      </w:r>
      <w:bookmarkEnd w:id="0"/>
    </w:p>
    <w:p>
      <w:pPr>
        <w:pStyle w:val="13"/>
        <w:spacing w:line="560" w:lineRule="exact"/>
        <w:ind w:firstLine="640" w:firstLineChars="200"/>
        <w:jc w:val="both"/>
        <w:rPr>
          <w:rFonts w:ascii="Times New Roman" w:hAnsi="Times New Roman" w:eastAsia="方正仿宋_GBK"/>
          <w:color w:val="000000" w:themeColor="text1"/>
          <w:sz w:val="32"/>
          <w:szCs w:val="32"/>
        </w:rPr>
      </w:pPr>
      <w:bookmarkStart w:id="1" w:name="_Hlk187744470"/>
      <w:r>
        <w:rPr>
          <w:rFonts w:ascii="Times New Roman" w:hAnsi="Times New Roman" w:eastAsia="方正楷体_GBK"/>
          <w:b/>
          <w:color w:val="000000" w:themeColor="text1"/>
          <w:kern w:val="2"/>
          <w:sz w:val="32"/>
          <w:szCs w:val="32"/>
        </w:rPr>
        <w:t>（六）全面构建协同高效的警务体制机制</w:t>
      </w:r>
      <w:r>
        <w:rPr>
          <w:rFonts w:ascii="Times New Roman" w:hAnsi="Times New Roman" w:eastAsia="方正楷体_GBK"/>
          <w:color w:val="000000" w:themeColor="text1"/>
          <w:kern w:val="2"/>
          <w:sz w:val="32"/>
          <w:szCs w:val="32"/>
        </w:rPr>
        <w:t>。</w:t>
      </w:r>
      <w:bookmarkEnd w:id="1"/>
      <w:r>
        <w:rPr>
          <w:rFonts w:ascii="Times New Roman" w:hAnsi="Times New Roman" w:eastAsia="方正仿宋_GBK"/>
          <w:color w:val="000000" w:themeColor="text1"/>
          <w:kern w:val="2"/>
          <w:sz w:val="32"/>
          <w:szCs w:val="32"/>
        </w:rPr>
        <w:t>着力</w:t>
      </w:r>
      <w:r>
        <w:rPr>
          <w:rFonts w:ascii="Times New Roman" w:hAnsi="Times New Roman" w:eastAsia="方正仿宋_GBK"/>
          <w:color w:val="000000" w:themeColor="text1"/>
          <w:sz w:val="32"/>
          <w:szCs w:val="32"/>
        </w:rPr>
        <w:t>构建“警种主战、派出所主防”格局，提高专业警种办理刑事案件占比，将“派出所主防指标”“派出所对警种部门支援工作评价”纳入绩效考评。严格明确派出所办理刑事案件“负面清单”的要求，进一步推动派出所夯实基础工作、提升防范质效。深化大部门大警种制探索，持续优化“大治安”相关警种部门内部运行，健全完善“大政工”工作机制，全面推动“大侦查”格局提质增效，最大限度形成整体合力。</w:t>
      </w:r>
    </w:p>
    <w:p>
      <w:pPr>
        <w:pStyle w:val="13"/>
        <w:spacing w:line="560" w:lineRule="exact"/>
        <w:ind w:firstLine="640" w:firstLineChars="200"/>
        <w:jc w:val="both"/>
        <w:rPr>
          <w:rFonts w:ascii="Times New Roman" w:hAnsi="Times New Roman" w:eastAsiaTheme="minorEastAsia"/>
          <w:color w:val="000000" w:themeColor="text1"/>
          <w:sz w:val="32"/>
          <w:szCs w:val="32"/>
        </w:rPr>
      </w:pPr>
      <w:bookmarkStart w:id="2" w:name="_Hlk187744477"/>
      <w:r>
        <w:rPr>
          <w:rFonts w:ascii="Times New Roman" w:hAnsi="Times New Roman" w:eastAsia="方正楷体_GBK"/>
          <w:b/>
          <w:color w:val="000000" w:themeColor="text1"/>
          <w:kern w:val="2"/>
          <w:sz w:val="32"/>
          <w:szCs w:val="32"/>
        </w:rPr>
        <w:t>（七）体系化提升便民利企服务质效</w:t>
      </w:r>
      <w:r>
        <w:rPr>
          <w:rFonts w:ascii="Times New Roman" w:hAnsi="Times New Roman" w:eastAsia="方正楷体_GBK"/>
          <w:color w:val="000000" w:themeColor="text1"/>
          <w:kern w:val="2"/>
          <w:sz w:val="32"/>
          <w:szCs w:val="32"/>
        </w:rPr>
        <w:t>。</w:t>
      </w:r>
      <w:bookmarkEnd w:id="2"/>
      <w:r>
        <w:rPr>
          <w:rFonts w:ascii="Times New Roman" w:hAnsi="Times New Roman" w:eastAsia="方正仿宋_GBK"/>
          <w:color w:val="000000" w:themeColor="text1"/>
          <w:kern w:val="2"/>
          <w:sz w:val="32"/>
          <w:szCs w:val="32"/>
        </w:rPr>
        <w:t>整合治安、户政、出入境等260项公安业务资源，打造全市首家“一窗综办”公安政务服务窗口，创新推出</w:t>
      </w:r>
      <w:r>
        <w:rPr>
          <w:rFonts w:ascii="Times New Roman" w:hAnsi="Times New Roman" w:eastAsia="方正仿宋_GBK"/>
          <w:sz w:val="32"/>
          <w:szCs w:val="32"/>
        </w:rPr>
        <w:t>午间不休“错时办”、办完打烊“延时办”、周六预约“加班办”、特殊需求“优先办”</w:t>
      </w:r>
      <w:r>
        <w:rPr>
          <w:rFonts w:ascii="Times New Roman" w:hAnsi="Times New Roman" w:eastAsia="方正仿宋_GBK"/>
          <w:color w:val="000000" w:themeColor="text1"/>
          <w:kern w:val="2"/>
          <w:sz w:val="32"/>
          <w:szCs w:val="32"/>
        </w:rPr>
        <w:t>等“四办”措施和“有爱无碍”手语服务，全年办理各类事项10.2万件次，得到区委主要领导肯定批示和中心城区群众一致好评。</w:t>
      </w:r>
    </w:p>
    <w:p>
      <w:pPr>
        <w:pStyle w:val="13"/>
        <w:spacing w:line="560" w:lineRule="exact"/>
        <w:ind w:firstLine="640" w:firstLineChars="200"/>
        <w:jc w:val="both"/>
        <w:rPr>
          <w:rFonts w:ascii="Times New Roman" w:hAnsi="Times New Roman" w:eastAsia="方正黑体_GBK"/>
          <w:color w:val="000000" w:themeColor="text1"/>
          <w:sz w:val="32"/>
          <w:szCs w:val="32"/>
        </w:rPr>
      </w:pPr>
      <w:r>
        <w:rPr>
          <w:rFonts w:ascii="Times New Roman" w:hAnsi="Times New Roman" w:eastAsia="方正黑体_GBK"/>
          <w:color w:val="000000" w:themeColor="text1"/>
          <w:sz w:val="32"/>
          <w:szCs w:val="32"/>
        </w:rPr>
        <w:t>二、</w:t>
      </w:r>
      <w:r>
        <w:rPr>
          <w:rFonts w:ascii="Times New Roman" w:hAnsi="Times New Roman" w:eastAsia="方正黑体_GBK"/>
          <w:sz w:val="32"/>
          <w:szCs w:val="32"/>
        </w:rPr>
        <w:t>2024年党政主要负责人履行推进法治政府建设第一责任人职责，</w:t>
      </w:r>
      <w:r>
        <w:rPr>
          <w:rFonts w:ascii="Times New Roman" w:hAnsi="Times New Roman" w:eastAsia="方正黑体_GBK"/>
          <w:color w:val="000000" w:themeColor="text1"/>
          <w:sz w:val="32"/>
          <w:szCs w:val="32"/>
        </w:rPr>
        <w:t>加强法治政府建设的有关情况</w:t>
      </w:r>
    </w:p>
    <w:p>
      <w:pPr>
        <w:spacing w:line="560" w:lineRule="exact"/>
        <w:ind w:firstLine="640" w:firstLineChars="200"/>
        <w:rPr>
          <w:rFonts w:ascii="Times New Roman" w:hAnsi="Times New Roman" w:eastAsia="方正仿宋_GBK"/>
          <w:color w:val="000000" w:themeColor="text1"/>
          <w:sz w:val="32"/>
          <w:szCs w:val="32"/>
        </w:rPr>
      </w:pPr>
      <w:bookmarkStart w:id="3" w:name="_Hlk187744291"/>
      <w:r>
        <w:rPr>
          <w:rFonts w:ascii="Times New Roman" w:hAnsi="Times New Roman" w:eastAsia="方正楷体_GBK"/>
          <w:b/>
          <w:color w:val="000000" w:themeColor="text1"/>
          <w:sz w:val="32"/>
          <w:szCs w:val="32"/>
        </w:rPr>
        <w:t>（一）</w:t>
      </w:r>
      <w:bookmarkStart w:id="4" w:name="_Hlk187756528"/>
      <w:r>
        <w:rPr>
          <w:rFonts w:ascii="Times New Roman" w:hAnsi="Times New Roman" w:eastAsia="方正楷体_GBK"/>
          <w:b/>
          <w:color w:val="000000" w:themeColor="text1"/>
          <w:sz w:val="32"/>
          <w:szCs w:val="32"/>
        </w:rPr>
        <w:t>加强法治政府建设，净化提升队伍实力</w:t>
      </w:r>
      <w:r>
        <w:rPr>
          <w:rFonts w:ascii="Times New Roman" w:hAnsi="Times New Roman" w:eastAsia="方正楷体_GBK"/>
          <w:color w:val="000000" w:themeColor="text1"/>
          <w:sz w:val="32"/>
          <w:szCs w:val="32"/>
        </w:rPr>
        <w:t>。</w:t>
      </w:r>
      <w:bookmarkEnd w:id="3"/>
      <w:bookmarkEnd w:id="4"/>
      <w:r>
        <w:rPr>
          <w:rFonts w:ascii="Times New Roman" w:hAnsi="Times New Roman" w:eastAsia="方正仿宋_GBK"/>
          <w:color w:val="000000" w:themeColor="text1"/>
          <w:sz w:val="32"/>
          <w:szCs w:val="32"/>
        </w:rPr>
        <w:t>严格执行习近平总书记重要指示批示和党中央重大决策部署闭环落实机制，全年重大事项请示报告率达100%。持续修复净化政治生态，开展政治轮训15期，全警政治判断力领悟力执行力进一步增强。深入开展党纪学习教育，加强清廉公安建设，扎实推动群众身边不正之风和腐败问题、特权思想和特权现象、形式主义官僚主义、涉企执法突出问题等集中整治、专项整治。</w:t>
      </w:r>
    </w:p>
    <w:p>
      <w:pPr>
        <w:pStyle w:val="2"/>
        <w:spacing w:after="0" w:line="560" w:lineRule="exact"/>
        <w:ind w:firstLine="640" w:firstLineChars="200"/>
        <w:rPr>
          <w:rFonts w:ascii="Times New Roman" w:hAnsi="Times New Roman" w:eastAsia="方正仿宋_GBK"/>
          <w:color w:val="000000" w:themeColor="text1"/>
          <w:sz w:val="32"/>
          <w:szCs w:val="32"/>
        </w:rPr>
      </w:pPr>
      <w:bookmarkStart w:id="5" w:name="_Hlk187744297"/>
      <w:r>
        <w:rPr>
          <w:rFonts w:ascii="Times New Roman" w:hAnsi="Times New Roman" w:eastAsia="方正楷体_GBK"/>
          <w:b/>
          <w:color w:val="000000" w:themeColor="text1"/>
          <w:sz w:val="32"/>
          <w:szCs w:val="32"/>
        </w:rPr>
        <w:t>（二）</w:t>
      </w:r>
      <w:bookmarkEnd w:id="5"/>
      <w:bookmarkStart w:id="6" w:name="_Hlk187744310"/>
      <w:r>
        <w:rPr>
          <w:rFonts w:ascii="Times New Roman" w:hAnsi="Times New Roman" w:eastAsia="方正楷体_GBK"/>
          <w:b/>
          <w:color w:val="000000" w:themeColor="text1"/>
          <w:sz w:val="32"/>
          <w:szCs w:val="32"/>
        </w:rPr>
        <w:t>加强法治政府建设，深化数字警务平台</w:t>
      </w:r>
      <w:r>
        <w:rPr>
          <w:rFonts w:ascii="Times New Roman" w:hAnsi="Times New Roman" w:eastAsia="方正楷体_GBK"/>
          <w:color w:val="000000" w:themeColor="text1"/>
          <w:sz w:val="32"/>
          <w:szCs w:val="32"/>
        </w:rPr>
        <w:t>。</w:t>
      </w:r>
      <w:bookmarkEnd w:id="6"/>
      <w:r>
        <w:rPr>
          <w:rFonts w:ascii="Times New Roman" w:hAnsi="Times New Roman" w:eastAsia="方正仿宋_GBK"/>
          <w:color w:val="000000" w:themeColor="text1"/>
          <w:sz w:val="32"/>
          <w:szCs w:val="32"/>
        </w:rPr>
        <w:t>“易取保”、“不动产交易高危挖掘模型”、“重型车辆人车关联大数据模型”等创新项目分别荣获第九届全市“五小”创新晒决赛暨优秀项目推介交流系列活动第一名特等奖、全市2024年大数据建模大赛侦查打击业务板块比赛第一名、全市公安交管大数据建模比武三等奖。</w:t>
      </w:r>
    </w:p>
    <w:p>
      <w:pPr>
        <w:spacing w:line="560" w:lineRule="exact"/>
        <w:ind w:firstLine="640" w:firstLineChars="200"/>
        <w:rPr>
          <w:rFonts w:ascii="Times New Roman" w:hAnsi="Times New Roman" w:eastAsia="方正仿宋_GBK"/>
          <w:color w:val="000000" w:themeColor="text1"/>
          <w:sz w:val="32"/>
          <w:szCs w:val="32"/>
        </w:rPr>
      </w:pPr>
      <w:bookmarkStart w:id="7" w:name="_Hlk187744316"/>
      <w:r>
        <w:rPr>
          <w:rFonts w:ascii="Times New Roman" w:hAnsi="Times New Roman" w:eastAsia="方正楷体_GBK"/>
          <w:b/>
          <w:color w:val="000000" w:themeColor="text1"/>
          <w:sz w:val="32"/>
          <w:szCs w:val="32"/>
        </w:rPr>
        <w:t>（三）加强法治政府建设，预防维护社会稳定</w:t>
      </w:r>
      <w:r>
        <w:rPr>
          <w:rFonts w:ascii="Times New Roman" w:hAnsi="Times New Roman" w:eastAsia="方正仿宋_GBK"/>
          <w:color w:val="000000" w:themeColor="text1"/>
          <w:sz w:val="32"/>
          <w:szCs w:val="32"/>
        </w:rPr>
        <w:t>。</w:t>
      </w:r>
      <w:bookmarkEnd w:id="7"/>
      <w:r>
        <w:rPr>
          <w:rFonts w:ascii="Times New Roman" w:hAnsi="Times New Roman" w:eastAsia="方正仿宋_GBK"/>
          <w:color w:val="000000" w:themeColor="text1"/>
          <w:sz w:val="32"/>
          <w:szCs w:val="32"/>
        </w:rPr>
        <w:t>扎实开展夏季治安打击整治等一系列专项行动，积极融入“141”基层智治体系，加强与全区其他单位协同联动，</w:t>
      </w:r>
      <w:r>
        <w:rPr>
          <w:rFonts w:hint="eastAsia" w:ascii="Times New Roman" w:hAnsi="Times New Roman" w:eastAsia="方正仿宋_GBK"/>
          <w:color w:val="000000" w:themeColor="text1"/>
          <w:sz w:val="32"/>
          <w:szCs w:val="32"/>
        </w:rPr>
        <w:t>及时高效化解</w:t>
      </w:r>
      <w:r>
        <w:rPr>
          <w:rFonts w:ascii="Times New Roman" w:hAnsi="Times New Roman" w:eastAsia="方正仿宋_GBK"/>
          <w:color w:val="000000" w:themeColor="text1"/>
          <w:sz w:val="32"/>
          <w:szCs w:val="32"/>
        </w:rPr>
        <w:t>矛盾纠纷，全区110刑事类警情、刑事立案</w:t>
      </w:r>
      <w:r>
        <w:rPr>
          <w:rFonts w:hint="eastAsia" w:ascii="Times New Roman" w:hAnsi="Times New Roman" w:eastAsia="方正仿宋_GBK"/>
          <w:color w:val="000000" w:themeColor="text1"/>
          <w:sz w:val="32"/>
          <w:szCs w:val="32"/>
        </w:rPr>
        <w:t>数明显下降</w:t>
      </w:r>
      <w:r>
        <w:rPr>
          <w:rFonts w:ascii="Times New Roman" w:hAnsi="Times New Roman" w:eastAsia="方正仿宋_GBK"/>
          <w:color w:val="000000" w:themeColor="text1"/>
          <w:sz w:val="32"/>
          <w:szCs w:val="32"/>
        </w:rPr>
        <w:t>。</w:t>
      </w:r>
    </w:p>
    <w:p>
      <w:pPr>
        <w:pStyle w:val="13"/>
        <w:spacing w:line="560" w:lineRule="exact"/>
        <w:ind w:firstLine="640" w:firstLineChars="200"/>
        <w:jc w:val="both"/>
        <w:rPr>
          <w:rFonts w:ascii="Times New Roman" w:hAnsi="Times New Roman" w:eastAsia="方正黑体_GBK"/>
          <w:color w:val="000000" w:themeColor="text1"/>
          <w:sz w:val="32"/>
          <w:szCs w:val="32"/>
        </w:rPr>
      </w:pPr>
      <w:r>
        <w:rPr>
          <w:rFonts w:ascii="Times New Roman" w:hAnsi="Times New Roman" w:eastAsia="方正黑体_GBK"/>
          <w:color w:val="000000" w:themeColor="text1"/>
          <w:sz w:val="32"/>
          <w:szCs w:val="32"/>
        </w:rPr>
        <w:t>三、</w:t>
      </w:r>
      <w:r>
        <w:rPr>
          <w:rFonts w:ascii="Times New Roman" w:hAnsi="Times New Roman" w:eastAsia="方正黑体_GBK"/>
          <w:sz w:val="32"/>
          <w:szCs w:val="32"/>
        </w:rPr>
        <w:t>2024年推进法治政府建设存在的不足和原因</w:t>
      </w:r>
    </w:p>
    <w:p>
      <w:pPr>
        <w:pStyle w:val="13"/>
        <w:spacing w:line="560" w:lineRule="exact"/>
        <w:ind w:firstLine="640" w:firstLineChars="200"/>
        <w:jc w:val="both"/>
        <w:rPr>
          <w:rFonts w:ascii="Times New Roman" w:hAnsi="Times New Roman" w:eastAsia="方正仿宋_GBK"/>
          <w:color w:val="000000" w:themeColor="text1"/>
          <w:kern w:val="2"/>
          <w:sz w:val="32"/>
          <w:szCs w:val="32"/>
        </w:rPr>
      </w:pPr>
      <w:r>
        <w:rPr>
          <w:rFonts w:ascii="Times New Roman" w:hAnsi="Times New Roman" w:eastAsia="方正仿宋_GBK"/>
          <w:b/>
          <w:color w:val="000000" w:themeColor="text1"/>
          <w:sz w:val="32"/>
          <w:szCs w:val="32"/>
        </w:rPr>
        <w:t>一是</w:t>
      </w:r>
      <w:r>
        <w:rPr>
          <w:rFonts w:ascii="Times New Roman" w:hAnsi="Times New Roman" w:eastAsia="方正仿宋_GBK"/>
          <w:color w:val="000000" w:themeColor="text1"/>
          <w:sz w:val="32"/>
          <w:szCs w:val="32"/>
        </w:rPr>
        <w:t>执法主体法治素养有待进一步提升，民警运用法治思维和法治方式解决问题的能力还有待提高。</w:t>
      </w:r>
      <w:r>
        <w:rPr>
          <w:rFonts w:ascii="Times New Roman" w:hAnsi="Times New Roman" w:eastAsia="方正仿宋_GBK"/>
          <w:b/>
          <w:color w:val="000000" w:themeColor="text1"/>
          <w:sz w:val="32"/>
          <w:szCs w:val="32"/>
        </w:rPr>
        <w:t>二是</w:t>
      </w:r>
      <w:r>
        <w:rPr>
          <w:rFonts w:ascii="Times New Roman" w:hAnsi="Times New Roman" w:eastAsia="方正仿宋_GBK"/>
          <w:color w:val="000000" w:themeColor="text1"/>
          <w:sz w:val="32"/>
          <w:szCs w:val="32"/>
        </w:rPr>
        <w:t>执法监督管理机制需进一步强化，杜绝执法不规范、不严格等问题。</w:t>
      </w:r>
      <w:r>
        <w:rPr>
          <w:rFonts w:ascii="Times New Roman" w:hAnsi="Times New Roman" w:eastAsia="方正仿宋_GBK"/>
          <w:b/>
          <w:color w:val="000000" w:themeColor="text1"/>
          <w:kern w:val="2"/>
          <w:sz w:val="32"/>
          <w:szCs w:val="32"/>
        </w:rPr>
        <w:t>三是</w:t>
      </w:r>
      <w:r>
        <w:rPr>
          <w:rFonts w:ascii="Times New Roman" w:hAnsi="Times New Roman" w:eastAsia="方正仿宋_GBK"/>
          <w:color w:val="000000" w:themeColor="text1"/>
          <w:kern w:val="2"/>
          <w:sz w:val="32"/>
          <w:szCs w:val="32"/>
        </w:rPr>
        <w:t>法律顾问作用有待激发，</w:t>
      </w:r>
      <w:r>
        <w:rPr>
          <w:rFonts w:ascii="Times New Roman" w:hAnsi="Times New Roman" w:eastAsia="方正仿宋_GBK"/>
          <w:color w:val="000000" w:themeColor="text1"/>
          <w:sz w:val="32"/>
          <w:szCs w:val="32"/>
        </w:rPr>
        <w:t>参与广度和深度有待提高，把关、风险评估作用有待进一步加强。</w:t>
      </w:r>
    </w:p>
    <w:p>
      <w:pPr>
        <w:pStyle w:val="13"/>
        <w:spacing w:line="560" w:lineRule="exact"/>
        <w:ind w:firstLine="640" w:firstLineChars="200"/>
        <w:jc w:val="both"/>
        <w:rPr>
          <w:rFonts w:ascii="Times New Roman" w:hAnsi="Times New Roman" w:eastAsia="方正黑体_GBK"/>
          <w:color w:val="000000" w:themeColor="text1"/>
          <w:sz w:val="32"/>
          <w:szCs w:val="32"/>
        </w:rPr>
      </w:pPr>
      <w:r>
        <w:rPr>
          <w:rFonts w:ascii="Times New Roman" w:hAnsi="Times New Roman" w:eastAsia="方正黑体_GBK"/>
          <w:color w:val="000000" w:themeColor="text1"/>
          <w:sz w:val="32"/>
          <w:szCs w:val="32"/>
        </w:rPr>
        <w:t>四、</w:t>
      </w:r>
      <w:r>
        <w:rPr>
          <w:rFonts w:ascii="Times New Roman" w:hAnsi="Times New Roman" w:eastAsia="方正黑体_GBK"/>
          <w:sz w:val="32"/>
          <w:szCs w:val="32"/>
        </w:rPr>
        <w:t>2025年推进法治政府建设的工作思路、目标举措</w:t>
      </w:r>
    </w:p>
    <w:p>
      <w:pPr>
        <w:pStyle w:val="13"/>
        <w:spacing w:line="560" w:lineRule="exact"/>
        <w:ind w:firstLine="640" w:firstLineChars="200"/>
        <w:jc w:val="both"/>
        <w:rPr>
          <w:rFonts w:ascii="Times New Roman" w:hAnsi="Times New Roman" w:eastAsia="方正仿宋_GBK"/>
          <w:b/>
          <w:color w:val="000000" w:themeColor="text1"/>
          <w:kern w:val="2"/>
          <w:sz w:val="32"/>
          <w:szCs w:val="32"/>
        </w:rPr>
      </w:pPr>
      <w:r>
        <w:rPr>
          <w:rFonts w:ascii="Times New Roman" w:hAnsi="Times New Roman" w:eastAsia="方正楷体_GBK"/>
          <w:b/>
          <w:color w:val="000000" w:themeColor="text1"/>
          <w:kern w:val="2"/>
          <w:sz w:val="32"/>
          <w:szCs w:val="32"/>
        </w:rPr>
        <w:t>（一）提升执法主体法治素养</w:t>
      </w:r>
      <w:r>
        <w:rPr>
          <w:rFonts w:ascii="Times New Roman" w:hAnsi="Times New Roman" w:eastAsia="方正楷体_GBK"/>
          <w:color w:val="000000" w:themeColor="text1"/>
          <w:kern w:val="2"/>
          <w:sz w:val="32"/>
          <w:szCs w:val="32"/>
        </w:rPr>
        <w:t>。</w:t>
      </w:r>
      <w:r>
        <w:rPr>
          <w:rFonts w:ascii="Times New Roman" w:hAnsi="Times New Roman" w:eastAsia="方正仿宋_GBK"/>
          <w:b/>
          <w:color w:val="000000" w:themeColor="text1"/>
          <w:kern w:val="2"/>
          <w:sz w:val="32"/>
          <w:szCs w:val="32"/>
        </w:rPr>
        <w:t>一是</w:t>
      </w:r>
      <w:r>
        <w:rPr>
          <w:rFonts w:ascii="Times New Roman" w:hAnsi="Times New Roman" w:eastAsia="方正仿宋_GBK"/>
          <w:color w:val="000000" w:themeColor="text1"/>
          <w:kern w:val="2"/>
          <w:sz w:val="32"/>
          <w:szCs w:val="32"/>
        </w:rPr>
        <w:t>深入开展内部执法培训，通过钉钉APP法制“微课堂”，跟班培训等形式提升民警法治素养；</w:t>
      </w:r>
      <w:r>
        <w:rPr>
          <w:rFonts w:ascii="Times New Roman" w:hAnsi="Times New Roman" w:eastAsia="方正仿宋_GBK"/>
          <w:b/>
          <w:color w:val="000000" w:themeColor="text1"/>
          <w:kern w:val="2"/>
          <w:sz w:val="32"/>
          <w:szCs w:val="32"/>
        </w:rPr>
        <w:t>二是</w:t>
      </w:r>
      <w:r>
        <w:rPr>
          <w:rFonts w:ascii="Times New Roman" w:hAnsi="Times New Roman" w:eastAsia="方正仿宋_GBK"/>
          <w:color w:val="000000" w:themeColor="text1"/>
          <w:kern w:val="2"/>
          <w:sz w:val="32"/>
          <w:szCs w:val="32"/>
        </w:rPr>
        <w:t>开展公检法同堂集中式培训，在法律、政策、实战层面寻求“最大公约数”。</w:t>
      </w:r>
    </w:p>
    <w:p>
      <w:pPr>
        <w:pStyle w:val="13"/>
        <w:spacing w:line="560" w:lineRule="exact"/>
        <w:ind w:firstLine="640" w:firstLineChars="200"/>
        <w:jc w:val="both"/>
        <w:rPr>
          <w:rFonts w:ascii="Times New Roman" w:hAnsi="Times New Roman" w:eastAsia="方正仿宋_GBK"/>
          <w:color w:val="000000" w:themeColor="text1"/>
          <w:kern w:val="2"/>
          <w:sz w:val="32"/>
          <w:szCs w:val="32"/>
        </w:rPr>
      </w:pPr>
      <w:r>
        <w:rPr>
          <w:rFonts w:ascii="Times New Roman" w:hAnsi="Times New Roman" w:eastAsia="方正楷体_GBK"/>
          <w:b/>
          <w:color w:val="000000" w:themeColor="text1"/>
          <w:kern w:val="2"/>
          <w:sz w:val="32"/>
          <w:szCs w:val="32"/>
        </w:rPr>
        <w:t>（二）强化执法监督管理机制</w:t>
      </w:r>
      <w:r>
        <w:rPr>
          <w:rFonts w:ascii="Times New Roman" w:hAnsi="Times New Roman" w:eastAsia="方正仿宋_GBK"/>
          <w:color w:val="000000" w:themeColor="text1"/>
          <w:kern w:val="2"/>
          <w:sz w:val="32"/>
          <w:szCs w:val="32"/>
        </w:rPr>
        <w:t>。</w:t>
      </w:r>
      <w:r>
        <w:rPr>
          <w:rFonts w:ascii="Times New Roman" w:hAnsi="Times New Roman" w:eastAsia="方正仿宋_GBK"/>
          <w:b/>
          <w:color w:val="000000" w:themeColor="text1"/>
          <w:kern w:val="2"/>
          <w:sz w:val="32"/>
          <w:szCs w:val="32"/>
        </w:rPr>
        <w:t>一是</w:t>
      </w:r>
      <w:r>
        <w:rPr>
          <w:rFonts w:ascii="Times New Roman" w:hAnsi="Times New Roman" w:eastAsia="方正仿宋_GBK"/>
          <w:color w:val="000000" w:themeColor="text1"/>
          <w:kern w:val="2"/>
          <w:sz w:val="32"/>
          <w:szCs w:val="32"/>
        </w:rPr>
        <w:t>严格执行重大疑难案件集体研究会商、警力调动等制度规定；</w:t>
      </w:r>
      <w:r>
        <w:rPr>
          <w:rFonts w:ascii="Times New Roman" w:hAnsi="Times New Roman" w:eastAsia="方正仿宋_GBK"/>
          <w:b/>
          <w:color w:val="000000" w:themeColor="text1"/>
          <w:kern w:val="2"/>
          <w:sz w:val="32"/>
          <w:szCs w:val="32"/>
        </w:rPr>
        <w:t>二是</w:t>
      </w:r>
      <w:r>
        <w:rPr>
          <w:rFonts w:ascii="Times New Roman" w:hAnsi="Times New Roman" w:eastAsia="方正仿宋_GBK"/>
          <w:color w:val="000000" w:themeColor="text1"/>
          <w:kern w:val="2"/>
          <w:sz w:val="32"/>
          <w:szCs w:val="32"/>
        </w:rPr>
        <w:t>强化执法监督管理委员会实体化运行和内部监督协同，构建联动执法治理体系。</w:t>
      </w:r>
    </w:p>
    <w:p>
      <w:pPr>
        <w:pStyle w:val="13"/>
        <w:spacing w:line="560" w:lineRule="exact"/>
        <w:ind w:firstLine="640" w:firstLineChars="200"/>
        <w:jc w:val="both"/>
        <w:rPr>
          <w:rFonts w:ascii="Times New Roman" w:hAnsi="Times New Roman" w:eastAsia="方正仿宋_GBK"/>
          <w:color w:val="000000" w:themeColor="text1"/>
          <w:sz w:val="32"/>
          <w:szCs w:val="32"/>
        </w:rPr>
      </w:pPr>
      <w:r>
        <w:rPr>
          <w:rFonts w:ascii="Times New Roman" w:hAnsi="Times New Roman" w:eastAsia="方正楷体_GBK"/>
          <w:b/>
          <w:color w:val="000000" w:themeColor="text1"/>
          <w:kern w:val="2"/>
          <w:sz w:val="32"/>
          <w:szCs w:val="32"/>
        </w:rPr>
        <w:t>（三）激发法律顾问作用</w:t>
      </w:r>
      <w:r>
        <w:rPr>
          <w:rFonts w:ascii="Times New Roman" w:hAnsi="Times New Roman" w:eastAsia="方正仿宋_GBK"/>
          <w:color w:val="000000" w:themeColor="text1"/>
          <w:kern w:val="2"/>
          <w:sz w:val="32"/>
          <w:szCs w:val="32"/>
        </w:rPr>
        <w:t>。</w:t>
      </w:r>
      <w:r>
        <w:rPr>
          <w:rFonts w:ascii="Times New Roman" w:hAnsi="Times New Roman" w:eastAsia="方正仿宋_GBK"/>
          <w:color w:val="000000" w:themeColor="text1"/>
          <w:sz w:val="32"/>
          <w:szCs w:val="32"/>
        </w:rPr>
        <w:t>在事务性工作中尽可能最大限度激发法律顾问的作用，特别是在窗口服务、现场执法、行政复议和诉讼等工作中，听取法律顾问意见，提升法律顾问的参与度，更好促进执法规范化。</w:t>
      </w:r>
    </w:p>
    <w:p>
      <w:pPr>
        <w:pStyle w:val="13"/>
        <w:spacing w:line="560" w:lineRule="exact"/>
        <w:ind w:firstLine="640" w:firstLineChars="200"/>
        <w:jc w:val="both"/>
        <w:rPr>
          <w:rFonts w:ascii="Times New Roman" w:hAnsi="Times New Roman" w:eastAsia="方正黑体_GBK"/>
          <w:color w:val="000000" w:themeColor="text1"/>
          <w:sz w:val="32"/>
          <w:szCs w:val="32"/>
        </w:rPr>
      </w:pPr>
    </w:p>
    <w:p>
      <w:pPr>
        <w:pStyle w:val="13"/>
        <w:spacing w:line="560" w:lineRule="exact"/>
        <w:ind w:firstLine="640" w:firstLineChars="200"/>
        <w:jc w:val="both"/>
        <w:rPr>
          <w:rFonts w:ascii="Times New Roman" w:hAnsi="Times New Roman" w:eastAsia="方正黑体_GBK"/>
          <w:color w:val="000000" w:themeColor="text1"/>
          <w:sz w:val="32"/>
          <w:szCs w:val="32"/>
        </w:rPr>
      </w:pPr>
    </w:p>
    <w:p>
      <w:pPr>
        <w:pStyle w:val="13"/>
        <w:spacing w:line="560" w:lineRule="exact"/>
        <w:ind w:firstLine="640" w:firstLineChars="200"/>
        <w:jc w:val="both"/>
        <w:rPr>
          <w:rFonts w:ascii="Times New Roman" w:hAnsi="Times New Roman" w:eastAsia="方正黑体_GBK"/>
          <w:color w:val="000000" w:themeColor="text1"/>
          <w:sz w:val="32"/>
          <w:szCs w:val="32"/>
        </w:rPr>
      </w:pPr>
    </w:p>
    <w:p>
      <w:pPr>
        <w:pStyle w:val="13"/>
        <w:spacing w:line="560" w:lineRule="exact"/>
        <w:ind w:firstLine="4800" w:firstLineChars="1500"/>
        <w:jc w:val="both"/>
        <w:rPr>
          <w:rFonts w:ascii="Times New Roman" w:hAnsi="Times New Roman" w:eastAsia="方正仿宋_GBK"/>
          <w:color w:val="000000" w:themeColor="text1"/>
          <w:kern w:val="2"/>
          <w:sz w:val="32"/>
          <w:szCs w:val="32"/>
        </w:rPr>
      </w:pPr>
      <w:r>
        <w:rPr>
          <w:rFonts w:ascii="Times New Roman" w:hAnsi="Times New Roman" w:eastAsia="方正仿宋_GBK"/>
          <w:color w:val="000000" w:themeColor="text1"/>
          <w:sz w:val="32"/>
          <w:szCs w:val="32"/>
        </w:rPr>
        <w:t>重庆市公安局南岸区分局</w:t>
      </w:r>
    </w:p>
    <w:p>
      <w:pPr>
        <w:pStyle w:val="13"/>
        <w:spacing w:line="560" w:lineRule="exact"/>
        <w:ind w:firstLine="5440" w:firstLineChars="1700"/>
        <w:jc w:val="both"/>
        <w:rPr>
          <w:rFonts w:ascii="Times New Roman" w:hAnsi="Times New Roman"/>
          <w:color w:val="000000" w:themeColor="text1"/>
        </w:rPr>
      </w:pPr>
      <w:r>
        <w:rPr>
          <w:rFonts w:ascii="Times New Roman" w:hAnsi="Times New Roman" w:eastAsia="方正仿宋_GBK"/>
          <w:color w:val="000000" w:themeColor="text1"/>
          <w:sz w:val="32"/>
          <w:szCs w:val="32"/>
        </w:rPr>
        <w:t>2025</w:t>
      </w:r>
      <w:bookmarkStart w:id="8" w:name="_GoBack"/>
      <w:bookmarkEnd w:id="8"/>
      <w:r>
        <w:rPr>
          <w:rFonts w:ascii="Times New Roman" w:hAnsi="Times New Roman" w:eastAsia="方正仿宋_GBK"/>
          <w:color w:val="000000" w:themeColor="text1"/>
          <w:sz w:val="32"/>
          <w:szCs w:val="32"/>
        </w:rPr>
        <w:t>年2月2</w:t>
      </w:r>
      <w:r>
        <w:rPr>
          <w:rFonts w:hint="eastAsia" w:ascii="Times New Roman" w:hAnsi="Times New Roman" w:eastAsia="方正仿宋_GBK"/>
          <w:color w:val="000000" w:themeColor="text1"/>
          <w:sz w:val="32"/>
          <w:szCs w:val="32"/>
          <w:lang w:val="en-US" w:eastAsia="zh-CN"/>
        </w:rPr>
        <w:t>8</w:t>
      </w:r>
      <w:r>
        <w:rPr>
          <w:rFonts w:ascii="Times New Roman" w:hAnsi="Times New Roman" w:eastAsia="方正仿宋_GBK"/>
          <w:color w:val="000000" w:themeColor="text1"/>
          <w:sz w:val="32"/>
          <w:szCs w:val="32"/>
        </w:rPr>
        <w:t>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3000509000000000000"/>
    <w:charset w:val="86"/>
    <w:family w:val="script"/>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2AB6"/>
    <w:rsid w:val="00001E08"/>
    <w:rsid w:val="00021B0E"/>
    <w:rsid w:val="00082AB6"/>
    <w:rsid w:val="000E0AD6"/>
    <w:rsid w:val="000E5DB0"/>
    <w:rsid w:val="00115CBB"/>
    <w:rsid w:val="001615AE"/>
    <w:rsid w:val="00166EE4"/>
    <w:rsid w:val="001B5308"/>
    <w:rsid w:val="001E1C00"/>
    <w:rsid w:val="002145BE"/>
    <w:rsid w:val="002249EB"/>
    <w:rsid w:val="002402CF"/>
    <w:rsid w:val="002642DD"/>
    <w:rsid w:val="002A17BB"/>
    <w:rsid w:val="002A45A5"/>
    <w:rsid w:val="002C0B39"/>
    <w:rsid w:val="002F616A"/>
    <w:rsid w:val="0030741C"/>
    <w:rsid w:val="00350A02"/>
    <w:rsid w:val="00351435"/>
    <w:rsid w:val="003520C1"/>
    <w:rsid w:val="0037096A"/>
    <w:rsid w:val="00376BCD"/>
    <w:rsid w:val="00383803"/>
    <w:rsid w:val="00394447"/>
    <w:rsid w:val="003C08FE"/>
    <w:rsid w:val="003D6608"/>
    <w:rsid w:val="00420EE1"/>
    <w:rsid w:val="00436242"/>
    <w:rsid w:val="00463707"/>
    <w:rsid w:val="00482D7C"/>
    <w:rsid w:val="004926E4"/>
    <w:rsid w:val="00494BE6"/>
    <w:rsid w:val="004A33F0"/>
    <w:rsid w:val="004B701D"/>
    <w:rsid w:val="004C4FA0"/>
    <w:rsid w:val="004D6E06"/>
    <w:rsid w:val="004E7985"/>
    <w:rsid w:val="004F18A3"/>
    <w:rsid w:val="0050710C"/>
    <w:rsid w:val="00545EE2"/>
    <w:rsid w:val="005729EC"/>
    <w:rsid w:val="005753DD"/>
    <w:rsid w:val="005F2409"/>
    <w:rsid w:val="00625C25"/>
    <w:rsid w:val="0068192C"/>
    <w:rsid w:val="00694585"/>
    <w:rsid w:val="006D2291"/>
    <w:rsid w:val="006D7E98"/>
    <w:rsid w:val="007532D3"/>
    <w:rsid w:val="007D62D8"/>
    <w:rsid w:val="007E0429"/>
    <w:rsid w:val="007F19D9"/>
    <w:rsid w:val="007F634C"/>
    <w:rsid w:val="00803FBB"/>
    <w:rsid w:val="00827763"/>
    <w:rsid w:val="00862B90"/>
    <w:rsid w:val="008C6936"/>
    <w:rsid w:val="008D22AA"/>
    <w:rsid w:val="008D3587"/>
    <w:rsid w:val="008E5D4E"/>
    <w:rsid w:val="0093224E"/>
    <w:rsid w:val="00954D9E"/>
    <w:rsid w:val="009B5619"/>
    <w:rsid w:val="00A06946"/>
    <w:rsid w:val="00A12506"/>
    <w:rsid w:val="00A3348F"/>
    <w:rsid w:val="00A4090E"/>
    <w:rsid w:val="00A52CC0"/>
    <w:rsid w:val="00A54C92"/>
    <w:rsid w:val="00A67F7E"/>
    <w:rsid w:val="00A82A56"/>
    <w:rsid w:val="00A8438D"/>
    <w:rsid w:val="00AA55EE"/>
    <w:rsid w:val="00AB34ED"/>
    <w:rsid w:val="00AF2369"/>
    <w:rsid w:val="00B5557E"/>
    <w:rsid w:val="00B8274C"/>
    <w:rsid w:val="00B8695F"/>
    <w:rsid w:val="00B97307"/>
    <w:rsid w:val="00BE1A45"/>
    <w:rsid w:val="00C07E88"/>
    <w:rsid w:val="00C53F6C"/>
    <w:rsid w:val="00CA4E45"/>
    <w:rsid w:val="00CC25A4"/>
    <w:rsid w:val="00CF290C"/>
    <w:rsid w:val="00D206F4"/>
    <w:rsid w:val="00D3156A"/>
    <w:rsid w:val="00D51ED7"/>
    <w:rsid w:val="00D53361"/>
    <w:rsid w:val="00D57134"/>
    <w:rsid w:val="00DC1DB0"/>
    <w:rsid w:val="00DE0564"/>
    <w:rsid w:val="00DF4385"/>
    <w:rsid w:val="00E0443C"/>
    <w:rsid w:val="00E30A29"/>
    <w:rsid w:val="00E3733C"/>
    <w:rsid w:val="00E53B4F"/>
    <w:rsid w:val="00E54427"/>
    <w:rsid w:val="00E71C5D"/>
    <w:rsid w:val="00ED4418"/>
    <w:rsid w:val="00EE6FD7"/>
    <w:rsid w:val="00F21441"/>
    <w:rsid w:val="00F25F83"/>
    <w:rsid w:val="00F27370"/>
    <w:rsid w:val="00F41452"/>
    <w:rsid w:val="00F4152C"/>
    <w:rsid w:val="00F53A04"/>
    <w:rsid w:val="00F541E2"/>
    <w:rsid w:val="00F754A9"/>
    <w:rsid w:val="00F81597"/>
    <w:rsid w:val="00F91FC2"/>
    <w:rsid w:val="00FA0FF2"/>
    <w:rsid w:val="1B0F19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link w:val="15"/>
    <w:unhideWhenUsed/>
    <w:qFormat/>
    <w:uiPriority w:val="9"/>
    <w:pPr>
      <w:keepNext/>
      <w:keepLines/>
      <w:spacing w:before="260" w:after="260" w:line="416" w:lineRule="auto"/>
      <w:outlineLvl w:val="2"/>
    </w:pPr>
    <w:rPr>
      <w:rFonts w:eastAsia="方正楷体_GBK"/>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uiPriority w:val="99"/>
    <w:pPr>
      <w:spacing w:after="120"/>
    </w:pPr>
  </w:style>
  <w:style w:type="paragraph" w:styleId="4">
    <w:name w:val="annotation text"/>
    <w:basedOn w:val="1"/>
    <w:link w:val="16"/>
    <w:semiHidden/>
    <w:unhideWhenUsed/>
    <w:uiPriority w:val="99"/>
    <w:pPr>
      <w:jc w:val="left"/>
    </w:pPr>
    <w:rPr>
      <w:rFonts w:eastAsia="方正仿宋_GBK"/>
      <w:sz w:val="32"/>
      <w:szCs w:val="22"/>
    </w:rPr>
  </w:style>
  <w:style w:type="paragraph" w:styleId="5">
    <w:name w:val="Balloon Text"/>
    <w:basedOn w:val="1"/>
    <w:link w:val="17"/>
    <w:semiHidden/>
    <w:unhideWhenUsed/>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0">
    <w:name w:val="annotation reference"/>
    <w:basedOn w:val="9"/>
    <w:semiHidden/>
    <w:unhideWhenUsed/>
    <w:uiPriority w:val="99"/>
    <w:rPr>
      <w:sz w:val="21"/>
      <w:szCs w:val="21"/>
    </w:rPr>
  </w:style>
  <w:style w:type="character" w:customStyle="1" w:styleId="11">
    <w:name w:val="页眉 Char"/>
    <w:basedOn w:val="9"/>
    <w:link w:val="7"/>
    <w:uiPriority w:val="99"/>
    <w:rPr>
      <w:sz w:val="18"/>
      <w:szCs w:val="18"/>
    </w:rPr>
  </w:style>
  <w:style w:type="character" w:customStyle="1" w:styleId="12">
    <w:name w:val="页脚 Char"/>
    <w:basedOn w:val="9"/>
    <w:link w:val="6"/>
    <w:uiPriority w:val="99"/>
    <w:rPr>
      <w:sz w:val="18"/>
      <w:szCs w:val="18"/>
    </w:rPr>
  </w:style>
  <w:style w:type="paragraph" w:customStyle="1" w:styleId="13">
    <w:name w:val="默认"/>
    <w:qFormat/>
    <w:uiPriority w:val="0"/>
    <w:rPr>
      <w:rFonts w:ascii="Helvetica" w:hAnsi="Helvetica" w:eastAsia="Helvetica" w:cs="Times New Roman"/>
      <w:color w:val="000000"/>
      <w:kern w:val="0"/>
      <w:sz w:val="22"/>
      <w:szCs w:val="22"/>
      <w:lang w:val="en-US" w:eastAsia="zh-CN" w:bidi="ar-SA"/>
    </w:rPr>
  </w:style>
  <w:style w:type="character" w:customStyle="1" w:styleId="14">
    <w:name w:val="正文文本 Char"/>
    <w:basedOn w:val="9"/>
    <w:link w:val="2"/>
    <w:uiPriority w:val="99"/>
    <w:rPr>
      <w:rFonts w:ascii="Calibri" w:hAnsi="Calibri" w:eastAsia="宋体" w:cs="Times New Roman"/>
      <w:szCs w:val="24"/>
    </w:rPr>
  </w:style>
  <w:style w:type="character" w:customStyle="1" w:styleId="15">
    <w:name w:val="标题 3 Char"/>
    <w:basedOn w:val="9"/>
    <w:link w:val="3"/>
    <w:uiPriority w:val="9"/>
    <w:rPr>
      <w:rFonts w:ascii="Calibri" w:hAnsi="Calibri" w:eastAsia="方正楷体_GBK" w:cs="Times New Roman"/>
      <w:b/>
      <w:bCs/>
      <w:sz w:val="32"/>
      <w:szCs w:val="32"/>
    </w:rPr>
  </w:style>
  <w:style w:type="character" w:customStyle="1" w:styleId="16">
    <w:name w:val="批注文字 Char"/>
    <w:basedOn w:val="9"/>
    <w:link w:val="4"/>
    <w:semiHidden/>
    <w:uiPriority w:val="99"/>
    <w:rPr>
      <w:rFonts w:ascii="Calibri" w:hAnsi="Calibri" w:eastAsia="方正仿宋_GBK" w:cs="Times New Roman"/>
      <w:sz w:val="32"/>
    </w:rPr>
  </w:style>
  <w:style w:type="character" w:customStyle="1" w:styleId="17">
    <w:name w:val="批注框文本 Char"/>
    <w:basedOn w:val="9"/>
    <w:link w:val="5"/>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8527A-3992-440B-A55F-FCB266F77C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2327</Words>
  <Characters>2380</Characters>
  <Lines>17</Lines>
  <Paragraphs>4</Paragraphs>
  <TotalTime>38</TotalTime>
  <ScaleCrop>false</ScaleCrop>
  <LinksUpToDate>false</LinksUpToDate>
  <CharactersWithSpaces>2380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2025-02-27T07:13:00Z</dcterms:created>
  <dc:creator>Administrator</dc:creator>
  <cp:lastModifiedBy>Administrator</cp:lastModifiedBy>
  <cp:lastPrinted>2025-01-16T01:34:00Z</cp:lastPrinted>
  <dcterms:modified xsi:type="dcterms:W3CDTF">2025-02-28T07:36:51Z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F1A02E7BBF3D43C188A43807C0BF06D8</vt:lpwstr>
  </property>
</Properties>
</file>