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EB" w:rsidRDefault="009C2080"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重庆市南岸区财政局</w:t>
      </w:r>
    </w:p>
    <w:p w:rsidR="00D531EB" w:rsidRDefault="009C2080">
      <w:pPr>
        <w:spacing w:line="594" w:lineRule="exact"/>
        <w:jc w:val="center"/>
      </w:pPr>
      <w:r>
        <w:rPr>
          <w:rFonts w:ascii="方正小标宋_GBK" w:eastAsia="方正小标宋_GBK" w:hint="eastAsia"/>
          <w:sz w:val="44"/>
          <w:szCs w:val="44"/>
        </w:rPr>
        <w:t>关于</w:t>
      </w:r>
      <w:r>
        <w:rPr>
          <w:rFonts w:ascii="方正小标宋_GBK" w:eastAsia="方正小标宋_GBK" w:hint="eastAsia"/>
          <w:sz w:val="44"/>
          <w:szCs w:val="44"/>
        </w:rPr>
        <w:t>202</w:t>
      </w:r>
      <w:r>
        <w:rPr>
          <w:rFonts w:ascii="方正小标宋_GBK" w:eastAsia="方正小标宋_GBK"/>
          <w:sz w:val="44"/>
          <w:szCs w:val="44"/>
        </w:rPr>
        <w:t>3</w:t>
      </w:r>
      <w:r>
        <w:rPr>
          <w:rFonts w:ascii="方正小标宋_GBK" w:eastAsia="方正小标宋_GBK" w:hint="eastAsia"/>
          <w:sz w:val="44"/>
          <w:szCs w:val="44"/>
        </w:rPr>
        <w:t>年</w:t>
      </w:r>
      <w:r w:rsidR="008F63AB">
        <w:rPr>
          <w:rFonts w:ascii="方正小标宋_GBK" w:eastAsia="方正小标宋_GBK"/>
          <w:sz w:val="44"/>
          <w:szCs w:val="44"/>
        </w:rPr>
        <w:t>4</w:t>
      </w:r>
      <w:r>
        <w:rPr>
          <w:rFonts w:ascii="方正小标宋_GBK" w:eastAsia="方正小标宋_GBK" w:hint="eastAsia"/>
          <w:sz w:val="44"/>
          <w:szCs w:val="44"/>
        </w:rPr>
        <w:t>季度直达资金情况的报告</w:t>
      </w:r>
    </w:p>
    <w:p w:rsidR="00D531EB" w:rsidRDefault="00D531EB">
      <w:pPr>
        <w:spacing w:line="594" w:lineRule="exact"/>
        <w:jc w:val="center"/>
      </w:pPr>
    </w:p>
    <w:p w:rsidR="00D531EB" w:rsidRDefault="009C2080">
      <w:pPr>
        <w:spacing w:line="594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财政部重庆监管局：</w:t>
      </w:r>
    </w:p>
    <w:p w:rsidR="00D531EB" w:rsidRDefault="009C2080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按照中央和市财政对直达资金管理有关要求，我区高度重视、闻令而动，现将我区</w:t>
      </w:r>
      <w:r>
        <w:rPr>
          <w:rFonts w:ascii="Times New Roman" w:eastAsia="方正仿宋_GBK" w:hAnsi="Times New Roman" w:hint="eastAsia"/>
          <w:sz w:val="32"/>
          <w:szCs w:val="32"/>
        </w:rPr>
        <w:t>202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 w:rsidR="008F63AB"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季度</w:t>
      </w:r>
      <w:bookmarkStart w:id="0" w:name="_GoBack"/>
      <w:bookmarkEnd w:id="0"/>
      <w:r>
        <w:rPr>
          <w:rFonts w:ascii="Times New Roman" w:eastAsia="方正仿宋_GBK" w:hAnsi="Times New Roman" w:hint="eastAsia"/>
          <w:sz w:val="32"/>
          <w:szCs w:val="32"/>
        </w:rPr>
        <w:t>直达资金监控和预算执行有关工作情况通报如下：</w:t>
      </w:r>
    </w:p>
    <w:p w:rsidR="00D531EB" w:rsidRDefault="009C2080">
      <w:pPr>
        <w:spacing w:line="594" w:lineRule="exact"/>
        <w:ind w:firstLineChars="200" w:firstLine="640"/>
        <w:rPr>
          <w:rFonts w:ascii="方正黑体_GBK" w:eastAsia="方正黑体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一、直达资金的基本情况</w:t>
      </w:r>
    </w:p>
    <w:p w:rsidR="00D531EB" w:rsidRDefault="009C2080">
      <w:pPr>
        <w:spacing w:line="594" w:lineRule="exact"/>
        <w:ind w:firstLineChars="200" w:firstLine="640"/>
        <w:rPr>
          <w:rFonts w:ascii="方正楷体_GBK" w:eastAsia="方正楷体_GBK" w:hAnsi="Times New Roman"/>
          <w:sz w:val="32"/>
          <w:szCs w:val="32"/>
        </w:rPr>
      </w:pPr>
      <w:r>
        <w:rPr>
          <w:rFonts w:ascii="方正楷体_GBK" w:eastAsia="方正楷体_GBK" w:hAnsi="Times New Roman" w:hint="eastAsia"/>
          <w:sz w:val="32"/>
          <w:szCs w:val="32"/>
        </w:rPr>
        <w:t>（一）资金到位及拨付情况</w:t>
      </w:r>
    </w:p>
    <w:p w:rsidR="00D531EB" w:rsidRDefault="009C2080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截至</w:t>
      </w:r>
      <w:r w:rsidR="008F63AB">
        <w:rPr>
          <w:rFonts w:ascii="Times New Roman" w:eastAsia="方正仿宋_GBK" w:hAnsi="Times New Roman"/>
          <w:sz w:val="32"/>
          <w:szCs w:val="32"/>
        </w:rPr>
        <w:t>12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 w:rsidR="008F63AB">
        <w:rPr>
          <w:rFonts w:ascii="Times New Roman" w:eastAsia="方正仿宋_GBK" w:hAnsi="Times New Roman"/>
          <w:sz w:val="32"/>
          <w:szCs w:val="32"/>
        </w:rPr>
        <w:t>31</w:t>
      </w:r>
      <w:r>
        <w:rPr>
          <w:rFonts w:ascii="Times New Roman" w:eastAsia="方正仿宋_GBK" w:hAnsi="Times New Roman" w:hint="eastAsia"/>
          <w:sz w:val="32"/>
          <w:szCs w:val="32"/>
        </w:rPr>
        <w:t>日，通过增强工作合力、提升工作质效，我区接收到上级直达资金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 w:hint="eastAsia"/>
          <w:sz w:val="32"/>
          <w:szCs w:val="32"/>
        </w:rPr>
        <w:t>6,</w:t>
      </w:r>
      <w:r w:rsidR="00624B55"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 w:rsidR="00624B55"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.</w:t>
      </w:r>
      <w:r w:rsidR="00624B55"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 w:hint="eastAsia"/>
          <w:sz w:val="32"/>
          <w:szCs w:val="32"/>
        </w:rPr>
        <w:t>万元，分配率</w:t>
      </w:r>
      <w:r>
        <w:rPr>
          <w:rFonts w:ascii="Times New Roman" w:eastAsia="方正仿宋_GBK" w:hAnsi="Times New Roman" w:hint="eastAsia"/>
          <w:sz w:val="32"/>
          <w:szCs w:val="32"/>
        </w:rPr>
        <w:t>100%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；我区直达资金</w:t>
      </w:r>
      <w:r>
        <w:rPr>
          <w:rFonts w:ascii="Times New Roman" w:eastAsia="方正仿宋_GBK" w:hAnsi="Times New Roman" w:hint="eastAsia"/>
          <w:sz w:val="32"/>
          <w:szCs w:val="32"/>
        </w:rPr>
        <w:t>已支付</w:t>
      </w:r>
      <w:r w:rsidR="00624B55">
        <w:rPr>
          <w:rFonts w:ascii="Times New Roman" w:eastAsia="方正仿宋_GBK" w:hAnsi="Times New Roman"/>
          <w:sz w:val="32"/>
          <w:szCs w:val="32"/>
        </w:rPr>
        <w:t>75</w:t>
      </w:r>
      <w:r w:rsidR="00624B55">
        <w:rPr>
          <w:rFonts w:ascii="Times New Roman" w:eastAsia="方正仿宋_GBK" w:hAnsi="Times New Roman" w:hint="eastAsia"/>
          <w:sz w:val="32"/>
          <w:szCs w:val="32"/>
        </w:rPr>
        <w:t>,</w:t>
      </w:r>
      <w:r w:rsidR="00624B55">
        <w:rPr>
          <w:rFonts w:ascii="Times New Roman" w:eastAsia="方正仿宋_GBK" w:hAnsi="Times New Roman"/>
          <w:sz w:val="32"/>
          <w:szCs w:val="32"/>
        </w:rPr>
        <w:t>123</w:t>
      </w:r>
      <w:r>
        <w:rPr>
          <w:rFonts w:ascii="Times New Roman" w:eastAsia="方正仿宋_GBK" w:hAnsi="Times New Roman"/>
          <w:sz w:val="32"/>
          <w:szCs w:val="32"/>
        </w:rPr>
        <w:t>.</w:t>
      </w:r>
      <w:r w:rsidR="00624B55">
        <w:rPr>
          <w:rFonts w:ascii="Times New Roman" w:eastAsia="方正仿宋_GBK" w:hAnsi="Times New Roman"/>
          <w:sz w:val="32"/>
          <w:szCs w:val="32"/>
        </w:rPr>
        <w:t>16</w:t>
      </w:r>
      <w:r>
        <w:rPr>
          <w:rFonts w:ascii="Times New Roman" w:eastAsia="方正仿宋_GBK" w:hAnsi="Times New Roman" w:hint="eastAsia"/>
          <w:sz w:val="32"/>
          <w:szCs w:val="32"/>
        </w:rPr>
        <w:t>万元，支付进度为</w:t>
      </w:r>
      <w:r w:rsidR="00624B55">
        <w:rPr>
          <w:rFonts w:ascii="Times New Roman" w:eastAsia="方正仿宋_GBK" w:hAnsi="Times New Roman" w:hint="eastAsia"/>
          <w:sz w:val="32"/>
          <w:szCs w:val="32"/>
        </w:rPr>
        <w:t>9</w:t>
      </w:r>
      <w:r w:rsidR="00624B55">
        <w:rPr>
          <w:rFonts w:ascii="Times New Roman" w:eastAsia="方正仿宋_GBK" w:hAnsi="Times New Roman"/>
          <w:sz w:val="32"/>
          <w:szCs w:val="32"/>
        </w:rPr>
        <w:t>7.8</w:t>
      </w:r>
      <w:r>
        <w:rPr>
          <w:rFonts w:ascii="Times New Roman" w:eastAsia="方正仿宋_GBK" w:hAnsi="Times New Roman" w:hint="eastAsia"/>
          <w:sz w:val="32"/>
          <w:szCs w:val="32"/>
        </w:rPr>
        <w:t>%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D531EB" w:rsidRDefault="009C2080">
      <w:pPr>
        <w:spacing w:line="594" w:lineRule="exact"/>
        <w:ind w:firstLineChars="200" w:firstLine="640"/>
        <w:rPr>
          <w:rFonts w:ascii="方正楷体_GBK" w:eastAsia="方正楷体_GBK" w:hAnsi="Times New Roman"/>
          <w:sz w:val="32"/>
          <w:szCs w:val="32"/>
        </w:rPr>
      </w:pPr>
      <w:r>
        <w:rPr>
          <w:rFonts w:ascii="方正楷体_GBK" w:eastAsia="方正楷体_GBK" w:hAnsi="Times New Roman" w:hint="eastAsia"/>
          <w:sz w:val="32"/>
          <w:szCs w:val="32"/>
        </w:rPr>
        <w:t>（二）重大政策重要项目落实情况</w:t>
      </w:r>
    </w:p>
    <w:p w:rsidR="00D531EB" w:rsidRDefault="009C2080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我区按照财政部和市财政局的要求，严格资金分配使用，我区直达资金保障的领域主要用于卫生、就业、基本民生、教育、安居工程等重点领域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sz w:val="32"/>
          <w:szCs w:val="32"/>
        </w:rPr>
        <w:t>重点项目</w:t>
      </w:r>
      <w:r>
        <w:rPr>
          <w:rFonts w:ascii="Times New Roman" w:eastAsia="方正仿宋_GBK" w:hAnsi="Times New Roman" w:hint="eastAsia"/>
          <w:sz w:val="32"/>
          <w:szCs w:val="32"/>
        </w:rPr>
        <w:t>如：</w:t>
      </w:r>
      <w:r>
        <w:rPr>
          <w:rFonts w:ascii="Times New Roman" w:eastAsia="方正仿宋_GBK" w:hAnsi="Times New Roman" w:hint="eastAsia"/>
          <w:sz w:val="32"/>
          <w:szCs w:val="32"/>
        </w:rPr>
        <w:t>城乡义务教育补助、学生资助补助、基本公共卫生服务补助、中央财政城镇保障性安居工程、就业补助、困难群众救助补助、优抚对象补助等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hint="eastAsia"/>
          <w:sz w:val="32"/>
          <w:szCs w:val="32"/>
        </w:rPr>
        <w:t>资金直接惠及困难群众、优抚对象等，保障了基本民生。</w:t>
      </w:r>
    </w:p>
    <w:p w:rsidR="00D531EB" w:rsidRDefault="009C2080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二、直达资金分配和支付中好的成效和做法</w:t>
      </w:r>
    </w:p>
    <w:p w:rsidR="00D531EB" w:rsidRDefault="009C2080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（一）高度重视直达资金分配，实现分</w:t>
      </w:r>
      <w:r>
        <w:rPr>
          <w:rFonts w:ascii="Times New Roman" w:eastAsia="方正仿宋_GBK" w:hAnsi="Times New Roman" w:hint="eastAsia"/>
          <w:sz w:val="32"/>
          <w:szCs w:val="32"/>
        </w:rPr>
        <w:t>配比例</w:t>
      </w:r>
      <w:r>
        <w:rPr>
          <w:rFonts w:ascii="Times New Roman" w:eastAsia="方正仿宋_GBK" w:hAnsi="Times New Roman" w:hint="eastAsia"/>
          <w:sz w:val="32"/>
          <w:szCs w:val="32"/>
        </w:rPr>
        <w:t>100%</w:t>
      </w:r>
      <w:r>
        <w:rPr>
          <w:rFonts w:ascii="Times New Roman" w:eastAsia="方正仿宋_GBK" w:hAnsi="Times New Roman" w:hint="eastAsia"/>
          <w:sz w:val="32"/>
          <w:szCs w:val="32"/>
        </w:rPr>
        <w:t>。我局高度重视直达资金工作，落实到每个直达资金项目、涉</w:t>
      </w:r>
      <w:r>
        <w:rPr>
          <w:rFonts w:ascii="Times New Roman" w:eastAsia="方正仿宋_GBK" w:hAnsi="Times New Roman" w:hint="eastAsia"/>
          <w:sz w:val="32"/>
          <w:szCs w:val="32"/>
        </w:rPr>
        <w:lastRenderedPageBreak/>
        <w:t>及的每个科室，就分配过程中需克服的困难逐一予以解决，群策群力，制定分配时间表，将分配进度及时在局内通报，截至目前实现分配</w:t>
      </w:r>
      <w:r>
        <w:rPr>
          <w:rFonts w:ascii="Times New Roman" w:eastAsia="方正仿宋_GBK" w:hAnsi="Times New Roman" w:hint="eastAsia"/>
          <w:sz w:val="32"/>
          <w:szCs w:val="32"/>
        </w:rPr>
        <w:t>100%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:rsidR="00D531EB" w:rsidRDefault="009C2080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（二）督促预算单位抓紧项目资金支付，完成直达资金系统与预算一体化系统的数据同步，应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支尽支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，</w:t>
      </w:r>
      <w:proofErr w:type="gramStart"/>
      <w:r>
        <w:rPr>
          <w:rFonts w:ascii="Times New Roman" w:eastAsia="方正仿宋_GBK" w:hAnsi="Times New Roman" w:hint="eastAsia"/>
          <w:sz w:val="32"/>
          <w:szCs w:val="32"/>
        </w:rPr>
        <w:t>应挂尽挂</w:t>
      </w:r>
      <w:proofErr w:type="gramEnd"/>
      <w:r>
        <w:rPr>
          <w:rFonts w:ascii="Times New Roman" w:eastAsia="方正仿宋_GBK" w:hAnsi="Times New Roman" w:hint="eastAsia"/>
          <w:sz w:val="32"/>
          <w:szCs w:val="32"/>
        </w:rPr>
        <w:t>，及时</w:t>
      </w:r>
      <w:r>
        <w:rPr>
          <w:rFonts w:ascii="Times New Roman" w:eastAsia="方正仿宋_GBK" w:hAnsi="Times New Roman" w:hint="eastAsia"/>
          <w:sz w:val="32"/>
          <w:szCs w:val="32"/>
        </w:rPr>
        <w:t>使</w:t>
      </w:r>
      <w:r>
        <w:rPr>
          <w:rFonts w:ascii="Times New Roman" w:eastAsia="方正仿宋_GBK" w:hAnsi="Times New Roman" w:hint="eastAsia"/>
          <w:sz w:val="32"/>
          <w:szCs w:val="32"/>
        </w:rPr>
        <w:t>支付数据在直达资金系统予以体现。</w:t>
      </w:r>
    </w:p>
    <w:p w:rsidR="00D531EB" w:rsidRDefault="009C2080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（三）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建立常态化通报机制，将全区直达资金支付进度表及时通报各预算单位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同时，将支付进度情况表不定期报送区政府。</w:t>
      </w:r>
    </w:p>
    <w:p w:rsidR="00D531EB" w:rsidRDefault="009C2080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三、下一步工作思路</w:t>
      </w:r>
    </w:p>
    <w:p w:rsidR="00D531EB" w:rsidRDefault="009C2080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一是进一步增强紧迫感、责任感，坚持能快则快，确保直达资金尽快完成支付。二是持续加大督查工作力度，规范直达资金的使用。</w:t>
      </w:r>
    </w:p>
    <w:p w:rsidR="00D531EB" w:rsidRDefault="009C2080">
      <w:pPr>
        <w:spacing w:line="594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特此报告</w:t>
      </w:r>
    </w:p>
    <w:p w:rsidR="00D531EB" w:rsidRDefault="00D531EB">
      <w:pPr>
        <w:spacing w:line="594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</w:p>
    <w:p w:rsidR="00D531EB" w:rsidRDefault="009C2080">
      <w:pPr>
        <w:spacing w:line="594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重庆市南岸区财政局</w:t>
      </w:r>
    </w:p>
    <w:p w:rsidR="00D531EB" w:rsidRDefault="009C2080">
      <w:pPr>
        <w:spacing w:line="594" w:lineRule="exact"/>
        <w:ind w:firstLineChars="200" w:firstLine="640"/>
        <w:jc w:val="right"/>
      </w:pPr>
      <w:r>
        <w:rPr>
          <w:rFonts w:ascii="Times New Roman" w:eastAsia="方正仿宋_GBK" w:hAnsi="Times New Roman" w:hint="eastAsia"/>
          <w:sz w:val="32"/>
          <w:szCs w:val="32"/>
        </w:rPr>
        <w:t>202</w:t>
      </w:r>
      <w:r w:rsidR="00624B55"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年</w:t>
      </w:r>
      <w:r w:rsidR="00624B55"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hint="eastAsia"/>
          <w:sz w:val="32"/>
          <w:szCs w:val="32"/>
        </w:rPr>
        <w:t>26</w:t>
      </w:r>
      <w:r>
        <w:rPr>
          <w:rFonts w:ascii="Times New Roman" w:eastAsia="方正仿宋_GBK" w:hAnsi="Times New Roman" w:hint="eastAsia"/>
          <w:sz w:val="32"/>
          <w:szCs w:val="32"/>
        </w:rPr>
        <w:t>日</w:t>
      </w:r>
    </w:p>
    <w:sectPr w:rsidR="00D531EB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2080">
      <w:r>
        <w:separator/>
      </w:r>
    </w:p>
  </w:endnote>
  <w:endnote w:type="continuationSeparator" w:id="0">
    <w:p w:rsidR="00000000" w:rsidRDefault="009C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EB" w:rsidRDefault="009C208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92.8pt;margin-top:0;width:2in;height:2in;z-index:251659264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D531EB" w:rsidRDefault="009C2080">
                <w:pPr>
                  <w:pStyle w:val="a3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2080">
      <w:r>
        <w:separator/>
      </w:r>
    </w:p>
  </w:footnote>
  <w:footnote w:type="continuationSeparator" w:id="0">
    <w:p w:rsidR="00000000" w:rsidRDefault="009C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E22"/>
    <w:rsid w:val="000505FB"/>
    <w:rsid w:val="00081B71"/>
    <w:rsid w:val="000C04EB"/>
    <w:rsid w:val="0010042C"/>
    <w:rsid w:val="001651A0"/>
    <w:rsid w:val="00174AD7"/>
    <w:rsid w:val="001B7646"/>
    <w:rsid w:val="001D717E"/>
    <w:rsid w:val="001F70B9"/>
    <w:rsid w:val="00207EE4"/>
    <w:rsid w:val="002105A9"/>
    <w:rsid w:val="002D1F59"/>
    <w:rsid w:val="002F44AB"/>
    <w:rsid w:val="0034015B"/>
    <w:rsid w:val="003E5F25"/>
    <w:rsid w:val="003F278C"/>
    <w:rsid w:val="00407C13"/>
    <w:rsid w:val="004523CB"/>
    <w:rsid w:val="0048731D"/>
    <w:rsid w:val="004C5EAB"/>
    <w:rsid w:val="004D2781"/>
    <w:rsid w:val="005B26EB"/>
    <w:rsid w:val="005D64C8"/>
    <w:rsid w:val="005E6B66"/>
    <w:rsid w:val="005F4E55"/>
    <w:rsid w:val="0060728B"/>
    <w:rsid w:val="00612B83"/>
    <w:rsid w:val="00622607"/>
    <w:rsid w:val="00624B55"/>
    <w:rsid w:val="00657A90"/>
    <w:rsid w:val="0068208D"/>
    <w:rsid w:val="006C629E"/>
    <w:rsid w:val="006E1A6B"/>
    <w:rsid w:val="00707C3B"/>
    <w:rsid w:val="00744614"/>
    <w:rsid w:val="00755016"/>
    <w:rsid w:val="00762A3D"/>
    <w:rsid w:val="00774BBE"/>
    <w:rsid w:val="007A4DBD"/>
    <w:rsid w:val="007E3A63"/>
    <w:rsid w:val="00800CAA"/>
    <w:rsid w:val="00820CBD"/>
    <w:rsid w:val="008935C8"/>
    <w:rsid w:val="008A2599"/>
    <w:rsid w:val="008D1C93"/>
    <w:rsid w:val="008E6B75"/>
    <w:rsid w:val="008F63AB"/>
    <w:rsid w:val="00902150"/>
    <w:rsid w:val="00963F19"/>
    <w:rsid w:val="009642FE"/>
    <w:rsid w:val="00970CD3"/>
    <w:rsid w:val="0098056A"/>
    <w:rsid w:val="009A2FA5"/>
    <w:rsid w:val="009A5B8B"/>
    <w:rsid w:val="009B5BE0"/>
    <w:rsid w:val="009C2080"/>
    <w:rsid w:val="009D7DBF"/>
    <w:rsid w:val="009E44B1"/>
    <w:rsid w:val="009E5A98"/>
    <w:rsid w:val="009E782C"/>
    <w:rsid w:val="009F3452"/>
    <w:rsid w:val="00A40855"/>
    <w:rsid w:val="00A57677"/>
    <w:rsid w:val="00A63E22"/>
    <w:rsid w:val="00A956C3"/>
    <w:rsid w:val="00AA60A4"/>
    <w:rsid w:val="00AF42BF"/>
    <w:rsid w:val="00B04F39"/>
    <w:rsid w:val="00B13B29"/>
    <w:rsid w:val="00B21E3A"/>
    <w:rsid w:val="00B57CB5"/>
    <w:rsid w:val="00B771EC"/>
    <w:rsid w:val="00BC21AF"/>
    <w:rsid w:val="00BD4F65"/>
    <w:rsid w:val="00BD5647"/>
    <w:rsid w:val="00C03966"/>
    <w:rsid w:val="00C11BC3"/>
    <w:rsid w:val="00C5391B"/>
    <w:rsid w:val="00C96189"/>
    <w:rsid w:val="00CB5366"/>
    <w:rsid w:val="00CD7F98"/>
    <w:rsid w:val="00D058AF"/>
    <w:rsid w:val="00D20AA0"/>
    <w:rsid w:val="00D531EB"/>
    <w:rsid w:val="00D7747F"/>
    <w:rsid w:val="00D86AD3"/>
    <w:rsid w:val="00DA0E1C"/>
    <w:rsid w:val="00DD0B70"/>
    <w:rsid w:val="00DD2019"/>
    <w:rsid w:val="00E26775"/>
    <w:rsid w:val="00E43C17"/>
    <w:rsid w:val="00E64673"/>
    <w:rsid w:val="00E764F7"/>
    <w:rsid w:val="00E829F9"/>
    <w:rsid w:val="00EB5E0A"/>
    <w:rsid w:val="00EC6950"/>
    <w:rsid w:val="00F15D9F"/>
    <w:rsid w:val="00F218AF"/>
    <w:rsid w:val="00FD6576"/>
    <w:rsid w:val="0E7A4BD5"/>
    <w:rsid w:val="148366FA"/>
    <w:rsid w:val="18F05114"/>
    <w:rsid w:val="1B9C7662"/>
    <w:rsid w:val="2C673C15"/>
    <w:rsid w:val="2F1B3A36"/>
    <w:rsid w:val="342C714C"/>
    <w:rsid w:val="3A2C099E"/>
    <w:rsid w:val="42A354EC"/>
    <w:rsid w:val="442422DE"/>
    <w:rsid w:val="48AF03EA"/>
    <w:rsid w:val="4AEB50B5"/>
    <w:rsid w:val="669E2C81"/>
    <w:rsid w:val="6940055E"/>
    <w:rsid w:val="707965DE"/>
    <w:rsid w:val="739E41FD"/>
    <w:rsid w:val="7B3327E8"/>
    <w:rsid w:val="7C225F70"/>
    <w:rsid w:val="7C6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  <w14:docId w14:val="649D8195"/>
  <w15:docId w15:val="{862B09AA-2C0E-4486-9B0B-9888AA06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83</cp:revision>
  <cp:lastPrinted>2023-06-28T02:37:00Z</cp:lastPrinted>
  <dcterms:created xsi:type="dcterms:W3CDTF">2022-03-25T06:29:00Z</dcterms:created>
  <dcterms:modified xsi:type="dcterms:W3CDTF">2024-02-26T08:16:00Z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