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2200" w:hanging="1800" w:hangingChars="500"/>
        <w:jc w:val="center"/>
        <w:textAlignment w:val="auto"/>
        <w:rPr>
          <w:rFonts w:hint="eastAsia" w:ascii="方正小标宋_GBK" w:hAnsi="方正小标宋_GBK" w:eastAsia="方正小标宋_GBK" w:cs="方正小标宋_GBK"/>
          <w:color w:val="auto"/>
          <w:sz w:val="36"/>
          <w:szCs w:val="36"/>
          <w:lang w:val="en-US" w:eastAsia="zh-CN"/>
        </w:rPr>
      </w:pPr>
      <w:r>
        <w:rPr>
          <w:rStyle w:val="6"/>
          <w:rFonts w:hint="eastAsia" w:ascii="方正小标宋_GBK" w:hAnsi="方正小标宋_GBK" w:eastAsia="方正小标宋_GBK" w:cs="方正小标宋_GBK"/>
          <w:b w:val="0"/>
          <w:bCs/>
          <w:color w:val="auto"/>
          <w:kern w:val="0"/>
          <w:sz w:val="36"/>
          <w:szCs w:val="36"/>
          <w:shd w:val="clear" w:color="auto" w:fill="auto"/>
          <w:lang w:val="en-US" w:eastAsia="zh-CN" w:bidi="ar"/>
        </w:rPr>
        <w:t>南岸区第四次全国经济普查公报（第一号）</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1596" w:leftChars="608" w:hanging="320" w:hangingChars="1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——南岸区第四次全国经济普查顺利完成</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1596" w:leftChars="608" w:hanging="320" w:hangingChars="100"/>
        <w:jc w:val="both"/>
        <w:textAlignment w:val="auto"/>
        <w:rPr>
          <w:rFonts w:hint="eastAsia" w:ascii="方正楷体_GBK" w:hAnsi="方正楷体_GBK" w:eastAsia="方正楷体_GBK" w:cs="方正楷体_GBK"/>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1596" w:leftChars="760" w:firstLine="1600" w:firstLineChars="5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南岸区统计局</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1598" w:leftChars="304" w:hanging="960" w:hangingChars="3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南岸区人民政府第四次全国经济普查领导小组办公室</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firstLine="2880" w:firstLineChars="900"/>
        <w:jc w:val="both"/>
        <w:textAlignment w:val="auto"/>
        <w:rPr>
          <w:rFonts w:hint="eastAsia" w:ascii="方正楷体_GBK" w:hAnsi="方正楷体_GBK" w:eastAsia="方正楷体_GBK" w:cs="方正楷体_GBK"/>
          <w:color w:val="auto"/>
          <w:sz w:val="32"/>
          <w:szCs w:val="32"/>
          <w:lang w:val="en-US" w:eastAsia="zh-CN"/>
        </w:rPr>
      </w:pPr>
      <w:r>
        <w:rPr>
          <w:rFonts w:hint="default" w:ascii="Times New Roman" w:hAnsi="Times New Roman" w:eastAsia="方正楷体_GBK" w:cs="Times New Roman"/>
          <w:color w:val="auto"/>
          <w:sz w:val="32"/>
          <w:szCs w:val="32"/>
          <w:lang w:val="en-US" w:eastAsia="zh-CN"/>
        </w:rPr>
        <w:t>2020</w:t>
      </w:r>
      <w:r>
        <w:rPr>
          <w:rFonts w:hint="eastAsia" w:ascii="方正楷体_GBK" w:hAnsi="方正楷体_GBK" w:eastAsia="方正楷体_GBK" w:cs="方正楷体_GBK"/>
          <w:color w:val="auto"/>
          <w:sz w:val="32"/>
          <w:szCs w:val="32"/>
          <w:lang w:val="en-US" w:eastAsia="zh-CN"/>
        </w:rPr>
        <w:t>年</w:t>
      </w:r>
      <w:r>
        <w:rPr>
          <w:rFonts w:hint="default" w:ascii="Times New Roman" w:hAnsi="Times New Roman" w:eastAsia="方正楷体_GBK" w:cs="Times New Roman"/>
          <w:color w:val="auto"/>
          <w:sz w:val="32"/>
          <w:szCs w:val="32"/>
          <w:lang w:val="en-US" w:eastAsia="zh-CN"/>
        </w:rPr>
        <w:t>4</w:t>
      </w:r>
      <w:r>
        <w:rPr>
          <w:rFonts w:hint="eastAsia" w:ascii="方正楷体_GBK" w:hAnsi="方正楷体_GBK" w:eastAsia="方正楷体_GBK" w:cs="方正楷体_GBK"/>
          <w:color w:val="auto"/>
          <w:sz w:val="32"/>
          <w:szCs w:val="32"/>
          <w:lang w:val="en-US" w:eastAsia="zh-CN"/>
        </w:rPr>
        <w:t>月</w:t>
      </w:r>
      <w:r>
        <w:rPr>
          <w:rFonts w:hint="default" w:ascii="Times New Roman" w:hAnsi="Times New Roman" w:eastAsia="方正楷体_GBK" w:cs="Times New Roman"/>
          <w:color w:val="auto"/>
          <w:sz w:val="32"/>
          <w:szCs w:val="32"/>
          <w:lang w:val="en-US" w:eastAsia="zh-CN"/>
        </w:rPr>
        <w:t>22</w:t>
      </w:r>
      <w:r>
        <w:rPr>
          <w:rFonts w:hint="eastAsia" w:ascii="方正楷体_GBK" w:hAnsi="方正楷体_GBK" w:eastAsia="方正楷体_GBK" w:cs="方正楷体_GBK"/>
          <w:color w:val="auto"/>
          <w:sz w:val="32"/>
          <w:szCs w:val="32"/>
          <w:lang w:val="en-US" w:eastAsia="zh-CN"/>
        </w:rPr>
        <w:t>日</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firstLine="2880" w:firstLineChars="900"/>
        <w:jc w:val="both"/>
        <w:textAlignment w:val="auto"/>
        <w:rPr>
          <w:rFonts w:hint="eastAsia" w:ascii="方正楷体_GBK" w:hAnsi="方正楷体_GBK" w:eastAsia="方正楷体_GBK" w:cs="方正楷体_GBK"/>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根据《全国经济普查条例》规定</w:t>
      </w:r>
      <w:r>
        <w:rPr>
          <w:rFonts w:hint="eastAsia" w:ascii="方正仿宋_GBK" w:hAnsi="方正仿宋_GBK" w:eastAsia="方正仿宋_GBK" w:cs="方正仿宋_GBK"/>
          <w:color w:val="auto"/>
          <w:sz w:val="32"/>
          <w:szCs w:val="32"/>
          <w:shd w:val="clear" w:color="auto" w:fill="auto"/>
          <w:lang w:eastAsia="zh-CN"/>
        </w:rPr>
        <w:t>，按照</w:t>
      </w:r>
      <w:r>
        <w:rPr>
          <w:rFonts w:hint="eastAsia" w:ascii="方正仿宋_GBK" w:hAnsi="方正仿宋_GBK" w:eastAsia="方正仿宋_GBK" w:cs="方正仿宋_GBK"/>
          <w:color w:val="auto"/>
          <w:sz w:val="32"/>
          <w:szCs w:val="32"/>
          <w:shd w:val="clear" w:color="auto" w:fill="auto"/>
        </w:rPr>
        <w:t>《国务院关于开展第四次全国经济普查的通知》（国发〔</w:t>
      </w:r>
      <w:r>
        <w:rPr>
          <w:rFonts w:hint="default" w:ascii="Times New Roman" w:hAnsi="Times New Roman" w:eastAsia="方正仿宋_GBK" w:cs="Times New Roman"/>
          <w:color w:val="auto"/>
          <w:sz w:val="32"/>
          <w:szCs w:val="32"/>
          <w:shd w:val="clear" w:color="auto" w:fill="auto"/>
        </w:rPr>
        <w:t>2017</w:t>
      </w:r>
      <w:r>
        <w:rPr>
          <w:rFonts w:hint="eastAsia" w:ascii="方正仿宋_GBK" w:hAnsi="方正仿宋_GBK" w:eastAsia="方正仿宋_GBK" w:cs="方正仿宋_GBK"/>
          <w:color w:val="auto"/>
          <w:sz w:val="32"/>
          <w:szCs w:val="32"/>
          <w:shd w:val="clear" w:color="auto" w:fill="auto"/>
        </w:rPr>
        <w:t>〕</w:t>
      </w:r>
      <w:r>
        <w:rPr>
          <w:rFonts w:hint="default" w:ascii="Times New Roman" w:hAnsi="Times New Roman" w:eastAsia="方正仿宋_GBK" w:cs="Times New Roman"/>
          <w:color w:val="auto"/>
          <w:sz w:val="32"/>
          <w:szCs w:val="32"/>
          <w:shd w:val="clear" w:color="auto" w:fill="auto"/>
        </w:rPr>
        <w:t>53</w:t>
      </w:r>
      <w:r>
        <w:rPr>
          <w:rFonts w:hint="eastAsia" w:ascii="方正仿宋_GBK" w:hAnsi="方正仿宋_GBK" w:eastAsia="方正仿宋_GBK" w:cs="方正仿宋_GBK"/>
          <w:color w:val="auto"/>
          <w:sz w:val="32"/>
          <w:szCs w:val="32"/>
          <w:shd w:val="clear" w:color="auto" w:fill="auto"/>
        </w:rPr>
        <w:t>号）</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《重庆市人民政府关于做好第四次全国经济普查的通知》（渝府发〔</w:t>
      </w:r>
      <w:r>
        <w:rPr>
          <w:rFonts w:hint="default" w:ascii="Times New Roman" w:hAnsi="Times New Roman" w:eastAsia="方正仿宋_GBK" w:cs="Times New Roman"/>
          <w:color w:val="auto"/>
          <w:sz w:val="32"/>
          <w:szCs w:val="32"/>
          <w:shd w:val="clear" w:color="auto" w:fill="auto"/>
        </w:rPr>
        <w:t>2018</w:t>
      </w:r>
      <w:r>
        <w:rPr>
          <w:rFonts w:hint="eastAsia" w:ascii="方正仿宋_GBK" w:hAnsi="方正仿宋_GBK" w:eastAsia="方正仿宋_GBK" w:cs="方正仿宋_GBK"/>
          <w:color w:val="auto"/>
          <w:sz w:val="32"/>
          <w:szCs w:val="32"/>
          <w:shd w:val="clear" w:color="auto" w:fill="auto"/>
        </w:rPr>
        <w:t>〕</w:t>
      </w:r>
      <w:r>
        <w:rPr>
          <w:rFonts w:hint="default" w:ascii="Times New Roman" w:hAnsi="Times New Roman" w:eastAsia="方正仿宋_GBK" w:cs="Times New Roman"/>
          <w:color w:val="auto"/>
          <w:sz w:val="32"/>
          <w:szCs w:val="32"/>
          <w:shd w:val="clear" w:color="auto" w:fill="auto"/>
        </w:rPr>
        <w:t>4</w:t>
      </w:r>
      <w:r>
        <w:rPr>
          <w:rFonts w:hint="eastAsia" w:ascii="方正仿宋_GBK" w:hAnsi="方正仿宋_GBK" w:eastAsia="方正仿宋_GBK" w:cs="方正仿宋_GBK"/>
          <w:color w:val="auto"/>
          <w:sz w:val="32"/>
          <w:szCs w:val="32"/>
          <w:shd w:val="clear" w:color="auto" w:fill="auto"/>
        </w:rPr>
        <w:t>号）</w:t>
      </w:r>
      <w:r>
        <w:rPr>
          <w:rFonts w:hint="eastAsia" w:ascii="方正仿宋_GBK" w:hAnsi="方正仿宋_GBK" w:eastAsia="方正仿宋_GBK" w:cs="方正仿宋_GBK"/>
          <w:color w:val="auto"/>
          <w:sz w:val="32"/>
          <w:szCs w:val="32"/>
          <w:shd w:val="clear" w:color="auto" w:fill="auto"/>
          <w:lang w:eastAsia="zh-CN"/>
        </w:rPr>
        <w:t>、《南岸区</w:t>
      </w:r>
      <w:r>
        <w:rPr>
          <w:rFonts w:hint="eastAsia" w:ascii="方正仿宋_GBK" w:hAnsi="方正仿宋_GBK" w:eastAsia="方正仿宋_GBK" w:cs="方正仿宋_GBK"/>
          <w:color w:val="auto"/>
          <w:sz w:val="32"/>
          <w:szCs w:val="32"/>
          <w:shd w:val="clear" w:color="auto" w:fill="auto"/>
        </w:rPr>
        <w:t>人民政府关于做好第四次全国经济普查的通知</w:t>
      </w:r>
      <w:r>
        <w:rPr>
          <w:rFonts w:hint="eastAsia" w:ascii="方正仿宋_GBK" w:hAnsi="方正仿宋_GBK" w:eastAsia="方正仿宋_GBK" w:cs="方正仿宋_GBK"/>
          <w:color w:val="auto"/>
          <w:sz w:val="32"/>
          <w:szCs w:val="32"/>
          <w:shd w:val="clear" w:color="auto" w:fill="auto"/>
          <w:lang w:eastAsia="zh-CN"/>
        </w:rPr>
        <w:t>》（南岸府发〔</w:t>
      </w:r>
      <w:r>
        <w:rPr>
          <w:rFonts w:hint="default" w:ascii="Times New Roman" w:hAnsi="Times New Roman" w:eastAsia="方正仿宋_GBK" w:cs="Times New Roman"/>
          <w:color w:val="auto"/>
          <w:sz w:val="32"/>
          <w:szCs w:val="32"/>
          <w:shd w:val="clear" w:color="auto" w:fill="auto"/>
          <w:lang w:val="en-US" w:eastAsia="zh-CN"/>
        </w:rPr>
        <w:t>2018</w:t>
      </w:r>
      <w:r>
        <w:rPr>
          <w:rFonts w:hint="eastAsia" w:ascii="方正仿宋_GBK" w:hAnsi="方正仿宋_GBK" w:eastAsia="方正仿宋_GBK" w:cs="方正仿宋_GBK"/>
          <w:color w:val="auto"/>
          <w:sz w:val="32"/>
          <w:szCs w:val="32"/>
          <w:shd w:val="clear" w:color="auto" w:fill="auto"/>
          <w:lang w:val="en-US" w:eastAsia="zh-CN"/>
        </w:rPr>
        <w:t>〕</w:t>
      </w:r>
      <w:r>
        <w:rPr>
          <w:rFonts w:hint="default" w:ascii="Times New Roman" w:hAnsi="Times New Roman" w:eastAsia="方正仿宋_GBK" w:cs="Times New Roman"/>
          <w:color w:val="auto"/>
          <w:sz w:val="32"/>
          <w:szCs w:val="32"/>
          <w:shd w:val="clear" w:color="auto" w:fill="auto"/>
          <w:lang w:val="en-US" w:eastAsia="zh-CN"/>
        </w:rPr>
        <w:t>19</w:t>
      </w:r>
      <w:r>
        <w:rPr>
          <w:rFonts w:hint="eastAsia" w:ascii="方正仿宋_GBK" w:hAnsi="方正仿宋_GBK" w:eastAsia="方正仿宋_GBK" w:cs="方正仿宋_GBK"/>
          <w:color w:val="auto"/>
          <w:sz w:val="32"/>
          <w:szCs w:val="32"/>
          <w:shd w:val="clear" w:color="auto" w:fill="auto"/>
          <w:lang w:val="en-US" w:eastAsia="zh-CN"/>
        </w:rPr>
        <w:t>号</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要求，我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进行了第四次全国经济普查，普查的标准时点为</w:t>
      </w:r>
      <w:r>
        <w:rPr>
          <w:rFonts w:hint="default" w:ascii="Times New Roman" w:hAnsi="Times New Roman" w:eastAsia="方正仿宋_GBK" w:cs="Times New Roman"/>
          <w:color w:val="auto"/>
          <w:sz w:val="32"/>
          <w:szCs w:val="32"/>
          <w:shd w:val="clear" w:color="auto" w:fill="auto"/>
        </w:rPr>
        <w:t>2018</w:t>
      </w:r>
      <w:r>
        <w:rPr>
          <w:rFonts w:hint="eastAsia" w:ascii="方正仿宋_GBK" w:hAnsi="方正仿宋_GBK" w:eastAsia="方正仿宋_GBK" w:cs="方正仿宋_GBK"/>
          <w:color w:val="auto"/>
          <w:sz w:val="32"/>
          <w:szCs w:val="32"/>
          <w:shd w:val="clear" w:color="auto" w:fill="auto"/>
        </w:rPr>
        <w:t>年</w:t>
      </w:r>
      <w:r>
        <w:rPr>
          <w:rFonts w:hint="default" w:ascii="Times New Roman" w:hAnsi="Times New Roman" w:eastAsia="方正仿宋_GBK" w:cs="Times New Roman"/>
          <w:color w:val="auto"/>
          <w:sz w:val="32"/>
          <w:szCs w:val="32"/>
          <w:shd w:val="clear" w:color="auto" w:fill="auto"/>
        </w:rPr>
        <w:t>12</w:t>
      </w:r>
      <w:r>
        <w:rPr>
          <w:rFonts w:hint="eastAsia" w:ascii="方正仿宋_GBK" w:hAnsi="方正仿宋_GBK" w:eastAsia="方正仿宋_GBK" w:cs="方正仿宋_GBK"/>
          <w:color w:val="auto"/>
          <w:sz w:val="32"/>
          <w:szCs w:val="32"/>
          <w:shd w:val="clear" w:color="auto" w:fill="auto"/>
        </w:rPr>
        <w:t>月</w:t>
      </w:r>
      <w:r>
        <w:rPr>
          <w:rFonts w:hint="default" w:ascii="Times New Roman" w:hAnsi="Times New Roman" w:eastAsia="方正仿宋_GBK" w:cs="Times New Roman"/>
          <w:color w:val="auto"/>
          <w:sz w:val="32"/>
          <w:szCs w:val="32"/>
          <w:shd w:val="clear" w:color="auto" w:fill="auto"/>
        </w:rPr>
        <w:t>31</w:t>
      </w:r>
      <w:r>
        <w:rPr>
          <w:rFonts w:hint="eastAsia" w:ascii="方正仿宋_GBK" w:hAnsi="方正仿宋_GBK" w:eastAsia="方正仿宋_GBK" w:cs="方正仿宋_GBK"/>
          <w:color w:val="auto"/>
          <w:sz w:val="32"/>
          <w:szCs w:val="32"/>
          <w:shd w:val="clear" w:color="auto" w:fill="auto"/>
        </w:rPr>
        <w:t>日，普查的时期资料为</w:t>
      </w:r>
      <w:r>
        <w:rPr>
          <w:rFonts w:hint="default" w:ascii="Times New Roman" w:hAnsi="Times New Roman" w:eastAsia="方正仿宋_GBK" w:cs="Times New Roman"/>
          <w:color w:val="auto"/>
          <w:sz w:val="32"/>
          <w:szCs w:val="32"/>
          <w:shd w:val="clear" w:color="auto" w:fill="auto"/>
        </w:rPr>
        <w:t>2018</w:t>
      </w:r>
      <w:r>
        <w:rPr>
          <w:rFonts w:hint="eastAsia" w:ascii="方正仿宋_GBK" w:hAnsi="方正仿宋_GBK" w:eastAsia="方正仿宋_GBK" w:cs="方正仿宋_GBK"/>
          <w:color w:val="auto"/>
          <w:sz w:val="32"/>
          <w:szCs w:val="32"/>
          <w:shd w:val="clear" w:color="auto" w:fill="auto"/>
        </w:rPr>
        <w:t>年度，普查对象是我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行政区域内从事第二产业和第三产业活动的全部法人单位、产业活动单位和个体经营户。</w:t>
      </w:r>
      <w:r>
        <w:rPr>
          <w:rFonts w:hint="eastAsia" w:ascii="方正仿宋_GBK" w:hAnsi="方正仿宋_GBK" w:eastAsia="方正仿宋_GBK" w:cs="方正仿宋_GBK"/>
          <w:color w:val="auto"/>
          <w:sz w:val="32"/>
          <w:szCs w:val="32"/>
          <w:shd w:val="clear" w:color="auto" w:fill="auto"/>
          <w:lang w:eastAsia="zh-CN"/>
        </w:rPr>
        <w:t>按照</w:t>
      </w:r>
      <w:r>
        <w:rPr>
          <w:rFonts w:hint="eastAsia" w:ascii="方正仿宋_GBK" w:hAnsi="方正仿宋_GBK" w:eastAsia="方正仿宋_GBK" w:cs="方正仿宋_GBK"/>
          <w:color w:val="auto"/>
          <w:sz w:val="32"/>
          <w:szCs w:val="32"/>
          <w:shd w:val="clear" w:color="auto" w:fill="auto"/>
        </w:rPr>
        <w:t>党中央</w:t>
      </w:r>
      <w:r>
        <w:rPr>
          <w:rFonts w:hint="eastAsia" w:ascii="方正仿宋_GBK" w:hAnsi="方正仿宋_GBK" w:eastAsia="方正仿宋_GBK" w:cs="方正仿宋_GBK"/>
          <w:color w:val="auto"/>
          <w:sz w:val="32"/>
          <w:szCs w:val="32"/>
          <w:shd w:val="clear" w:color="auto" w:fill="auto"/>
          <w:lang w:eastAsia="zh-CN"/>
        </w:rPr>
        <w:t>和</w:t>
      </w:r>
      <w:r>
        <w:rPr>
          <w:rFonts w:hint="eastAsia" w:ascii="方正仿宋_GBK" w:hAnsi="方正仿宋_GBK" w:eastAsia="方正仿宋_GBK" w:cs="方正仿宋_GBK"/>
          <w:color w:val="auto"/>
          <w:sz w:val="32"/>
          <w:szCs w:val="32"/>
          <w:shd w:val="clear" w:color="auto" w:fill="auto"/>
        </w:rPr>
        <w:t>国务院</w:t>
      </w:r>
      <w:r>
        <w:rPr>
          <w:rFonts w:hint="eastAsia" w:ascii="方正仿宋_GBK" w:hAnsi="方正仿宋_GBK" w:eastAsia="方正仿宋_GBK" w:cs="方正仿宋_GBK"/>
          <w:color w:val="auto"/>
          <w:sz w:val="32"/>
          <w:szCs w:val="32"/>
          <w:shd w:val="clear" w:color="auto" w:fill="auto"/>
          <w:lang w:eastAsia="zh-CN"/>
        </w:rPr>
        <w:t>统一部署</w:t>
      </w: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lang w:eastAsia="zh-CN"/>
        </w:rPr>
        <w:t>在重庆市</w:t>
      </w:r>
      <w:r>
        <w:rPr>
          <w:rFonts w:hint="eastAsia" w:ascii="方正仿宋_GBK" w:hAnsi="方正仿宋_GBK" w:eastAsia="方正仿宋_GBK" w:cs="方正仿宋_GBK"/>
          <w:i w:val="0"/>
          <w:caps w:val="0"/>
          <w:color w:val="auto"/>
          <w:spacing w:val="0"/>
          <w:sz w:val="32"/>
          <w:szCs w:val="32"/>
          <w:shd w:val="clear" w:fill="FFFFFF"/>
        </w:rPr>
        <w:t>第四次全国经济普查领导小组办公室</w:t>
      </w:r>
      <w:r>
        <w:rPr>
          <w:rFonts w:hint="eastAsia" w:ascii="方正仿宋_GBK" w:hAnsi="方正仿宋_GBK" w:eastAsia="方正仿宋_GBK" w:cs="方正仿宋_GBK"/>
          <w:color w:val="auto"/>
          <w:sz w:val="32"/>
          <w:szCs w:val="32"/>
          <w:lang w:eastAsia="zh-CN"/>
        </w:rPr>
        <w:t>精心指导下、在</w:t>
      </w:r>
      <w:r>
        <w:rPr>
          <w:rFonts w:hint="eastAsia" w:ascii="方正仿宋_GBK" w:hAnsi="方正仿宋_GBK" w:eastAsia="方正仿宋_GBK" w:cs="方正仿宋_GBK"/>
          <w:color w:val="auto"/>
          <w:sz w:val="32"/>
          <w:szCs w:val="32"/>
        </w:rPr>
        <w:t>区委区政府的正确领导下，</w:t>
      </w:r>
      <w:r>
        <w:rPr>
          <w:rFonts w:hint="eastAsia" w:ascii="方正仿宋_GBK" w:hAnsi="方正仿宋_GBK" w:eastAsia="方正仿宋_GBK" w:cs="方正仿宋_GBK"/>
          <w:color w:val="auto"/>
          <w:sz w:val="32"/>
          <w:szCs w:val="32"/>
          <w:shd w:val="clear" w:fill="FFFFFF"/>
        </w:rPr>
        <w:t>通过各级普查机构</w:t>
      </w:r>
      <w:r>
        <w:rPr>
          <w:rFonts w:hint="eastAsia" w:ascii="方正仿宋_GBK" w:hAnsi="方正仿宋_GBK" w:eastAsia="方正仿宋_GBK" w:cs="方正仿宋_GBK"/>
          <w:color w:val="auto"/>
          <w:sz w:val="32"/>
          <w:szCs w:val="32"/>
          <w:shd w:val="clear" w:fill="FFFFFF"/>
          <w:lang w:eastAsia="zh-CN"/>
        </w:rPr>
        <w:t>、各部门</w:t>
      </w:r>
      <w:r>
        <w:rPr>
          <w:rFonts w:hint="eastAsia" w:ascii="方正仿宋_GBK" w:hAnsi="方正仿宋_GBK" w:eastAsia="方正仿宋_GBK" w:cs="方正仿宋_GBK"/>
          <w:color w:val="auto"/>
          <w:sz w:val="32"/>
          <w:szCs w:val="32"/>
          <w:shd w:val="clear" w:fill="FFFFFF"/>
        </w:rPr>
        <w:t>和广大普查人员两年来</w:t>
      </w:r>
      <w:r>
        <w:rPr>
          <w:rFonts w:hint="eastAsia" w:ascii="方正仿宋_GBK" w:hAnsi="方正仿宋_GBK" w:eastAsia="方正仿宋_GBK" w:cs="方正仿宋_GBK"/>
          <w:color w:val="auto"/>
          <w:sz w:val="32"/>
          <w:szCs w:val="32"/>
          <w:shd w:val="clear" w:fill="FFFFFF"/>
          <w:lang w:eastAsia="zh-CN"/>
        </w:rPr>
        <w:t>的艰辛努力以</w:t>
      </w:r>
      <w:r>
        <w:rPr>
          <w:rFonts w:hint="eastAsia" w:ascii="方正仿宋_GBK" w:hAnsi="方正仿宋_GBK" w:eastAsia="方正仿宋_GBK" w:cs="方正仿宋_GBK"/>
          <w:color w:val="auto"/>
          <w:sz w:val="32"/>
          <w:szCs w:val="32"/>
          <w:shd w:val="clear" w:fill="FFFFFF"/>
        </w:rPr>
        <w:t>及</w:t>
      </w:r>
      <w:r>
        <w:rPr>
          <w:rFonts w:hint="eastAsia" w:ascii="方正仿宋_GBK" w:hAnsi="方正仿宋_GBK" w:eastAsia="方正仿宋_GBK" w:cs="方正仿宋_GBK"/>
          <w:color w:val="auto"/>
          <w:sz w:val="32"/>
          <w:szCs w:val="32"/>
          <w:shd w:val="clear" w:fill="FFFFFF"/>
          <w:lang w:eastAsia="zh-CN"/>
        </w:rPr>
        <w:t>全区</w:t>
      </w:r>
      <w:r>
        <w:rPr>
          <w:rFonts w:hint="eastAsia" w:ascii="方正仿宋_GBK" w:hAnsi="方正仿宋_GBK" w:eastAsia="方正仿宋_GBK" w:cs="方正仿宋_GBK"/>
          <w:color w:val="auto"/>
          <w:sz w:val="32"/>
          <w:szCs w:val="32"/>
          <w:shd w:val="clear" w:fill="FFFFFF"/>
        </w:rPr>
        <w:t>普查对象的积极参与，</w:t>
      </w:r>
      <w:r>
        <w:rPr>
          <w:rFonts w:hint="eastAsia" w:ascii="方正仿宋_GBK" w:hAnsi="方正仿宋_GBK" w:eastAsia="方正仿宋_GBK" w:cs="方正仿宋_GBK"/>
          <w:color w:val="auto"/>
          <w:sz w:val="32"/>
          <w:szCs w:val="32"/>
          <w:shd w:val="clear" w:color="auto" w:fill="auto"/>
          <w:lang w:eastAsia="zh-CN"/>
        </w:rPr>
        <w:t>南岸区第四次全国经济普查全面完成</w:t>
      </w:r>
      <w:r>
        <w:rPr>
          <w:rFonts w:hint="eastAsia" w:ascii="方正仿宋_GBK" w:hAnsi="方正仿宋_GBK" w:eastAsia="方正仿宋_GBK" w:cs="方正仿宋_GBK"/>
          <w:color w:val="auto"/>
          <w:sz w:val="32"/>
          <w:szCs w:val="32"/>
          <w:shd w:val="clear" w:color="auto" w:fill="auto"/>
        </w:rPr>
        <w:t>单位清查、现场登记、事后质量抽查、汇总评估等各项任务，取得重大成果和显著成效。</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color w:val="auto"/>
          <w:sz w:val="32"/>
          <w:szCs w:val="32"/>
          <w:shd w:val="clear" w:color="auto" w:fill="auto"/>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一、组织领导有力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　　2018</w:t>
      </w:r>
      <w:r>
        <w:rPr>
          <w:rFonts w:hint="eastAsia" w:ascii="方正仿宋_GBK" w:hAnsi="方正仿宋_GBK" w:eastAsia="方正仿宋_GBK" w:cs="方正仿宋_GBK"/>
          <w:color w:val="auto"/>
          <w:sz w:val="32"/>
          <w:szCs w:val="32"/>
          <w:shd w:val="clear" w:color="auto" w:fill="auto"/>
        </w:rPr>
        <w:t>年</w:t>
      </w:r>
      <w:r>
        <w:rPr>
          <w:rFonts w:hint="default" w:ascii="Times New Roman" w:hAnsi="Times New Roman" w:eastAsia="方正仿宋_GBK" w:cs="Times New Roman"/>
          <w:color w:val="auto"/>
          <w:sz w:val="32"/>
          <w:szCs w:val="32"/>
          <w:shd w:val="clear" w:color="auto" w:fill="auto"/>
          <w:lang w:val="en-US" w:eastAsia="zh-CN"/>
        </w:rPr>
        <w:t>7</w:t>
      </w:r>
      <w:r>
        <w:rPr>
          <w:rFonts w:hint="eastAsia" w:ascii="方正仿宋_GBK" w:hAnsi="方正仿宋_GBK" w:eastAsia="方正仿宋_GBK" w:cs="方正仿宋_GBK"/>
          <w:color w:val="auto"/>
          <w:sz w:val="32"/>
          <w:szCs w:val="32"/>
          <w:shd w:val="clear" w:color="auto" w:fill="auto"/>
        </w:rPr>
        <w:t>月，</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政府成立了由</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委常委、</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政府常务副</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长</w:t>
      </w:r>
      <w:r>
        <w:rPr>
          <w:rFonts w:hint="eastAsia" w:ascii="方正仿宋_GBK" w:hAnsi="方正仿宋_GBK" w:eastAsia="方正仿宋_GBK" w:cs="方正仿宋_GBK"/>
          <w:color w:val="auto"/>
          <w:sz w:val="32"/>
          <w:szCs w:val="32"/>
          <w:shd w:val="clear" w:color="auto" w:fill="auto"/>
          <w:lang w:eastAsia="zh-CN"/>
        </w:rPr>
        <w:t>黄红</w:t>
      </w:r>
      <w:r>
        <w:rPr>
          <w:rFonts w:hint="eastAsia" w:ascii="方正仿宋_GBK" w:hAnsi="方正仿宋_GBK" w:eastAsia="方正仿宋_GBK" w:cs="方正仿宋_GBK"/>
          <w:color w:val="auto"/>
          <w:sz w:val="32"/>
          <w:szCs w:val="32"/>
          <w:shd w:val="clear" w:color="auto" w:fill="auto"/>
        </w:rPr>
        <w:t>同志担任组长的</w:t>
      </w:r>
      <w:r>
        <w:rPr>
          <w:rFonts w:hint="eastAsia" w:ascii="方正仿宋_GBK" w:hAnsi="方正仿宋_GBK" w:eastAsia="方正仿宋_GBK" w:cs="方正仿宋_GBK"/>
          <w:color w:val="auto"/>
          <w:sz w:val="32"/>
          <w:szCs w:val="32"/>
          <w:shd w:val="clear" w:color="auto" w:fill="auto"/>
          <w:lang w:eastAsia="zh-CN"/>
        </w:rPr>
        <w:t>南岸区</w:t>
      </w:r>
      <w:r>
        <w:rPr>
          <w:rFonts w:hint="eastAsia" w:ascii="方正仿宋_GBK" w:hAnsi="方正仿宋_GBK" w:eastAsia="方正仿宋_GBK" w:cs="方正仿宋_GBK"/>
          <w:color w:val="auto"/>
          <w:sz w:val="32"/>
          <w:szCs w:val="32"/>
          <w:shd w:val="clear" w:color="auto" w:fill="auto"/>
        </w:rPr>
        <w:t>人民政府第四次全国经济普查领导小组，领导小组办公室设在</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统计局，由</w:t>
      </w:r>
      <w:r>
        <w:rPr>
          <w:rFonts w:hint="eastAsia" w:ascii="方正仿宋_GBK" w:hAnsi="方正仿宋_GBK" w:eastAsia="方正仿宋_GBK" w:cs="方正仿宋_GBK"/>
          <w:color w:val="auto"/>
          <w:sz w:val="32"/>
          <w:szCs w:val="32"/>
          <w:shd w:val="clear" w:color="auto" w:fill="auto"/>
          <w:lang w:val="en-US" w:eastAsia="zh-CN"/>
        </w:rPr>
        <w:t>36</w:t>
      </w:r>
      <w:r>
        <w:rPr>
          <w:rFonts w:hint="eastAsia" w:ascii="方正仿宋_GBK" w:hAnsi="方正仿宋_GBK" w:eastAsia="方正仿宋_GBK" w:cs="方正仿宋_GBK"/>
          <w:color w:val="auto"/>
          <w:sz w:val="32"/>
          <w:szCs w:val="32"/>
          <w:shd w:val="clear" w:color="auto" w:fill="auto"/>
        </w:rPr>
        <w:t>个部门组成。按照“全</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统一领导、部门分工协作、地方分级负责、各方共同参与”的组织实施原则，各镇、街道</w:t>
      </w:r>
      <w:r>
        <w:rPr>
          <w:rFonts w:hint="eastAsia" w:ascii="方正仿宋_GBK" w:hAnsi="方正仿宋_GBK" w:eastAsia="方正仿宋_GBK" w:cs="方正仿宋_GBK"/>
          <w:color w:val="auto"/>
          <w:sz w:val="32"/>
          <w:szCs w:val="32"/>
          <w:shd w:val="clear" w:fill="FFFFFF"/>
        </w:rPr>
        <w:t>以及</w:t>
      </w:r>
      <w:r>
        <w:rPr>
          <w:rFonts w:hint="eastAsia" w:ascii="方正仿宋_GBK" w:hAnsi="方正仿宋_GBK" w:eastAsia="方正仿宋_GBK" w:cs="方正仿宋_GBK"/>
          <w:color w:val="auto"/>
          <w:sz w:val="32"/>
          <w:szCs w:val="32"/>
          <w:shd w:val="clear" w:fill="FFFFFF"/>
          <w:lang w:eastAsia="zh-CN"/>
        </w:rPr>
        <w:t>相</w:t>
      </w:r>
      <w:r>
        <w:rPr>
          <w:rFonts w:hint="eastAsia" w:ascii="方正仿宋_GBK" w:hAnsi="方正仿宋_GBK" w:eastAsia="方正仿宋_GBK" w:cs="方正仿宋_GBK"/>
          <w:color w:val="auto"/>
          <w:sz w:val="32"/>
          <w:szCs w:val="32"/>
          <w:shd w:val="clear" w:fill="FFFFFF"/>
        </w:rPr>
        <w:t>关部门均建立普查机构</w:t>
      </w: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color="auto" w:fill="auto"/>
        </w:rPr>
        <w:t>为普查工作开展提供了坚实的组织保障。</w:t>
      </w:r>
      <w:r>
        <w:rPr>
          <w:rFonts w:hint="eastAsia" w:ascii="方正仿宋_GBK" w:hAnsi="方正仿宋_GBK" w:eastAsia="方正仿宋_GBK" w:cs="方正仿宋_GBK"/>
          <w:color w:val="auto"/>
          <w:sz w:val="32"/>
          <w:szCs w:val="32"/>
          <w:shd w:val="clear" w:fill="FFFFFF"/>
        </w:rPr>
        <w:t>全区各级经济普查机构</w:t>
      </w:r>
      <w:r>
        <w:rPr>
          <w:rFonts w:hint="eastAsia" w:ascii="方正仿宋_GBK" w:hAnsi="方正仿宋_GBK" w:eastAsia="方正仿宋_GBK" w:cs="方正仿宋_GBK"/>
          <w:color w:val="auto"/>
          <w:sz w:val="32"/>
          <w:szCs w:val="32"/>
          <w:shd w:val="clear" w:color="auto" w:fill="auto"/>
        </w:rPr>
        <w:t>精心组织实施，做到人员到位、措施到位、经费</w:t>
      </w:r>
      <w:r>
        <w:rPr>
          <w:rFonts w:hint="eastAsia" w:ascii="方正仿宋_GBK" w:hAnsi="方正仿宋_GBK" w:eastAsia="方正仿宋_GBK" w:cs="方正仿宋_GBK"/>
          <w:color w:val="auto"/>
          <w:sz w:val="32"/>
          <w:szCs w:val="32"/>
          <w:shd w:val="clear" w:color="auto" w:fill="auto"/>
          <w:lang w:eastAsia="zh-CN"/>
        </w:rPr>
        <w:t>到位</w:t>
      </w:r>
      <w:r>
        <w:rPr>
          <w:rFonts w:hint="eastAsia" w:ascii="方正仿宋_GBK" w:hAnsi="方正仿宋_GBK" w:eastAsia="方正仿宋_GBK" w:cs="方正仿宋_GBK"/>
          <w:color w:val="auto"/>
          <w:sz w:val="32"/>
          <w:szCs w:val="32"/>
          <w:shd w:val="clear" w:color="auto" w:fill="auto"/>
        </w:rPr>
        <w:t>。参与普查工作的相关部门积极主动履职，充分发挥各自职能，提供多方保障，确保了我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第四次全国经济普查的顺利实施。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　二、全面摸清家底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第四次全国经济普查是中国特色社会主义进入新时代后的一次重大国情国力调查，是在决胜全面建成小康社会、开启全面建设社会主义现代化国家新征程中对国民经济进行的一次“全面体检”。</w:t>
      </w:r>
      <w:r>
        <w:rPr>
          <w:rFonts w:hint="default" w:ascii="Times New Roman" w:hAnsi="Times New Roman" w:eastAsia="方正仿宋_GBK" w:cs="Times New Roman"/>
          <w:color w:val="auto"/>
          <w:sz w:val="32"/>
          <w:szCs w:val="32"/>
          <w:shd w:val="clear" w:color="auto" w:fill="auto"/>
        </w:rPr>
        <w:t>2019</w:t>
      </w:r>
      <w:r>
        <w:rPr>
          <w:rFonts w:hint="eastAsia" w:ascii="方正仿宋_GBK" w:hAnsi="方正仿宋_GBK" w:eastAsia="方正仿宋_GBK" w:cs="方正仿宋_GBK"/>
          <w:color w:val="auto"/>
          <w:sz w:val="32"/>
          <w:szCs w:val="32"/>
          <w:shd w:val="clear" w:color="auto" w:fill="auto"/>
        </w:rPr>
        <w:t>年</w:t>
      </w:r>
      <w:r>
        <w:rPr>
          <w:rFonts w:hint="default" w:ascii="Times New Roman" w:hAnsi="Times New Roman" w:eastAsia="方正仿宋_GBK" w:cs="Times New Roman"/>
          <w:color w:val="auto"/>
          <w:sz w:val="32"/>
          <w:szCs w:val="32"/>
          <w:shd w:val="clear" w:color="auto" w:fill="auto"/>
        </w:rPr>
        <w:t>1</w:t>
      </w:r>
      <w:r>
        <w:rPr>
          <w:rFonts w:hint="eastAsia" w:ascii="方正仿宋_GBK" w:hAnsi="方正仿宋_GBK" w:eastAsia="方正仿宋_GBK" w:cs="方正仿宋_GBK"/>
          <w:color w:val="auto"/>
          <w:sz w:val="32"/>
          <w:szCs w:val="32"/>
          <w:shd w:val="clear" w:color="auto" w:fill="auto"/>
        </w:rPr>
        <w:t>月</w:t>
      </w:r>
      <w:r>
        <w:rPr>
          <w:rFonts w:hint="default" w:ascii="Times New Roman" w:hAnsi="Times New Roman" w:eastAsia="方正仿宋_GBK" w:cs="Times New Roman"/>
          <w:color w:val="auto"/>
          <w:sz w:val="32"/>
          <w:szCs w:val="32"/>
          <w:shd w:val="clear" w:color="auto" w:fill="auto"/>
        </w:rPr>
        <w:t>1</w:t>
      </w:r>
      <w:r>
        <w:rPr>
          <w:rFonts w:hint="eastAsia" w:ascii="方正仿宋_GBK" w:hAnsi="方正仿宋_GBK" w:eastAsia="方正仿宋_GBK" w:cs="方正仿宋_GBK"/>
          <w:color w:val="auto"/>
          <w:sz w:val="32"/>
          <w:szCs w:val="32"/>
          <w:shd w:val="clear" w:color="auto" w:fill="auto"/>
        </w:rPr>
        <w:t>日至</w:t>
      </w:r>
      <w:r>
        <w:rPr>
          <w:rFonts w:hint="default" w:ascii="Times New Roman" w:hAnsi="Times New Roman" w:eastAsia="方正仿宋_GBK" w:cs="Times New Roman"/>
          <w:color w:val="auto"/>
          <w:sz w:val="32"/>
          <w:szCs w:val="32"/>
          <w:shd w:val="clear" w:color="auto" w:fill="auto"/>
        </w:rPr>
        <w:t>4</w:t>
      </w:r>
      <w:r>
        <w:rPr>
          <w:rFonts w:hint="eastAsia" w:ascii="方正仿宋_GBK" w:hAnsi="方正仿宋_GBK" w:eastAsia="方正仿宋_GBK" w:cs="方正仿宋_GBK"/>
          <w:color w:val="auto"/>
          <w:sz w:val="32"/>
          <w:szCs w:val="32"/>
          <w:shd w:val="clear" w:color="auto" w:fill="auto"/>
        </w:rPr>
        <w:t>月</w:t>
      </w:r>
      <w:r>
        <w:rPr>
          <w:rFonts w:hint="default" w:ascii="Times New Roman" w:hAnsi="Times New Roman" w:eastAsia="方正仿宋_GBK" w:cs="Times New Roman"/>
          <w:color w:val="auto"/>
          <w:sz w:val="32"/>
          <w:szCs w:val="32"/>
          <w:shd w:val="clear" w:color="auto" w:fill="auto"/>
        </w:rPr>
        <w:t>30</w:t>
      </w:r>
      <w:r>
        <w:rPr>
          <w:rFonts w:hint="eastAsia" w:ascii="方正仿宋_GBK" w:hAnsi="方正仿宋_GBK" w:eastAsia="方正仿宋_GBK" w:cs="方正仿宋_GBK"/>
          <w:color w:val="auto"/>
          <w:sz w:val="32"/>
          <w:szCs w:val="32"/>
          <w:shd w:val="clear" w:color="auto" w:fill="auto"/>
        </w:rPr>
        <w:t>日，全</w:t>
      </w:r>
      <w:r>
        <w:rPr>
          <w:rFonts w:hint="eastAsia" w:ascii="方正仿宋_GBK" w:hAnsi="方正仿宋_GBK" w:eastAsia="方正仿宋_GBK" w:cs="方正仿宋_GBK"/>
          <w:color w:val="auto"/>
          <w:sz w:val="32"/>
          <w:szCs w:val="32"/>
          <w:shd w:val="clear" w:color="auto" w:fill="auto"/>
          <w:lang w:eastAsia="zh-CN"/>
        </w:rPr>
        <w:t>区近</w:t>
      </w:r>
      <w:r>
        <w:rPr>
          <w:rFonts w:hint="eastAsia" w:ascii="Times New Roman" w:hAnsi="Times New Roman" w:eastAsia="方正仿宋_GBK" w:cs="Times New Roman"/>
          <w:color w:val="auto"/>
          <w:sz w:val="32"/>
          <w:szCs w:val="32"/>
          <w:shd w:val="clear" w:color="auto" w:fill="auto"/>
          <w:lang w:val="en-US" w:eastAsia="zh-CN"/>
        </w:rPr>
        <w:t>千</w:t>
      </w:r>
      <w:r>
        <w:rPr>
          <w:rFonts w:hint="eastAsia" w:ascii="方正仿宋_GBK" w:hAnsi="方正仿宋_GBK" w:eastAsia="方正仿宋_GBK" w:cs="方正仿宋_GBK"/>
          <w:color w:val="auto"/>
          <w:sz w:val="32"/>
          <w:szCs w:val="32"/>
          <w:shd w:val="clear" w:color="auto" w:fill="auto"/>
          <w:lang w:val="en-US" w:eastAsia="zh-CN"/>
        </w:rPr>
        <w:t>名</w:t>
      </w:r>
      <w:r>
        <w:rPr>
          <w:rFonts w:hint="eastAsia" w:ascii="方正仿宋_GBK" w:hAnsi="方正仿宋_GBK" w:eastAsia="方正仿宋_GBK" w:cs="方正仿宋_GBK"/>
          <w:color w:val="auto"/>
          <w:sz w:val="32"/>
          <w:szCs w:val="32"/>
          <w:shd w:val="clear" w:color="auto" w:fill="auto"/>
        </w:rPr>
        <w:t>基层普查人员克服重重困难，对我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行政区域内从事第二产业和第三产业的法人单位、产业活动单位和抽取的个体经营户逐一入户完成数据采集。通过这次普查，既摸清了全</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第二产业和第三产业的发展规模、布局和效益，了解了产业组织、产业结构、产业技术、产业形态的现状以及各生产要素的构成，也掌握了全部法人单位资产负债状况和新兴产业发展情况，进一步查实了各类单位的基本情况和主要产品产量、服务活动，全面准确反映了供给侧结构性改革、新动能培育壮大、经济结构优化升级等方面的新进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color w:va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　三、采用科学方法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按照“确保质量、改革创新、突出重点、依法普查、共享成果”的原则，</w:t>
      </w:r>
      <w:r>
        <w:rPr>
          <w:rFonts w:hint="eastAsia" w:ascii="方正仿宋_GBK" w:hAnsi="方正仿宋_GBK" w:eastAsia="方正仿宋_GBK" w:cs="方正仿宋_GBK"/>
          <w:color w:val="auto"/>
          <w:sz w:val="32"/>
          <w:szCs w:val="32"/>
          <w:shd w:val="clear" w:color="auto" w:fill="auto"/>
          <w:lang w:eastAsia="zh-CN"/>
        </w:rPr>
        <w:t>南岸区</w:t>
      </w:r>
      <w:r>
        <w:rPr>
          <w:rFonts w:hint="eastAsia" w:ascii="方正仿宋_GBK" w:hAnsi="方正仿宋_GBK" w:eastAsia="方正仿宋_GBK" w:cs="方正仿宋_GBK"/>
          <w:color w:val="auto"/>
          <w:sz w:val="32"/>
          <w:szCs w:val="32"/>
          <w:shd w:val="clear" w:color="auto" w:fill="auto"/>
        </w:rPr>
        <w:t>人民政府第四次全国经济普查领导小组办公室（以下简称</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经普办）</w:t>
      </w:r>
      <w:r>
        <w:rPr>
          <w:rFonts w:hint="eastAsia" w:ascii="方正仿宋_GBK" w:hAnsi="方正仿宋_GBK" w:eastAsia="方正仿宋_GBK" w:cs="方正仿宋_GBK"/>
          <w:color w:val="auto"/>
          <w:sz w:val="32"/>
          <w:szCs w:val="32"/>
          <w:shd w:val="clear" w:color="auto" w:fill="auto"/>
          <w:lang w:val="en-US" w:eastAsia="zh-CN"/>
        </w:rPr>
        <w:t>严格执行</w:t>
      </w: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重庆市</w:t>
      </w:r>
      <w:r>
        <w:rPr>
          <w:rFonts w:hint="eastAsia" w:ascii="方正仿宋_GBK" w:hAnsi="方正仿宋_GBK" w:eastAsia="方正仿宋_GBK" w:cs="方正仿宋_GBK"/>
          <w:color w:val="auto"/>
          <w:sz w:val="32"/>
          <w:szCs w:val="32"/>
          <w:shd w:val="clear" w:color="auto" w:fill="auto"/>
        </w:rPr>
        <w:t>第四次全国经济普查实施方案》及</w:t>
      </w:r>
      <w:r>
        <w:rPr>
          <w:rFonts w:hint="default" w:ascii="Times New Roman" w:hAnsi="Times New Roman" w:eastAsia="方正仿宋_GBK" w:cs="Times New Roman"/>
          <w:color w:val="auto"/>
          <w:sz w:val="32"/>
          <w:szCs w:val="32"/>
          <w:shd w:val="clear" w:color="auto" w:fill="auto"/>
        </w:rPr>
        <w:t>13</w:t>
      </w:r>
      <w:r>
        <w:rPr>
          <w:rFonts w:hint="eastAsia" w:ascii="方正仿宋_GBK" w:hAnsi="方正仿宋_GBK" w:eastAsia="方正仿宋_GBK" w:cs="方正仿宋_GBK"/>
          <w:color w:val="auto"/>
          <w:sz w:val="32"/>
          <w:szCs w:val="32"/>
          <w:shd w:val="clear" w:color="auto" w:fill="auto"/>
        </w:rPr>
        <w:t>项业务流程</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《重庆市第四次全国经济普查数据审核验收组织实施方案》</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《重庆市第四次全国经济普查数据检查工作方案》等实施</w:t>
      </w:r>
      <w:r>
        <w:rPr>
          <w:rFonts w:hint="eastAsia" w:ascii="方正仿宋_GBK" w:hAnsi="方正仿宋_GBK" w:eastAsia="方正仿宋_GBK" w:cs="方正仿宋_GBK"/>
          <w:color w:val="auto"/>
          <w:sz w:val="32"/>
          <w:szCs w:val="32"/>
          <w:shd w:val="clear" w:color="auto" w:fill="auto"/>
          <w:lang w:eastAsia="zh-CN"/>
        </w:rPr>
        <w:t>办法，并制定了符合我区实际情况的</w:t>
      </w:r>
      <w:r>
        <w:rPr>
          <w:rFonts w:hint="eastAsia" w:ascii="方正仿宋_GBK" w:hAnsi="方正仿宋_GBK" w:eastAsia="方正仿宋_GBK" w:cs="方正仿宋_GBK"/>
          <w:color w:val="auto"/>
          <w:sz w:val="32"/>
          <w:szCs w:val="32"/>
          <w:shd w:val="clear" w:fill="FFFFFF"/>
        </w:rPr>
        <w:t>《普查领导小组成员单位职责分工》</w:t>
      </w: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经济</w:t>
      </w:r>
      <w:r>
        <w:rPr>
          <w:rFonts w:hint="eastAsia" w:ascii="方正仿宋_GBK" w:hAnsi="方正仿宋_GBK" w:eastAsia="方正仿宋_GBK" w:cs="方正仿宋_GBK"/>
          <w:color w:val="auto"/>
          <w:sz w:val="32"/>
          <w:szCs w:val="32"/>
        </w:rPr>
        <w:t>普查工作考核细则》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经济</w:t>
      </w:r>
      <w:r>
        <w:rPr>
          <w:rFonts w:hint="eastAsia" w:ascii="方正仿宋_GBK" w:hAnsi="方正仿宋_GBK" w:eastAsia="方正仿宋_GBK" w:cs="方正仿宋_GBK"/>
          <w:color w:val="auto"/>
          <w:kern w:val="0"/>
          <w:sz w:val="32"/>
          <w:szCs w:val="32"/>
        </w:rPr>
        <w:t>普查预防风险工作预案》</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sz w:val="32"/>
          <w:szCs w:val="32"/>
          <w:lang w:eastAsia="zh-CN"/>
        </w:rPr>
        <w:t>《经济</w:t>
      </w:r>
      <w:r>
        <w:rPr>
          <w:rFonts w:hint="eastAsia" w:ascii="方正仿宋_GBK" w:hAnsi="方正仿宋_GBK" w:eastAsia="方正仿宋_GBK" w:cs="方正仿宋_GBK"/>
          <w:color w:val="auto"/>
          <w:sz w:val="32"/>
          <w:szCs w:val="32"/>
        </w:rPr>
        <w:t>普查登记进度通报制度</w:t>
      </w:r>
      <w:r>
        <w:rPr>
          <w:rFonts w:hint="eastAsia" w:ascii="方正仿宋_GBK" w:hAnsi="方正仿宋_GBK" w:eastAsia="方正仿宋_GBK" w:cs="方正仿宋_GBK"/>
          <w:color w:val="auto"/>
          <w:sz w:val="32"/>
          <w:szCs w:val="32"/>
          <w:lang w:eastAsia="zh-CN"/>
        </w:rPr>
        <w:t>》等机制，</w:t>
      </w:r>
      <w:r>
        <w:rPr>
          <w:rFonts w:hint="eastAsia" w:ascii="方正仿宋_GBK" w:hAnsi="方正仿宋_GBK" w:eastAsia="方正仿宋_GBK" w:cs="方正仿宋_GBK"/>
          <w:color w:val="auto"/>
          <w:sz w:val="32"/>
          <w:szCs w:val="32"/>
          <w:shd w:val="clear" w:color="auto" w:fill="auto"/>
        </w:rPr>
        <w:t>为普查工作有序开展提供了制度性保障。在方法运用上，第四次全国经济普查采取“地毯式”清查的方法，对辖区内全部法人单位、产业活动单位和从事第二、三产业的个体经营户进行全面清查。全面清查后，对从事第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w:t>
      </w:r>
      <w:r>
        <w:rPr>
          <w:rFonts w:hint="eastAsia" w:ascii="方正仿宋_GBK" w:hAnsi="方正仿宋_GBK" w:eastAsia="方正仿宋_GBK" w:cs="方正仿宋_GBK"/>
          <w:color w:val="auto"/>
          <w:sz w:val="32"/>
          <w:szCs w:val="32"/>
          <w:shd w:val="clear" w:color="auto" w:fill="auto"/>
          <w:lang w:eastAsia="zh-CN"/>
        </w:rPr>
        <w:t>填报</w:t>
      </w:r>
      <w:r>
        <w:rPr>
          <w:rFonts w:hint="eastAsia" w:ascii="方正仿宋_GBK" w:hAnsi="方正仿宋_GBK" w:eastAsia="方正仿宋_GBK" w:cs="方正仿宋_GBK"/>
          <w:color w:val="auto"/>
          <w:sz w:val="32"/>
          <w:szCs w:val="32"/>
          <w:shd w:val="clear" w:color="auto" w:fill="auto"/>
        </w:rPr>
        <w:t>一套表单位普查表、非一套表单位普查表、个体经营户普查表和部门普查表。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　四、创新普查方式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为减轻调查对象负担，提高工作效率，这次普查积极应用“五证合一”改革成果，大力提高部门参与程度</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在清查和普查阶段，通过比对、合并</w:t>
      </w:r>
      <w:r>
        <w:rPr>
          <w:rFonts w:hint="eastAsia" w:ascii="方正仿宋_GBK" w:hAnsi="方正仿宋_GBK" w:eastAsia="方正仿宋_GBK" w:cs="方正仿宋_GBK"/>
          <w:color w:val="auto"/>
          <w:sz w:val="32"/>
          <w:szCs w:val="32"/>
          <w:shd w:val="clear" w:color="auto" w:fill="auto"/>
          <w:lang w:eastAsia="zh-CN"/>
        </w:rPr>
        <w:t>部门的</w:t>
      </w:r>
      <w:r>
        <w:rPr>
          <w:rFonts w:hint="eastAsia" w:ascii="方正仿宋_GBK" w:hAnsi="方正仿宋_GBK" w:eastAsia="方正仿宋_GBK" w:cs="方正仿宋_GBK"/>
          <w:color w:val="auto"/>
          <w:sz w:val="32"/>
          <w:szCs w:val="32"/>
          <w:shd w:val="clear" w:color="auto" w:fill="auto"/>
        </w:rPr>
        <w:t>单位名录信息生成底册信息。全面提高普查数据采集信息化水平，扩大联网直报单位范围，全面使用手持移动终端（</w:t>
      </w:r>
      <w:r>
        <w:rPr>
          <w:rFonts w:hint="default" w:ascii="Times New Roman" w:hAnsi="Times New Roman" w:eastAsia="方正仿宋_GBK" w:cs="Times New Roman"/>
          <w:color w:val="auto"/>
          <w:sz w:val="32"/>
          <w:szCs w:val="32"/>
          <w:shd w:val="clear" w:color="auto" w:fill="auto"/>
        </w:rPr>
        <w:t>PAD</w:t>
      </w:r>
      <w:r>
        <w:rPr>
          <w:rFonts w:hint="eastAsia" w:ascii="方正仿宋_GBK" w:hAnsi="方正仿宋_GBK" w:eastAsia="方正仿宋_GBK" w:cs="方正仿宋_GBK"/>
          <w:color w:val="auto"/>
          <w:sz w:val="32"/>
          <w:szCs w:val="32"/>
          <w:shd w:val="clear" w:color="auto" w:fill="auto"/>
        </w:rPr>
        <w:t>）采集数据，广泛应用行业代码自动识别赋码技术，普查数据生产全过程实行电子化、网络化，大大提高了数据采集处理效率。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五、强化执法监督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各级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工作中造假作假责任追究到位。</w:t>
      </w:r>
      <w:r>
        <w:rPr>
          <w:rFonts w:hint="eastAsia" w:ascii="方正仿宋_GBK" w:hAnsi="方正仿宋_GBK" w:eastAsia="方正仿宋_GBK" w:cs="方正仿宋_GBK"/>
          <w:color w:val="auto"/>
          <w:sz w:val="32"/>
          <w:szCs w:val="32"/>
          <w:shd w:val="clear" w:color="auto" w:fill="auto"/>
          <w:lang w:eastAsia="zh-CN"/>
        </w:rPr>
        <w:t>区经普办</w:t>
      </w:r>
      <w:r>
        <w:rPr>
          <w:rFonts w:hint="eastAsia" w:ascii="方正仿宋_GBK" w:hAnsi="方正仿宋_GBK" w:eastAsia="方正仿宋_GBK" w:cs="方正仿宋_GBK"/>
          <w:color w:val="auto"/>
          <w:sz w:val="32"/>
          <w:szCs w:val="32"/>
          <w:shd w:val="clear" w:color="auto" w:fill="auto"/>
        </w:rPr>
        <w:t>主动公开普查工作过程，对外公布普查工作咨询电话和普查违法行为举报电话，自觉接受媒体和社会监督。调查登记期间，组织开展了普法宣传和执法检查</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通过强有力的执法监督，维护了我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经济普查工作秩序。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w:t>
      </w:r>
      <w:r>
        <w:rPr>
          <w:rFonts w:hint="eastAsia" w:ascii="方正黑体_GBK" w:hAnsi="方正黑体_GBK" w:eastAsia="方正黑体_GBK" w:cs="方正黑体_GBK"/>
          <w:color w:val="auto"/>
          <w:sz w:val="32"/>
          <w:szCs w:val="32"/>
          <w:shd w:val="clear" w:color="auto" w:fill="auto"/>
        </w:rPr>
        <w:t>　六、确保数据质量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第四次全国经济普查实行全过程数据质量控制。</w:t>
      </w:r>
      <w:r>
        <w:rPr>
          <w:rFonts w:hint="eastAsia" w:ascii="方正仿宋_GBK" w:hAnsi="方正仿宋_GBK" w:eastAsia="方正仿宋_GBK" w:cs="方正仿宋_GBK"/>
          <w:color w:val="auto"/>
          <w:sz w:val="32"/>
          <w:szCs w:val="32"/>
          <w:shd w:val="clear" w:color="auto" w:fill="auto"/>
          <w:lang w:eastAsia="zh-CN"/>
        </w:rPr>
        <w:t>区经普办</w:t>
      </w:r>
      <w:r>
        <w:rPr>
          <w:rFonts w:hint="eastAsia" w:ascii="方正仿宋_GBK" w:hAnsi="方正仿宋_GBK" w:eastAsia="方正仿宋_GBK" w:cs="方正仿宋_GBK"/>
          <w:color w:val="auto"/>
          <w:sz w:val="32"/>
          <w:szCs w:val="32"/>
          <w:shd w:val="clear" w:color="auto" w:fill="auto"/>
        </w:rPr>
        <w:t>狠抓源头数据质量，实时监控普查数据采集、上报，加强入户数据核实与业务指导，开展源头数据自查与抽查，坚持联动审核，及时消除差错，确保普查数据真实可靠。为检验普查工作成效和普查数据质量，</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经普办组织开展了全</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经济普查数据质量检查工作，抽取</w:t>
      </w:r>
      <w:r>
        <w:rPr>
          <w:rFonts w:hint="default" w:ascii="Times New Roman" w:hAnsi="Times New Roman" w:eastAsia="方正仿宋_GBK" w:cs="Times New Roman"/>
          <w:color w:val="auto"/>
          <w:sz w:val="32"/>
          <w:szCs w:val="32"/>
          <w:shd w:val="clear" w:color="auto" w:fill="auto"/>
        </w:rPr>
        <w:t>3</w:t>
      </w:r>
      <w:r>
        <w:rPr>
          <w:rFonts w:hint="eastAsia" w:ascii="方正仿宋_GBK" w:hAnsi="方正仿宋_GBK" w:eastAsia="方正仿宋_GBK" w:cs="方正仿宋_GBK"/>
          <w:color w:val="auto"/>
          <w:sz w:val="32"/>
          <w:szCs w:val="32"/>
          <w:shd w:val="clear" w:color="auto" w:fill="auto"/>
        </w:rPr>
        <w:t>个普查小区全面核查</w:t>
      </w:r>
      <w:r>
        <w:rPr>
          <w:rFonts w:hint="eastAsia" w:ascii="方正仿宋_GBK" w:hAnsi="方正仿宋_GBK" w:eastAsia="方正仿宋_GBK" w:cs="方正仿宋_GBK"/>
          <w:color w:val="auto"/>
          <w:sz w:val="32"/>
          <w:szCs w:val="32"/>
          <w:shd w:val="clear" w:color="auto" w:fill="auto"/>
          <w:lang w:val="en-US" w:eastAsia="zh-CN"/>
        </w:rPr>
        <w:t>，</w:t>
      </w:r>
      <w:r>
        <w:rPr>
          <w:rFonts w:hint="eastAsia" w:ascii="方正仿宋_GBK" w:hAnsi="方正仿宋_GBK" w:eastAsia="方正仿宋_GBK" w:cs="方正仿宋_GBK"/>
          <w:color w:val="auto"/>
          <w:sz w:val="32"/>
          <w:szCs w:val="32"/>
          <w:shd w:val="clear" w:color="auto" w:fill="auto"/>
        </w:rPr>
        <w:t>同时</w:t>
      </w:r>
      <w:r>
        <w:rPr>
          <w:rFonts w:hint="eastAsia" w:ascii="方正仿宋_GBK" w:hAnsi="方正仿宋_GBK" w:eastAsia="方正仿宋_GBK" w:cs="方正仿宋_GBK"/>
          <w:color w:val="auto"/>
          <w:sz w:val="32"/>
          <w:szCs w:val="32"/>
          <w:shd w:val="clear" w:color="auto" w:fill="auto"/>
          <w:lang w:eastAsia="zh-CN"/>
        </w:rPr>
        <w:t>有</w:t>
      </w:r>
      <w:r>
        <w:rPr>
          <w:rFonts w:hint="eastAsia" w:ascii="Times New Roman" w:hAnsi="Times New Roman" w:eastAsia="方正仿宋_GBK" w:cs="Times New Roman"/>
          <w:color w:val="auto"/>
          <w:sz w:val="32"/>
          <w:szCs w:val="32"/>
          <w:shd w:val="clear" w:color="auto" w:fill="auto"/>
          <w:lang w:val="en-US" w:eastAsia="zh-CN"/>
        </w:rPr>
        <w:t>4</w:t>
      </w:r>
      <w:r>
        <w:rPr>
          <w:rFonts w:hint="eastAsia" w:ascii="方正仿宋_GBK" w:hAnsi="方正仿宋_GBK" w:eastAsia="方正仿宋_GBK" w:cs="方正仿宋_GBK"/>
          <w:color w:val="auto"/>
          <w:sz w:val="32"/>
          <w:szCs w:val="32"/>
          <w:shd w:val="clear" w:color="auto" w:fill="auto"/>
          <w:lang w:val="en-US" w:eastAsia="zh-CN"/>
        </w:rPr>
        <w:t>个普查小区，</w:t>
      </w:r>
      <w:r>
        <w:rPr>
          <w:rFonts w:hint="default" w:ascii="Times New Roman" w:hAnsi="Times New Roman" w:eastAsia="方正仿宋_GBK" w:cs="Times New Roman"/>
          <w:color w:val="auto"/>
          <w:sz w:val="32"/>
          <w:szCs w:val="32"/>
          <w:shd w:val="clear" w:color="auto" w:fill="auto"/>
          <w:lang w:val="en-US" w:eastAsia="zh-CN"/>
        </w:rPr>
        <w:t>326</w:t>
      </w:r>
      <w:r>
        <w:rPr>
          <w:rFonts w:hint="eastAsia" w:ascii="方正仿宋_GBK" w:hAnsi="方正仿宋_GBK" w:eastAsia="方正仿宋_GBK" w:cs="方正仿宋_GBK"/>
          <w:color w:val="auto"/>
          <w:sz w:val="32"/>
          <w:szCs w:val="32"/>
          <w:shd w:val="clear" w:color="auto" w:fill="auto"/>
          <w:lang w:val="en-US" w:eastAsia="zh-CN"/>
        </w:rPr>
        <w:t>个单位及</w:t>
      </w:r>
      <w:r>
        <w:rPr>
          <w:rFonts w:hint="default" w:ascii="Times New Roman" w:hAnsi="Times New Roman" w:eastAsia="方正仿宋_GBK" w:cs="Times New Roman"/>
          <w:color w:val="auto"/>
          <w:sz w:val="32"/>
          <w:szCs w:val="32"/>
          <w:shd w:val="clear" w:color="auto" w:fill="auto"/>
          <w:lang w:val="en-US" w:eastAsia="zh-CN"/>
        </w:rPr>
        <w:t>221</w:t>
      </w:r>
      <w:r>
        <w:rPr>
          <w:rFonts w:hint="eastAsia" w:ascii="方正仿宋_GBK" w:hAnsi="方正仿宋_GBK" w:eastAsia="方正仿宋_GBK" w:cs="方正仿宋_GBK"/>
          <w:color w:val="auto"/>
          <w:sz w:val="32"/>
          <w:szCs w:val="32"/>
          <w:shd w:val="clear" w:color="auto" w:fill="auto"/>
          <w:lang w:val="en-US" w:eastAsia="zh-CN"/>
        </w:rPr>
        <w:t>户个体户</w:t>
      </w:r>
      <w:r>
        <w:rPr>
          <w:rFonts w:hint="eastAsia" w:ascii="方正仿宋_GBK" w:hAnsi="方正仿宋_GBK" w:eastAsia="方正仿宋_GBK" w:cs="方正仿宋_GBK"/>
          <w:color w:val="auto"/>
          <w:sz w:val="32"/>
          <w:szCs w:val="32"/>
          <w:shd w:val="clear" w:color="auto" w:fill="auto"/>
        </w:rPr>
        <w:t>接受了国家级事后质量抽查。质量抽查结果表明，普查数据质量符合控制标准。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总体来看，第四次全国经济普查充分运用了现代信息技术手段，普查全过程公开透明，全面摸清了我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第二产业和第三产业家底，能够真实反映我</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经济社会发展状况，达到了预期目标。普查结果显示，</w:t>
      </w:r>
      <w:r>
        <w:rPr>
          <w:rFonts w:hint="default" w:ascii="Times New Roman" w:hAnsi="Times New Roman" w:eastAsia="方正仿宋_GBK" w:cs="Times New Roman"/>
          <w:color w:val="auto"/>
          <w:sz w:val="32"/>
          <w:szCs w:val="32"/>
          <w:shd w:val="clear" w:color="auto" w:fill="auto"/>
        </w:rPr>
        <w:t>2018</w:t>
      </w:r>
      <w:r>
        <w:rPr>
          <w:rFonts w:hint="eastAsia" w:ascii="方正仿宋_GBK" w:hAnsi="方正仿宋_GBK" w:eastAsia="方正仿宋_GBK" w:cs="方正仿宋_GBK"/>
          <w:color w:val="auto"/>
          <w:sz w:val="32"/>
          <w:szCs w:val="32"/>
          <w:shd w:val="clear" w:color="auto" w:fill="auto"/>
        </w:rPr>
        <w:t>年末，全</w:t>
      </w:r>
      <w:r>
        <w:rPr>
          <w:rFonts w:hint="eastAsia" w:ascii="方正仿宋_GBK" w:hAnsi="方正仿宋_GBK" w:eastAsia="方正仿宋_GBK" w:cs="方正仿宋_GBK"/>
          <w:color w:val="auto"/>
          <w:sz w:val="32"/>
          <w:szCs w:val="32"/>
          <w:shd w:val="clear" w:color="auto" w:fill="auto"/>
          <w:lang w:eastAsia="zh-CN"/>
        </w:rPr>
        <w:t>区</w:t>
      </w:r>
      <w:r>
        <w:rPr>
          <w:rFonts w:hint="eastAsia" w:ascii="方正仿宋_GBK" w:hAnsi="方正仿宋_GBK" w:eastAsia="方正仿宋_GBK" w:cs="方正仿宋_GBK"/>
          <w:color w:val="auto"/>
          <w:sz w:val="32"/>
          <w:szCs w:val="32"/>
          <w:shd w:val="clear" w:color="auto" w:fill="auto"/>
        </w:rPr>
        <w:t>共有从事第二产业和第三产业活动的法人单位</w:t>
      </w:r>
      <w:r>
        <w:rPr>
          <w:rFonts w:hint="default" w:ascii="Times New Roman" w:hAnsi="Times New Roman" w:eastAsia="方正仿宋_GBK" w:cs="Times New Roman"/>
          <w:color w:val="auto"/>
          <w:sz w:val="32"/>
          <w:szCs w:val="32"/>
          <w:shd w:val="clear" w:color="auto" w:fill="auto"/>
          <w:lang w:val="en-US" w:eastAsia="zh-CN"/>
        </w:rPr>
        <w:t>25747</w:t>
      </w:r>
      <w:r>
        <w:rPr>
          <w:rFonts w:hint="eastAsia" w:ascii="方正仿宋_GBK" w:hAnsi="方正仿宋_GBK" w:eastAsia="方正仿宋_GBK" w:cs="方正仿宋_GBK"/>
          <w:color w:val="auto"/>
          <w:sz w:val="32"/>
          <w:szCs w:val="32"/>
          <w:shd w:val="clear" w:color="auto" w:fill="auto"/>
        </w:rPr>
        <w:t>个，与</w:t>
      </w:r>
      <w:r>
        <w:rPr>
          <w:rFonts w:hint="default" w:ascii="Times New Roman" w:hAnsi="Times New Roman" w:eastAsia="方正仿宋_GBK" w:cs="Times New Roman"/>
          <w:color w:val="auto"/>
          <w:sz w:val="32"/>
          <w:szCs w:val="32"/>
          <w:shd w:val="clear" w:color="auto" w:fill="auto"/>
        </w:rPr>
        <w:t>2013</w:t>
      </w:r>
      <w:r>
        <w:rPr>
          <w:rFonts w:hint="eastAsia" w:ascii="方正仿宋_GBK" w:hAnsi="方正仿宋_GBK" w:eastAsia="方正仿宋_GBK" w:cs="方正仿宋_GBK"/>
          <w:color w:val="auto"/>
          <w:sz w:val="32"/>
          <w:szCs w:val="32"/>
          <w:shd w:val="clear" w:color="auto" w:fill="auto"/>
        </w:rPr>
        <w:t>年第三次全国经济普查相比，增长</w:t>
      </w:r>
      <w:r>
        <w:rPr>
          <w:rFonts w:hint="default" w:ascii="Times New Roman" w:hAnsi="Times New Roman" w:eastAsia="方正仿宋_GBK" w:cs="Times New Roman"/>
          <w:color w:val="auto"/>
          <w:sz w:val="32"/>
          <w:szCs w:val="32"/>
          <w:shd w:val="clear" w:color="auto" w:fill="auto"/>
          <w:lang w:val="en-US" w:eastAsia="zh-CN"/>
        </w:rPr>
        <w:t>164.9</w:t>
      </w:r>
      <w:r>
        <w:rPr>
          <w:rFonts w:hint="default" w:ascii="Times New Roman" w:hAnsi="Times New Roman" w:eastAsia="方正仿宋_GBK" w:cs="Times New Roman"/>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rPr>
        <w:t>；从业人员</w:t>
      </w:r>
      <w:r>
        <w:rPr>
          <w:rFonts w:hint="default" w:ascii="Times New Roman" w:hAnsi="Times New Roman" w:eastAsia="方正仿宋_GBK" w:cs="Times New Roman"/>
          <w:color w:val="auto"/>
          <w:sz w:val="32"/>
          <w:szCs w:val="32"/>
        </w:rPr>
        <w:t>378617</w:t>
      </w:r>
      <w:r>
        <w:rPr>
          <w:rFonts w:hint="eastAsia" w:ascii="方正仿宋_GBK" w:hAnsi="方正仿宋_GBK" w:eastAsia="方正仿宋_GBK" w:cs="方正仿宋_GBK"/>
          <w:color w:val="auto"/>
          <w:sz w:val="32"/>
          <w:szCs w:val="32"/>
          <w:shd w:val="clear" w:color="auto" w:fill="auto"/>
        </w:rPr>
        <w:t>人，增长</w:t>
      </w:r>
      <w:r>
        <w:rPr>
          <w:rFonts w:hint="default" w:ascii="Times New Roman" w:hAnsi="Times New Roman" w:eastAsia="方正仿宋_GBK" w:cs="Times New Roman"/>
          <w:color w:val="auto"/>
          <w:sz w:val="32"/>
          <w:szCs w:val="32"/>
          <w:shd w:val="clear" w:color="auto" w:fill="auto"/>
          <w:lang w:val="en-US" w:eastAsia="zh-CN"/>
        </w:rPr>
        <w:t>12.2</w:t>
      </w:r>
      <w:r>
        <w:rPr>
          <w:rFonts w:hint="default" w:ascii="Times New Roman" w:hAnsi="Times New Roman" w:eastAsia="方正仿宋_GBK" w:cs="Times New Roman"/>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rPr>
        <w:t>；产业活动单</w:t>
      </w:r>
      <w:r>
        <w:rPr>
          <w:rFonts w:hint="eastAsia" w:ascii="方正仿宋_GBK" w:hAnsi="方正仿宋_GBK" w:eastAsia="方正仿宋_GBK" w:cs="方正仿宋_GBK"/>
          <w:color w:val="auto"/>
          <w:sz w:val="32"/>
          <w:szCs w:val="32"/>
          <w:shd w:val="clear" w:color="auto" w:fill="auto"/>
          <w:lang w:eastAsia="zh-CN"/>
        </w:rPr>
        <w:t>位</w:t>
      </w:r>
      <w:r>
        <w:rPr>
          <w:rFonts w:hint="default" w:ascii="Times New Roman" w:hAnsi="Times New Roman" w:eastAsia="方正仿宋_GBK" w:cs="Times New Roman"/>
          <w:color w:val="auto"/>
          <w:sz w:val="32"/>
          <w:szCs w:val="32"/>
          <w:shd w:val="clear" w:color="auto" w:fill="auto"/>
          <w:lang w:val="en-US" w:eastAsia="zh-CN"/>
        </w:rPr>
        <w:t>29595</w:t>
      </w:r>
      <w:r>
        <w:rPr>
          <w:rFonts w:hint="eastAsia" w:ascii="方正仿宋_GBK" w:hAnsi="方正仿宋_GBK" w:eastAsia="方正仿宋_GBK" w:cs="方正仿宋_GBK"/>
          <w:color w:val="auto"/>
          <w:sz w:val="32"/>
          <w:szCs w:val="32"/>
          <w:shd w:val="clear" w:color="auto" w:fill="auto"/>
        </w:rPr>
        <w:t>个，增长</w:t>
      </w:r>
      <w:r>
        <w:rPr>
          <w:rFonts w:hint="default" w:ascii="Times New Roman" w:hAnsi="Times New Roman" w:eastAsia="方正仿宋_GBK" w:cs="Times New Roman"/>
          <w:color w:val="auto"/>
          <w:sz w:val="32"/>
          <w:szCs w:val="32"/>
          <w:shd w:val="clear" w:color="auto" w:fill="auto"/>
          <w:lang w:val="en-US" w:eastAsia="zh-CN"/>
        </w:rPr>
        <w:t>160.7</w:t>
      </w:r>
      <w:r>
        <w:rPr>
          <w:rFonts w:hint="default" w:ascii="Times New Roman" w:hAnsi="Times New Roman" w:eastAsia="方正仿宋_GBK" w:cs="Times New Roman"/>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rPr>
        <w:t>；个体经营户</w:t>
      </w:r>
      <w:r>
        <w:rPr>
          <w:rFonts w:hint="default" w:ascii="Times New Roman" w:hAnsi="Times New Roman" w:eastAsia="方正仿宋_GBK" w:cs="Times New Roman"/>
          <w:color w:val="auto"/>
          <w:sz w:val="32"/>
          <w:szCs w:val="32"/>
          <w:shd w:val="clear" w:color="auto" w:fill="auto"/>
          <w:lang w:val="en-US" w:eastAsia="zh-CN"/>
        </w:rPr>
        <w:t>40904</w:t>
      </w:r>
      <w:r>
        <w:rPr>
          <w:rFonts w:hint="eastAsia" w:ascii="方正仿宋_GBK" w:hAnsi="方正仿宋_GBK" w:eastAsia="方正仿宋_GBK" w:cs="方正仿宋_GBK"/>
          <w:color w:val="auto"/>
          <w:sz w:val="32"/>
          <w:szCs w:val="32"/>
          <w:shd w:val="clear" w:color="auto" w:fill="auto"/>
        </w:rPr>
        <w:t>个。</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color w:val="auto"/>
          <w:sz w:val="32"/>
          <w:szCs w:val="32"/>
          <w:shd w:val="clear" w:color="auto" w:fill="auto"/>
        </w:rPr>
      </w:pPr>
    </w:p>
    <w:p>
      <w:pPr>
        <w:widowControl/>
        <w:spacing w:line="600" w:lineRule="exact"/>
        <w:jc w:val="center"/>
        <w:rPr>
          <w:rFonts w:eastAsia="方正小标宋_GBK"/>
          <w:bCs/>
          <w:color w:val="auto"/>
          <w:kern w:val="0"/>
          <w:sz w:val="36"/>
          <w:szCs w:val="36"/>
        </w:rPr>
      </w:pPr>
      <w:r>
        <w:rPr>
          <w:rFonts w:hint="eastAsia" w:eastAsia="方正小标宋_GBK"/>
          <w:bCs/>
          <w:color w:val="auto"/>
          <w:kern w:val="0"/>
          <w:sz w:val="36"/>
          <w:szCs w:val="36"/>
        </w:rPr>
        <w:t>南岸区第四次全国经济普查公报（第二号）</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——单位基本情况</w:t>
      </w:r>
    </w:p>
    <w:p>
      <w:pPr>
        <w:widowControl/>
        <w:spacing w:line="600" w:lineRule="exact"/>
        <w:jc w:val="center"/>
        <w:rPr>
          <w:rFonts w:eastAsia="方正楷体_GBK"/>
          <w:bCs/>
          <w:color w:val="auto"/>
          <w:kern w:val="0"/>
          <w:sz w:val="32"/>
          <w:szCs w:val="36"/>
        </w:rPr>
      </w:pP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南岸区统计局</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w:t>
      </w:r>
      <w:r>
        <w:rPr>
          <w:rFonts w:eastAsia="方正楷体_GBK"/>
          <w:bCs/>
          <w:color w:val="auto"/>
          <w:kern w:val="0"/>
          <w:sz w:val="32"/>
          <w:szCs w:val="36"/>
        </w:rPr>
        <w:t>人民政府</w:t>
      </w:r>
      <w:r>
        <w:rPr>
          <w:rFonts w:hint="eastAsia" w:eastAsia="方正楷体_GBK"/>
          <w:bCs/>
          <w:color w:val="auto"/>
          <w:kern w:val="0"/>
          <w:sz w:val="32"/>
          <w:szCs w:val="36"/>
        </w:rPr>
        <w:t>第四次全国经济普查领导小组办公室</w:t>
      </w:r>
    </w:p>
    <w:p>
      <w:pPr>
        <w:widowControl/>
        <w:spacing w:line="600" w:lineRule="exact"/>
        <w:jc w:val="center"/>
        <w:rPr>
          <w:rFonts w:eastAsia="方正楷体_GBK"/>
          <w:bCs/>
          <w:color w:val="auto"/>
          <w:kern w:val="0"/>
          <w:sz w:val="32"/>
          <w:szCs w:val="36"/>
        </w:rPr>
      </w:pPr>
      <w:r>
        <w:rPr>
          <w:rFonts w:hint="default" w:ascii="Times New Roman" w:hAnsi="Times New Roman" w:eastAsia="方正楷体_GBK" w:cs="Times New Roman"/>
          <w:bCs/>
          <w:color w:val="auto"/>
          <w:kern w:val="0"/>
          <w:sz w:val="32"/>
          <w:szCs w:val="36"/>
        </w:rPr>
        <w:t>2020</w:t>
      </w:r>
      <w:r>
        <w:rPr>
          <w:rFonts w:hint="eastAsia" w:eastAsia="方正楷体_GBK"/>
          <w:bCs/>
          <w:color w:val="auto"/>
          <w:kern w:val="0"/>
          <w:sz w:val="32"/>
          <w:szCs w:val="36"/>
        </w:rPr>
        <w:t>年</w:t>
      </w:r>
      <w:r>
        <w:rPr>
          <w:rFonts w:hint="default" w:ascii="Times New Roman" w:hAnsi="Times New Roman" w:eastAsia="方正楷体_GBK" w:cs="Times New Roman"/>
          <w:bCs/>
          <w:color w:val="auto"/>
          <w:kern w:val="0"/>
          <w:sz w:val="32"/>
          <w:szCs w:val="36"/>
          <w:lang w:val="en-US" w:eastAsia="zh-CN"/>
        </w:rPr>
        <w:t>4</w:t>
      </w:r>
      <w:r>
        <w:rPr>
          <w:rFonts w:hint="eastAsia" w:eastAsia="方正楷体_GBK"/>
          <w:bCs/>
          <w:color w:val="auto"/>
          <w:kern w:val="0"/>
          <w:sz w:val="32"/>
          <w:szCs w:val="36"/>
        </w:rPr>
        <w:t>月</w:t>
      </w:r>
      <w:r>
        <w:rPr>
          <w:rFonts w:hint="default" w:ascii="Times New Roman" w:hAnsi="Times New Roman" w:eastAsia="方正楷体_GBK" w:cs="Times New Roman"/>
          <w:bCs/>
          <w:color w:val="auto"/>
          <w:kern w:val="0"/>
          <w:sz w:val="32"/>
          <w:szCs w:val="36"/>
          <w:lang w:val="en-US" w:eastAsia="zh-CN"/>
        </w:rPr>
        <w:t>22</w:t>
      </w:r>
      <w:r>
        <w:rPr>
          <w:rFonts w:hint="eastAsia" w:eastAsia="方正楷体_GBK"/>
          <w:bCs/>
          <w:color w:val="auto"/>
          <w:kern w:val="0"/>
          <w:sz w:val="32"/>
          <w:szCs w:val="36"/>
        </w:rPr>
        <w:t>日</w:t>
      </w:r>
    </w:p>
    <w:p>
      <w:pPr>
        <w:widowControl/>
        <w:spacing w:line="600" w:lineRule="exact"/>
        <w:jc w:val="center"/>
        <w:rPr>
          <w:rFonts w:eastAsia="楷体_GB2312"/>
          <w:bCs/>
          <w:color w:val="auto"/>
          <w:kern w:val="0"/>
          <w:sz w:val="32"/>
          <w:szCs w:val="36"/>
        </w:rPr>
      </w:pPr>
      <w:r>
        <w:rPr>
          <w:rFonts w:eastAsia="楷体_GB2312"/>
          <w:bCs/>
          <w:color w:val="auto"/>
          <w:kern w:val="0"/>
          <w:sz w:val="32"/>
          <w:szCs w:val="36"/>
        </w:rPr>
        <w:t>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根据第四次全国经济普查结果，现将我区</w:t>
      </w:r>
      <w:r>
        <w:rPr>
          <w:rFonts w:eastAsia="方正仿宋_GBK"/>
          <w:color w:val="auto"/>
          <w:sz w:val="32"/>
          <w:szCs w:val="32"/>
        </w:rPr>
        <w:t>单位的</w:t>
      </w:r>
      <w:r>
        <w:rPr>
          <w:rFonts w:hint="eastAsia" w:eastAsia="方正仿宋_GBK"/>
          <w:color w:val="auto"/>
          <w:sz w:val="32"/>
          <w:szCs w:val="32"/>
        </w:rPr>
        <w:t>基本情况</w:t>
      </w:r>
      <w:r>
        <w:rPr>
          <w:rFonts w:eastAsia="方正仿宋_GBK"/>
          <w:color w:val="auto"/>
          <w:sz w:val="32"/>
          <w:szCs w:val="32"/>
        </w:rPr>
        <w:t>、从业人员、资产负债</w:t>
      </w:r>
      <w:r>
        <w:rPr>
          <w:rFonts w:hint="eastAsia" w:eastAsia="方正仿宋_GBK"/>
          <w:color w:val="auto"/>
          <w:sz w:val="32"/>
          <w:szCs w:val="32"/>
        </w:rPr>
        <w:t>状况和</w:t>
      </w:r>
      <w:r>
        <w:rPr>
          <w:rFonts w:eastAsia="方正仿宋_GBK"/>
          <w:color w:val="auto"/>
          <w:sz w:val="32"/>
          <w:szCs w:val="32"/>
        </w:rPr>
        <w:t>营业收入</w:t>
      </w:r>
      <w:r>
        <w:rPr>
          <w:rFonts w:hint="eastAsia" w:eastAsia="方正仿宋_GBK"/>
          <w:color w:val="auto"/>
          <w:sz w:val="32"/>
          <w:szCs w:val="32"/>
        </w:rPr>
        <w:t>公布如下：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color w:val="auto"/>
          <w:sz w:val="32"/>
          <w:szCs w:val="32"/>
        </w:rPr>
      </w:pPr>
      <w:r>
        <w:rPr>
          <w:rFonts w:hint="eastAsia" w:ascii="方正黑体_GBK" w:eastAsia="方正黑体_GBK"/>
          <w:color w:val="auto"/>
          <w:sz w:val="32"/>
          <w:szCs w:val="32"/>
        </w:rPr>
        <w:t>一、单位基本情况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auto"/>
          <w:sz w:val="32"/>
          <w:szCs w:val="32"/>
        </w:rPr>
      </w:pPr>
      <w:r>
        <w:rPr>
          <w:rFonts w:hint="default" w:ascii="Times New Roman" w:hAnsi="Times New Roman" w:eastAsia="方正黑体_GBK" w:cs="Times New Roman"/>
          <w:color w:val="auto"/>
          <w:sz w:val="32"/>
          <w:szCs w:val="32"/>
        </w:rPr>
        <w:t>2</w:t>
      </w:r>
      <w:r>
        <w:rPr>
          <w:rFonts w:hint="default" w:ascii="Times New Roman" w:hAnsi="Times New Roman" w:eastAsia="方正黑体_GBK" w:cs="Times New Roman"/>
          <w:color w:val="auto"/>
          <w:spacing w:val="-8"/>
          <w:sz w:val="32"/>
          <w:szCs w:val="32"/>
        </w:rPr>
        <w:t>018</w:t>
      </w:r>
      <w:r>
        <w:rPr>
          <w:rFonts w:hint="eastAsia" w:eastAsia="方正仿宋_GBK"/>
          <w:color w:val="auto"/>
          <w:spacing w:val="-8"/>
          <w:sz w:val="32"/>
          <w:szCs w:val="32"/>
        </w:rPr>
        <w:t>年末，全区共有从事第二产业和第三产业活动的法人单位</w:t>
      </w:r>
      <w:r>
        <w:rPr>
          <w:rFonts w:hint="default" w:ascii="Times New Roman" w:hAnsi="Times New Roman" w:eastAsia="方正仿宋_GBK" w:cs="Times New Roman"/>
          <w:color w:val="auto"/>
          <w:spacing w:val="-8"/>
          <w:sz w:val="32"/>
          <w:szCs w:val="32"/>
        </w:rPr>
        <w:t>25747</w:t>
      </w:r>
      <w:r>
        <w:rPr>
          <w:rFonts w:hint="eastAsia" w:eastAsia="方正仿宋_GBK"/>
          <w:color w:val="auto"/>
          <w:spacing w:val="-8"/>
          <w:sz w:val="32"/>
          <w:szCs w:val="32"/>
        </w:rPr>
        <w:t>个，比</w:t>
      </w:r>
      <w:r>
        <w:rPr>
          <w:rFonts w:hint="default" w:ascii="Times New Roman" w:hAnsi="Times New Roman" w:eastAsia="方正仿宋_GBK" w:cs="Times New Roman"/>
          <w:color w:val="auto"/>
          <w:spacing w:val="-8"/>
          <w:sz w:val="32"/>
          <w:szCs w:val="32"/>
        </w:rPr>
        <w:t>2013</w:t>
      </w:r>
      <w:r>
        <w:rPr>
          <w:rFonts w:hint="eastAsia" w:eastAsia="方正仿宋_GBK"/>
          <w:color w:val="auto"/>
          <w:spacing w:val="-8"/>
          <w:sz w:val="32"/>
          <w:szCs w:val="32"/>
        </w:rPr>
        <w:t>年末（</w:t>
      </w:r>
      <w:r>
        <w:rPr>
          <w:rFonts w:hint="default" w:ascii="Times New Roman" w:hAnsi="Times New Roman" w:eastAsia="方正仿宋_GBK" w:cs="Times New Roman"/>
          <w:color w:val="auto"/>
          <w:spacing w:val="-8"/>
          <w:sz w:val="32"/>
          <w:szCs w:val="32"/>
        </w:rPr>
        <w:t>2013</w:t>
      </w:r>
      <w:r>
        <w:rPr>
          <w:rFonts w:hint="eastAsia" w:eastAsia="方正仿宋_GBK"/>
          <w:color w:val="auto"/>
          <w:spacing w:val="-8"/>
          <w:sz w:val="32"/>
          <w:szCs w:val="32"/>
        </w:rPr>
        <w:t>年是第三次全国经济普查年份，下同）增加</w:t>
      </w:r>
      <w:r>
        <w:rPr>
          <w:rFonts w:hint="default" w:ascii="Times New Roman" w:hAnsi="Times New Roman" w:eastAsia="方正仿宋_GBK" w:cs="Times New Roman"/>
          <w:color w:val="auto"/>
          <w:spacing w:val="-8"/>
          <w:sz w:val="32"/>
          <w:szCs w:val="32"/>
        </w:rPr>
        <w:t>16028</w:t>
      </w:r>
      <w:r>
        <w:rPr>
          <w:rFonts w:hint="eastAsia" w:eastAsia="方正仿宋_GBK"/>
          <w:color w:val="auto"/>
          <w:spacing w:val="-8"/>
          <w:sz w:val="32"/>
          <w:szCs w:val="32"/>
        </w:rPr>
        <w:t>个，增长</w:t>
      </w:r>
      <w:r>
        <w:rPr>
          <w:rFonts w:hint="default" w:ascii="Times New Roman" w:hAnsi="Times New Roman" w:eastAsia="方正仿宋_GBK" w:cs="Times New Roman"/>
          <w:color w:val="auto"/>
          <w:spacing w:val="-8"/>
          <w:sz w:val="32"/>
          <w:szCs w:val="32"/>
        </w:rPr>
        <w:t>164.9%</w:t>
      </w:r>
      <w:r>
        <w:rPr>
          <w:rFonts w:hint="eastAsia" w:eastAsia="方正仿宋_GBK"/>
          <w:color w:val="auto"/>
          <w:spacing w:val="-8"/>
          <w:sz w:val="32"/>
          <w:szCs w:val="32"/>
        </w:rPr>
        <w:t>；产业活动单位</w:t>
      </w:r>
      <w:r>
        <w:rPr>
          <w:rFonts w:hint="default" w:ascii="Times New Roman" w:hAnsi="Times New Roman" w:eastAsia="方正仿宋_GBK" w:cs="Times New Roman"/>
          <w:color w:val="auto"/>
          <w:spacing w:val="-8"/>
          <w:sz w:val="32"/>
          <w:szCs w:val="32"/>
        </w:rPr>
        <w:t>29595</w:t>
      </w:r>
      <w:r>
        <w:rPr>
          <w:rFonts w:hint="eastAsia" w:eastAsia="方正仿宋_GBK"/>
          <w:color w:val="auto"/>
          <w:spacing w:val="-8"/>
          <w:sz w:val="32"/>
          <w:szCs w:val="32"/>
        </w:rPr>
        <w:t>个，增加</w:t>
      </w:r>
      <w:r>
        <w:rPr>
          <w:rFonts w:hint="default" w:ascii="Times New Roman" w:hAnsi="Times New Roman" w:eastAsia="方正仿宋_GBK" w:cs="Times New Roman"/>
          <w:color w:val="auto"/>
          <w:spacing w:val="-8"/>
          <w:sz w:val="32"/>
          <w:szCs w:val="32"/>
        </w:rPr>
        <w:t>18245</w:t>
      </w:r>
      <w:r>
        <w:rPr>
          <w:rFonts w:hint="eastAsia" w:eastAsia="方正仿宋_GBK"/>
          <w:color w:val="auto"/>
          <w:spacing w:val="-8"/>
          <w:sz w:val="32"/>
          <w:szCs w:val="32"/>
        </w:rPr>
        <w:t>个，增长</w:t>
      </w:r>
      <w:r>
        <w:rPr>
          <w:rFonts w:hint="default" w:ascii="Times New Roman" w:hAnsi="Times New Roman" w:eastAsia="方正仿宋_GBK" w:cs="Times New Roman"/>
          <w:color w:val="auto"/>
          <w:spacing w:val="-8"/>
          <w:sz w:val="32"/>
          <w:szCs w:val="32"/>
        </w:rPr>
        <w:t>160.7%</w:t>
      </w:r>
      <w:r>
        <w:rPr>
          <w:rFonts w:hint="eastAsia" w:eastAsia="方正仿宋_GBK"/>
          <w:color w:val="auto"/>
          <w:spacing w:val="-8"/>
          <w:sz w:val="32"/>
          <w:szCs w:val="32"/>
        </w:rPr>
        <w:t>；个体经营户</w:t>
      </w:r>
      <w:r>
        <w:rPr>
          <w:rFonts w:hint="default" w:ascii="Times New Roman" w:hAnsi="Times New Roman" w:eastAsia="方正仿宋_GBK" w:cs="Times New Roman"/>
          <w:color w:val="auto"/>
          <w:spacing w:val="-8"/>
          <w:sz w:val="32"/>
          <w:szCs w:val="32"/>
        </w:rPr>
        <w:t>40904</w:t>
      </w:r>
      <w:r>
        <w:rPr>
          <w:rFonts w:eastAsia="方正仿宋_GBK"/>
          <w:color w:val="auto"/>
          <w:spacing w:val="-8"/>
          <w:sz w:val="32"/>
          <w:szCs w:val="32"/>
        </w:rPr>
        <w:t>个</w:t>
      </w:r>
      <w:r>
        <w:rPr>
          <w:rFonts w:hint="eastAsia" w:eastAsia="方正仿宋_GBK"/>
          <w:color w:val="auto"/>
          <w:spacing w:val="-8"/>
          <w:sz w:val="32"/>
          <w:szCs w:val="32"/>
        </w:rPr>
        <w:t>（详见表</w:t>
      </w:r>
      <w:r>
        <w:rPr>
          <w:rFonts w:hint="default" w:ascii="Times New Roman" w:hAnsi="Times New Roman" w:eastAsia="方正仿宋_GBK" w:cs="Times New Roman"/>
          <w:color w:val="auto"/>
          <w:spacing w:val="-8"/>
          <w:sz w:val="32"/>
          <w:szCs w:val="32"/>
        </w:rPr>
        <w:t>2-1</w:t>
      </w:r>
      <w:r>
        <w:rPr>
          <w:rFonts w:hint="eastAsia" w:eastAsia="方正仿宋_GBK"/>
          <w:color w:val="auto"/>
          <w:spacing w:val="-8"/>
          <w:sz w:val="32"/>
          <w:szCs w:val="32"/>
        </w:rPr>
        <w:t>）。</w:t>
      </w:r>
    </w:p>
    <w:p>
      <w:pPr>
        <w:snapToGrid w:val="0"/>
        <w:spacing w:line="600" w:lineRule="exact"/>
        <w:jc w:val="center"/>
        <w:rPr>
          <w:rFonts w:ascii="方正小标宋_GBK" w:eastAsia="方正小标宋_GBK"/>
          <w:color w:val="auto"/>
          <w:sz w:val="36"/>
          <w:szCs w:val="32"/>
        </w:rPr>
      </w:pPr>
      <w:r>
        <w:rPr>
          <w:rFonts w:hint="eastAsia" w:ascii="方正小标宋_GBK" w:eastAsia="方正小标宋_GBK"/>
          <w:bCs/>
          <w:color w:val="auto"/>
          <w:kern w:val="0"/>
          <w:sz w:val="28"/>
        </w:rPr>
        <w:t>表2-1　单位数与个体经营户数</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43"/>
        <w:gridCol w:w="2409"/>
        <w:gridCol w:w="23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tblHeader/>
          <w:jc w:val="center"/>
        </w:trPr>
        <w:tc>
          <w:tcPr>
            <w:tcW w:w="3543" w:type="dxa"/>
            <w:tcBorders>
              <w:top w:val="single" w:color="auto" w:sz="12" w:space="0"/>
              <w:left w:val="nil"/>
              <w:bottom w:val="single" w:color="auto" w:sz="4" w:space="0"/>
              <w:right w:val="single" w:color="auto" w:sz="4" w:space="0"/>
            </w:tcBorders>
            <w:vAlign w:val="center"/>
          </w:tcPr>
          <w:p>
            <w:pPr>
              <w:widowControl/>
              <w:spacing w:line="280" w:lineRule="exact"/>
              <w:ind w:left="57" w:right="57"/>
              <w:jc w:val="center"/>
              <w:rPr>
                <w:color w:val="auto"/>
                <w:kern w:val="0"/>
                <w:sz w:val="18"/>
                <w:szCs w:val="18"/>
              </w:rPr>
            </w:pPr>
            <w:r>
              <w:rPr>
                <w:color w:val="auto"/>
                <w:kern w:val="0"/>
                <w:szCs w:val="21"/>
              </w:rPr>
              <w:t> </w:t>
            </w:r>
          </w:p>
        </w:tc>
        <w:tc>
          <w:tcPr>
            <w:tcW w:w="2409" w:type="dxa"/>
            <w:tcBorders>
              <w:top w:val="single" w:color="auto" w:sz="12" w:space="0"/>
              <w:left w:val="single" w:color="auto" w:sz="4" w:space="0"/>
              <w:bottom w:val="single" w:color="auto" w:sz="4" w:space="0"/>
              <w:right w:val="single" w:color="auto" w:sz="4" w:space="0"/>
            </w:tcBorders>
            <w:vAlign w:val="center"/>
          </w:tcPr>
          <w:p>
            <w:pPr>
              <w:widowControl/>
              <w:spacing w:line="280" w:lineRule="exact"/>
              <w:ind w:left="57" w:right="57"/>
              <w:jc w:val="center"/>
              <w:rPr>
                <w:rFonts w:ascii="黑体" w:hAnsi="黑体" w:eastAsia="黑体"/>
                <w:color w:val="auto"/>
                <w:kern w:val="0"/>
                <w:sz w:val="18"/>
                <w:szCs w:val="18"/>
              </w:rPr>
            </w:pPr>
            <w:r>
              <w:rPr>
                <w:rFonts w:ascii="黑体" w:hAnsi="黑体" w:eastAsia="黑体"/>
                <w:color w:val="auto"/>
                <w:kern w:val="0"/>
                <w:szCs w:val="21"/>
              </w:rPr>
              <w:t>单位数（个）</w:t>
            </w:r>
          </w:p>
        </w:tc>
        <w:tc>
          <w:tcPr>
            <w:tcW w:w="2354" w:type="dxa"/>
            <w:tcBorders>
              <w:top w:val="single" w:color="auto" w:sz="12" w:space="0"/>
              <w:left w:val="single" w:color="auto" w:sz="4" w:space="0"/>
              <w:bottom w:val="single" w:color="auto" w:sz="4" w:space="0"/>
              <w:right w:val="nil"/>
            </w:tcBorders>
            <w:vAlign w:val="center"/>
          </w:tcPr>
          <w:p>
            <w:pPr>
              <w:widowControl/>
              <w:spacing w:line="280" w:lineRule="exact"/>
              <w:ind w:left="57" w:right="57"/>
              <w:jc w:val="center"/>
              <w:rPr>
                <w:rFonts w:ascii="黑体" w:hAnsi="黑体" w:eastAsia="黑体"/>
                <w:color w:val="auto"/>
                <w:kern w:val="0"/>
                <w:sz w:val="18"/>
                <w:szCs w:val="18"/>
              </w:rPr>
            </w:pPr>
            <w:r>
              <w:rPr>
                <w:rFonts w:ascii="黑体" w:hAnsi="黑体" w:eastAsia="黑体"/>
                <w:color w:val="auto"/>
                <w:kern w:val="0"/>
                <w:szCs w:val="21"/>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2" w:hRule="atLeast"/>
          <w:jc w:val="center"/>
        </w:trPr>
        <w:tc>
          <w:tcPr>
            <w:tcW w:w="3543" w:type="dxa"/>
            <w:tcBorders>
              <w:top w:val="single" w:color="auto" w:sz="4" w:space="0"/>
              <w:left w:val="nil"/>
              <w:bottom w:val="nil"/>
              <w:right w:val="single" w:color="auto" w:sz="4" w:space="0"/>
            </w:tcBorders>
            <w:vAlign w:val="center"/>
          </w:tcPr>
          <w:p>
            <w:pPr>
              <w:widowControl/>
              <w:spacing w:line="280" w:lineRule="exact"/>
              <w:ind w:left="57" w:right="57"/>
              <w:rPr>
                <w:b/>
                <w:color w:val="auto"/>
                <w:kern w:val="0"/>
                <w:sz w:val="18"/>
                <w:szCs w:val="18"/>
              </w:rPr>
            </w:pPr>
            <w:r>
              <w:rPr>
                <w:b/>
                <w:color w:val="auto"/>
                <w:kern w:val="0"/>
                <w:szCs w:val="21"/>
              </w:rPr>
              <w:t>一、法人单位</w:t>
            </w:r>
          </w:p>
        </w:tc>
        <w:tc>
          <w:tcPr>
            <w:tcW w:w="2409" w:type="dxa"/>
            <w:tcBorders>
              <w:top w:val="single" w:color="auto" w:sz="4" w:space="0"/>
              <w:left w:val="single" w:color="auto" w:sz="4" w:space="0"/>
              <w:bottom w:val="nil"/>
              <w:right w:val="single" w:color="auto" w:sz="4" w:space="0"/>
            </w:tcBorders>
            <w:shd w:val="clear" w:color="auto" w:fill="auto"/>
          </w:tcPr>
          <w:p>
            <w:pPr>
              <w:ind w:right="77" w:rightChars="37"/>
              <w:jc w:val="right"/>
              <w:rPr>
                <w:rFonts w:hint="default" w:ascii="Times New Roman" w:hAnsi="Times New Roman" w:cs="Times New Roman"/>
                <w:b/>
                <w:color w:val="auto"/>
              </w:rPr>
            </w:pPr>
            <w:r>
              <w:rPr>
                <w:rFonts w:hint="default" w:ascii="Times New Roman" w:hAnsi="Times New Roman" w:cs="Times New Roman"/>
                <w:b/>
                <w:color w:val="auto"/>
              </w:rPr>
              <w:t>25747</w:t>
            </w:r>
          </w:p>
        </w:tc>
        <w:tc>
          <w:tcPr>
            <w:tcW w:w="2354" w:type="dxa"/>
            <w:tcBorders>
              <w:top w:val="single" w:color="auto" w:sz="4" w:space="0"/>
              <w:left w:val="single" w:color="auto" w:sz="4" w:space="0"/>
              <w:bottom w:val="nil"/>
              <w:right w:val="nil"/>
            </w:tcBorders>
            <w:shd w:val="clear" w:color="auto" w:fill="auto"/>
          </w:tcPr>
          <w:p>
            <w:pPr>
              <w:jc w:val="right"/>
              <w:rPr>
                <w:rFonts w:hint="default" w:ascii="Times New Roman" w:hAnsi="Times New Roman" w:cs="Times New Roman"/>
                <w:b/>
                <w:color w:val="auto"/>
              </w:rPr>
            </w:pPr>
            <w:r>
              <w:rPr>
                <w:rFonts w:hint="default" w:ascii="Times New Roman" w:hAnsi="Times New Roman" w:cs="Times New Roman"/>
                <w:b/>
                <w:color w:val="auto"/>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rPr>
                <w:color w:val="auto"/>
                <w:kern w:val="0"/>
                <w:szCs w:val="21"/>
              </w:rPr>
            </w:pPr>
            <w:r>
              <w:rPr>
                <w:color w:val="auto"/>
                <w:kern w:val="0"/>
                <w:szCs w:val="21"/>
              </w:rPr>
              <w:t xml:space="preserve">    企业法人</w:t>
            </w:r>
          </w:p>
        </w:tc>
        <w:tc>
          <w:tcPr>
            <w:tcW w:w="2409" w:type="dxa"/>
            <w:tcBorders>
              <w:top w:val="nil"/>
              <w:left w:val="single" w:color="auto" w:sz="4" w:space="0"/>
              <w:bottom w:val="nil"/>
              <w:right w:val="single" w:color="auto" w:sz="4" w:space="0"/>
            </w:tcBorders>
            <w:shd w:val="clear" w:color="auto" w:fill="auto"/>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24534</w:t>
            </w:r>
          </w:p>
        </w:tc>
        <w:tc>
          <w:tcPr>
            <w:tcW w:w="235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rPr>
                <w:color w:val="auto"/>
                <w:kern w:val="0"/>
                <w:szCs w:val="21"/>
              </w:rPr>
            </w:pPr>
            <w:r>
              <w:rPr>
                <w:color w:val="auto"/>
                <w:kern w:val="0"/>
                <w:szCs w:val="21"/>
              </w:rPr>
              <w:t xml:space="preserve">    机关、事业法人</w:t>
            </w:r>
          </w:p>
        </w:tc>
        <w:tc>
          <w:tcPr>
            <w:tcW w:w="2409" w:type="dxa"/>
            <w:tcBorders>
              <w:top w:val="nil"/>
              <w:left w:val="single" w:color="auto" w:sz="4" w:space="0"/>
              <w:bottom w:val="nil"/>
              <w:right w:val="single" w:color="auto" w:sz="4" w:space="0"/>
            </w:tcBorders>
            <w:shd w:val="clear" w:color="auto" w:fill="auto"/>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381</w:t>
            </w:r>
          </w:p>
        </w:tc>
        <w:tc>
          <w:tcPr>
            <w:tcW w:w="235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rPr>
                <w:color w:val="auto"/>
                <w:kern w:val="0"/>
                <w:szCs w:val="21"/>
              </w:rPr>
            </w:pPr>
            <w:r>
              <w:rPr>
                <w:color w:val="auto"/>
                <w:kern w:val="0"/>
                <w:szCs w:val="21"/>
              </w:rPr>
              <w:t xml:space="preserve">    社会团体</w:t>
            </w:r>
          </w:p>
        </w:tc>
        <w:tc>
          <w:tcPr>
            <w:tcW w:w="2409" w:type="dxa"/>
            <w:tcBorders>
              <w:top w:val="nil"/>
              <w:left w:val="single" w:color="auto" w:sz="4" w:space="0"/>
              <w:bottom w:val="nil"/>
              <w:right w:val="single" w:color="auto" w:sz="4" w:space="0"/>
            </w:tcBorders>
            <w:shd w:val="clear" w:color="auto" w:fill="auto"/>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122</w:t>
            </w:r>
          </w:p>
        </w:tc>
        <w:tc>
          <w:tcPr>
            <w:tcW w:w="235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firstLine="420" w:firstLineChars="200"/>
              <w:rPr>
                <w:color w:val="auto"/>
                <w:kern w:val="0"/>
                <w:szCs w:val="21"/>
              </w:rPr>
            </w:pPr>
            <w:r>
              <w:rPr>
                <w:color w:val="auto"/>
                <w:kern w:val="0"/>
                <w:szCs w:val="21"/>
              </w:rPr>
              <w:t>其他法人</w:t>
            </w:r>
          </w:p>
        </w:tc>
        <w:tc>
          <w:tcPr>
            <w:tcW w:w="2409" w:type="dxa"/>
            <w:tcBorders>
              <w:top w:val="nil"/>
              <w:left w:val="single" w:color="auto" w:sz="4" w:space="0"/>
              <w:bottom w:val="nil"/>
              <w:right w:val="single" w:color="auto" w:sz="4" w:space="0"/>
            </w:tcBorders>
            <w:shd w:val="clear" w:color="auto" w:fill="auto"/>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710</w:t>
            </w:r>
          </w:p>
        </w:tc>
        <w:tc>
          <w:tcPr>
            <w:tcW w:w="235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left="57" w:right="57"/>
              <w:rPr>
                <w:b/>
                <w:color w:val="auto"/>
                <w:kern w:val="0"/>
                <w:sz w:val="18"/>
                <w:szCs w:val="18"/>
              </w:rPr>
            </w:pPr>
            <w:r>
              <w:rPr>
                <w:b/>
                <w:color w:val="auto"/>
                <w:kern w:val="0"/>
                <w:szCs w:val="21"/>
              </w:rPr>
              <w:t>二、产业活动单位</w:t>
            </w:r>
          </w:p>
        </w:tc>
        <w:tc>
          <w:tcPr>
            <w:tcW w:w="2409" w:type="dxa"/>
            <w:tcBorders>
              <w:top w:val="nil"/>
              <w:left w:val="single" w:color="auto" w:sz="4" w:space="0"/>
              <w:bottom w:val="nil"/>
              <w:right w:val="single" w:color="auto" w:sz="4" w:space="0"/>
            </w:tcBorders>
          </w:tcPr>
          <w:p>
            <w:pPr>
              <w:ind w:right="77" w:rightChars="37"/>
              <w:jc w:val="right"/>
              <w:rPr>
                <w:rFonts w:hint="default" w:ascii="Times New Roman" w:hAnsi="Times New Roman" w:cs="Times New Roman"/>
                <w:b/>
                <w:color w:val="auto"/>
              </w:rPr>
            </w:pPr>
            <w:r>
              <w:rPr>
                <w:rFonts w:hint="default" w:ascii="Times New Roman" w:hAnsi="Times New Roman" w:cs="Times New Roman"/>
                <w:b/>
                <w:color w:val="auto"/>
              </w:rPr>
              <w:t>29595</w:t>
            </w:r>
          </w:p>
        </w:tc>
        <w:tc>
          <w:tcPr>
            <w:tcW w:w="2354" w:type="dxa"/>
            <w:tcBorders>
              <w:top w:val="nil"/>
              <w:left w:val="single" w:color="auto" w:sz="4" w:space="0"/>
              <w:bottom w:val="nil"/>
              <w:right w:val="nil"/>
            </w:tcBorders>
          </w:tcPr>
          <w:p>
            <w:pPr>
              <w:jc w:val="right"/>
              <w:rPr>
                <w:rFonts w:hint="default" w:ascii="Times New Roman" w:hAnsi="Times New Roman" w:cs="Times New Roman"/>
                <w:b/>
                <w:color w:val="auto"/>
              </w:rPr>
            </w:pPr>
            <w:r>
              <w:rPr>
                <w:rFonts w:hint="default" w:ascii="Times New Roman" w:hAnsi="Times New Roman" w:cs="Times New Roman"/>
                <w:b/>
                <w:color w:val="auto"/>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firstLine="420" w:firstLineChars="200"/>
              <w:rPr>
                <w:color w:val="auto"/>
                <w:kern w:val="0"/>
                <w:sz w:val="18"/>
                <w:szCs w:val="18"/>
              </w:rPr>
            </w:pPr>
            <w:r>
              <w:rPr>
                <w:color w:val="auto"/>
                <w:kern w:val="0"/>
                <w:szCs w:val="21"/>
              </w:rPr>
              <w:t>第二产业</w:t>
            </w:r>
          </w:p>
        </w:tc>
        <w:tc>
          <w:tcPr>
            <w:tcW w:w="2409" w:type="dxa"/>
            <w:tcBorders>
              <w:top w:val="nil"/>
              <w:left w:val="single" w:color="auto" w:sz="4" w:space="0"/>
              <w:bottom w:val="nil"/>
              <w:right w:val="single" w:color="auto" w:sz="4" w:space="0"/>
            </w:tcBorders>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2986</w:t>
            </w:r>
          </w:p>
        </w:tc>
        <w:tc>
          <w:tcPr>
            <w:tcW w:w="2354"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firstLine="420" w:firstLineChars="200"/>
              <w:rPr>
                <w:color w:val="auto"/>
                <w:kern w:val="0"/>
                <w:sz w:val="18"/>
                <w:szCs w:val="18"/>
              </w:rPr>
            </w:pPr>
            <w:r>
              <w:rPr>
                <w:color w:val="auto"/>
                <w:kern w:val="0"/>
                <w:szCs w:val="21"/>
              </w:rPr>
              <w:t>第三产业</w:t>
            </w:r>
          </w:p>
        </w:tc>
        <w:tc>
          <w:tcPr>
            <w:tcW w:w="2409" w:type="dxa"/>
            <w:tcBorders>
              <w:top w:val="nil"/>
              <w:left w:val="single" w:color="auto" w:sz="4" w:space="0"/>
              <w:bottom w:val="nil"/>
              <w:right w:val="single" w:color="auto" w:sz="4" w:space="0"/>
            </w:tcBorders>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26609</w:t>
            </w:r>
          </w:p>
        </w:tc>
        <w:tc>
          <w:tcPr>
            <w:tcW w:w="2354"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89.9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left="57" w:right="57"/>
              <w:rPr>
                <w:b/>
                <w:color w:val="auto"/>
                <w:kern w:val="0"/>
                <w:sz w:val="18"/>
                <w:szCs w:val="18"/>
              </w:rPr>
            </w:pPr>
            <w:r>
              <w:rPr>
                <w:b/>
                <w:color w:val="auto"/>
                <w:kern w:val="0"/>
                <w:szCs w:val="21"/>
              </w:rPr>
              <w:t>三、个体经营户</w:t>
            </w:r>
          </w:p>
        </w:tc>
        <w:tc>
          <w:tcPr>
            <w:tcW w:w="2409" w:type="dxa"/>
            <w:tcBorders>
              <w:top w:val="nil"/>
              <w:left w:val="single" w:color="auto" w:sz="4" w:space="0"/>
              <w:bottom w:val="nil"/>
              <w:right w:val="single" w:color="auto" w:sz="4" w:space="0"/>
            </w:tcBorders>
          </w:tcPr>
          <w:p>
            <w:pPr>
              <w:ind w:right="77" w:rightChars="37"/>
              <w:jc w:val="right"/>
              <w:rPr>
                <w:rFonts w:hint="default" w:ascii="Times New Roman" w:hAnsi="Times New Roman" w:cs="Times New Roman"/>
                <w:b/>
                <w:color w:val="auto"/>
              </w:rPr>
            </w:pPr>
            <w:r>
              <w:rPr>
                <w:rFonts w:hint="default" w:ascii="Times New Roman" w:hAnsi="Times New Roman" w:cs="Times New Roman"/>
                <w:b/>
                <w:color w:val="auto"/>
              </w:rPr>
              <w:t>40904</w:t>
            </w:r>
          </w:p>
        </w:tc>
        <w:tc>
          <w:tcPr>
            <w:tcW w:w="2354" w:type="dxa"/>
            <w:tcBorders>
              <w:top w:val="nil"/>
              <w:left w:val="single" w:color="auto" w:sz="4" w:space="0"/>
              <w:bottom w:val="nil"/>
              <w:right w:val="nil"/>
            </w:tcBorders>
          </w:tcPr>
          <w:p>
            <w:pPr>
              <w:jc w:val="right"/>
              <w:rPr>
                <w:rFonts w:hint="default" w:ascii="Times New Roman" w:hAnsi="Times New Roman" w:cs="Times New Roman"/>
                <w:b/>
                <w:color w:val="auto"/>
              </w:rPr>
            </w:pPr>
            <w:r>
              <w:rPr>
                <w:rFonts w:hint="default" w:ascii="Times New Roman" w:hAnsi="Times New Roman" w:cs="Times New Roman"/>
                <w:b/>
                <w:color w:val="auto"/>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nil"/>
              <w:right w:val="single" w:color="auto" w:sz="4" w:space="0"/>
            </w:tcBorders>
            <w:vAlign w:val="center"/>
          </w:tcPr>
          <w:p>
            <w:pPr>
              <w:widowControl/>
              <w:spacing w:line="280" w:lineRule="exact"/>
              <w:ind w:right="57" w:firstLine="420" w:firstLineChars="200"/>
              <w:rPr>
                <w:color w:val="auto"/>
                <w:kern w:val="0"/>
                <w:sz w:val="18"/>
                <w:szCs w:val="18"/>
              </w:rPr>
            </w:pPr>
            <w:r>
              <w:rPr>
                <w:color w:val="auto"/>
                <w:kern w:val="0"/>
                <w:szCs w:val="21"/>
              </w:rPr>
              <w:t>第二产业</w:t>
            </w:r>
          </w:p>
        </w:tc>
        <w:tc>
          <w:tcPr>
            <w:tcW w:w="2409" w:type="dxa"/>
            <w:tcBorders>
              <w:top w:val="nil"/>
              <w:left w:val="single" w:color="auto" w:sz="4" w:space="0"/>
              <w:bottom w:val="nil"/>
              <w:right w:val="single" w:color="auto" w:sz="4" w:space="0"/>
            </w:tcBorders>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1232</w:t>
            </w:r>
          </w:p>
        </w:tc>
        <w:tc>
          <w:tcPr>
            <w:tcW w:w="2354"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3543" w:type="dxa"/>
            <w:tcBorders>
              <w:top w:val="nil"/>
              <w:left w:val="nil"/>
              <w:bottom w:val="single" w:color="auto" w:sz="12" w:space="0"/>
              <w:right w:val="single" w:color="auto" w:sz="4" w:space="0"/>
            </w:tcBorders>
            <w:vAlign w:val="center"/>
          </w:tcPr>
          <w:p>
            <w:pPr>
              <w:widowControl/>
              <w:spacing w:line="280" w:lineRule="exact"/>
              <w:ind w:right="57" w:firstLine="420" w:firstLineChars="200"/>
              <w:rPr>
                <w:color w:val="auto"/>
                <w:kern w:val="0"/>
                <w:sz w:val="18"/>
                <w:szCs w:val="18"/>
              </w:rPr>
            </w:pPr>
            <w:r>
              <w:rPr>
                <w:color w:val="auto"/>
                <w:kern w:val="0"/>
                <w:szCs w:val="21"/>
              </w:rPr>
              <w:t>第三产业</w:t>
            </w:r>
          </w:p>
        </w:tc>
        <w:tc>
          <w:tcPr>
            <w:tcW w:w="2409" w:type="dxa"/>
            <w:tcBorders>
              <w:top w:val="nil"/>
              <w:left w:val="single" w:color="auto" w:sz="4" w:space="0"/>
              <w:bottom w:val="single" w:color="auto" w:sz="12" w:space="0"/>
              <w:right w:val="single" w:color="auto" w:sz="4" w:space="0"/>
            </w:tcBorders>
          </w:tcPr>
          <w:p>
            <w:pPr>
              <w:ind w:right="77" w:rightChars="37"/>
              <w:jc w:val="right"/>
              <w:rPr>
                <w:rFonts w:hint="default" w:ascii="Times New Roman" w:hAnsi="Times New Roman" w:cs="Times New Roman"/>
                <w:color w:val="auto"/>
              </w:rPr>
            </w:pPr>
            <w:r>
              <w:rPr>
                <w:rFonts w:hint="default" w:ascii="Times New Roman" w:hAnsi="Times New Roman" w:cs="Times New Roman"/>
                <w:color w:val="auto"/>
              </w:rPr>
              <w:t>39672</w:t>
            </w:r>
          </w:p>
        </w:tc>
        <w:tc>
          <w:tcPr>
            <w:tcW w:w="2354" w:type="dxa"/>
            <w:tcBorders>
              <w:top w:val="nil"/>
              <w:left w:val="single" w:color="auto" w:sz="4" w:space="0"/>
              <w:bottom w:val="single" w:color="auto" w:sz="12" w:space="0"/>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97.0</w:t>
            </w:r>
          </w:p>
        </w:tc>
      </w:tr>
    </w:tbl>
    <w:p>
      <w:pPr>
        <w:snapToGrid w:val="0"/>
        <w:spacing w:line="600" w:lineRule="exact"/>
        <w:ind w:firstLine="640" w:firstLineChars="200"/>
        <w:rPr>
          <w:rFonts w:eastAsia="方正仿宋_GBK"/>
          <w:color w:val="auto"/>
          <w:sz w:val="32"/>
          <w:szCs w:val="32"/>
        </w:rPr>
      </w:pPr>
    </w:p>
    <w:p>
      <w:pPr>
        <w:snapToGrid w:val="0"/>
        <w:spacing w:line="600" w:lineRule="exact"/>
        <w:ind w:firstLine="640" w:firstLineChars="200"/>
        <w:rPr>
          <w:rFonts w:eastAsia="方正仿宋_GBK"/>
          <w:color w:val="auto"/>
          <w:sz w:val="32"/>
          <w:szCs w:val="32"/>
        </w:rPr>
      </w:pPr>
      <w:r>
        <w:rPr>
          <w:rFonts w:eastAsia="方正仿宋_GBK"/>
          <w:color w:val="auto"/>
          <w:sz w:val="32"/>
          <w:szCs w:val="32"/>
        </w:rPr>
        <w:t>2018</w:t>
      </w:r>
      <w:r>
        <w:rPr>
          <w:rFonts w:hint="eastAsia" w:eastAsia="方正仿宋_GBK"/>
          <w:color w:val="auto"/>
          <w:sz w:val="32"/>
          <w:szCs w:val="32"/>
        </w:rPr>
        <w:t>年末，在第二产业和第三产业法人单位中，位居前三位的行业是：批发和零售业</w:t>
      </w:r>
      <w:r>
        <w:rPr>
          <w:rFonts w:hint="default" w:ascii="Times New Roman" w:hAnsi="Times New Roman" w:eastAsia="方正仿宋_GBK" w:cs="Times New Roman"/>
          <w:color w:val="auto"/>
          <w:sz w:val="32"/>
          <w:szCs w:val="32"/>
        </w:rPr>
        <w:t>8203</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31.9%</w:t>
      </w:r>
      <w:r>
        <w:rPr>
          <w:rFonts w:hint="eastAsia" w:eastAsia="方正仿宋_GBK"/>
          <w:color w:val="auto"/>
          <w:sz w:val="32"/>
          <w:szCs w:val="32"/>
        </w:rPr>
        <w:t>；租赁和商务服务业</w:t>
      </w:r>
      <w:r>
        <w:rPr>
          <w:rFonts w:hint="default" w:ascii="Times New Roman" w:hAnsi="Times New Roman" w:eastAsia="方正仿宋_GBK" w:cs="Times New Roman"/>
          <w:color w:val="auto"/>
          <w:sz w:val="32"/>
          <w:szCs w:val="32"/>
        </w:rPr>
        <w:t>4668</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18.1%</w:t>
      </w:r>
      <w:r>
        <w:rPr>
          <w:rFonts w:hint="eastAsia" w:eastAsia="方正仿宋_GBK"/>
          <w:color w:val="auto"/>
          <w:sz w:val="32"/>
          <w:szCs w:val="32"/>
        </w:rPr>
        <w:t>；信息传输、软件和信息技术服务业</w:t>
      </w:r>
      <w:r>
        <w:rPr>
          <w:rFonts w:hint="default" w:ascii="Times New Roman" w:hAnsi="Times New Roman" w:eastAsia="方正仿宋_GBK" w:cs="Times New Roman"/>
          <w:color w:val="auto"/>
          <w:sz w:val="32"/>
          <w:szCs w:val="32"/>
        </w:rPr>
        <w:t>2181</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8.5%</w:t>
      </w:r>
      <w:r>
        <w:rPr>
          <w:rFonts w:hint="eastAsia" w:eastAsia="方正仿宋_GBK"/>
          <w:color w:val="auto"/>
          <w:sz w:val="32"/>
          <w:szCs w:val="32"/>
        </w:rPr>
        <w:t>。在个体经营户中，位居前三位的行业是：批发和零售业</w:t>
      </w:r>
      <w:r>
        <w:rPr>
          <w:rFonts w:hint="default" w:ascii="Times New Roman" w:hAnsi="Times New Roman" w:eastAsia="方正仿宋_GBK" w:cs="Times New Roman"/>
          <w:color w:val="auto"/>
          <w:sz w:val="32"/>
          <w:szCs w:val="32"/>
        </w:rPr>
        <w:t>19894</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48.6%</w:t>
      </w:r>
      <w:r>
        <w:rPr>
          <w:rFonts w:hint="eastAsia" w:eastAsia="方正仿宋_GBK"/>
          <w:color w:val="auto"/>
          <w:sz w:val="32"/>
          <w:szCs w:val="32"/>
        </w:rPr>
        <w:t>；住宿和餐饮业</w:t>
      </w:r>
      <w:r>
        <w:rPr>
          <w:rFonts w:hint="default" w:ascii="Times New Roman" w:hAnsi="Times New Roman" w:eastAsia="方正仿宋_GBK" w:cs="Times New Roman"/>
          <w:color w:val="auto"/>
          <w:sz w:val="32"/>
          <w:szCs w:val="32"/>
        </w:rPr>
        <w:t>9134</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22.3%</w:t>
      </w:r>
      <w:r>
        <w:rPr>
          <w:rFonts w:hint="eastAsia" w:eastAsia="方正仿宋_GBK"/>
          <w:color w:val="auto"/>
          <w:sz w:val="32"/>
          <w:szCs w:val="32"/>
        </w:rPr>
        <w:t>；居民服务、修理和其他服务业</w:t>
      </w:r>
      <w:r>
        <w:rPr>
          <w:rFonts w:hint="default" w:ascii="Times New Roman" w:hAnsi="Times New Roman" w:eastAsia="方正仿宋_GBK" w:cs="Times New Roman"/>
          <w:color w:val="auto"/>
          <w:sz w:val="32"/>
          <w:szCs w:val="32"/>
        </w:rPr>
        <w:t>5296</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12.9%</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2-2</w:t>
      </w:r>
      <w:r>
        <w:rPr>
          <w:rFonts w:hint="eastAsia" w:eastAsia="方正仿宋_GBK"/>
          <w:color w:val="auto"/>
          <w:sz w:val="32"/>
          <w:szCs w:val="32"/>
        </w:rPr>
        <w:t>）。</w:t>
      </w:r>
    </w:p>
    <w:p>
      <w:pPr>
        <w:snapToGrid w:val="0"/>
        <w:spacing w:line="600" w:lineRule="exact"/>
        <w:jc w:val="center"/>
        <w:rPr>
          <w:rFonts w:eastAsia="仿宋_GB2312"/>
          <w:color w:val="auto"/>
          <w:sz w:val="32"/>
          <w:szCs w:val="32"/>
        </w:rPr>
      </w:pPr>
      <w:r>
        <w:rPr>
          <w:rFonts w:hint="eastAsia" w:ascii="方正小标宋_GBK" w:eastAsia="方正小标宋_GBK"/>
          <w:bCs/>
          <w:color w:val="auto"/>
          <w:kern w:val="0"/>
          <w:sz w:val="28"/>
        </w:rPr>
        <w:t>表</w:t>
      </w:r>
      <w:r>
        <w:rPr>
          <w:rFonts w:ascii="方正小标宋_GBK" w:eastAsia="方正小标宋_GBK"/>
          <w:bCs/>
          <w:color w:val="auto"/>
          <w:kern w:val="0"/>
          <w:sz w:val="28"/>
        </w:rPr>
        <w:t>2-2</w:t>
      </w:r>
      <w:r>
        <w:rPr>
          <w:rFonts w:hint="eastAsia" w:ascii="方正小标宋_GBK" w:eastAsia="方正小标宋_GBK"/>
          <w:bCs/>
          <w:color w:val="auto"/>
          <w:kern w:val="0"/>
          <w:sz w:val="28"/>
        </w:rPr>
        <w:t>　按行业门类分组的法人单位与</w:t>
      </w:r>
      <w:r>
        <w:rPr>
          <w:rFonts w:ascii="方正小标宋_GBK" w:eastAsia="方正小标宋_GBK"/>
          <w:bCs/>
          <w:color w:val="auto"/>
          <w:kern w:val="0"/>
          <w:sz w:val="28"/>
        </w:rPr>
        <w:t>个体经营户</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736"/>
        <w:gridCol w:w="1226"/>
        <w:gridCol w:w="1134"/>
        <w:gridCol w:w="1134"/>
        <w:gridCol w:w="10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vMerge w:val="restart"/>
            <w:tcBorders>
              <w:top w:val="single" w:color="auto" w:sz="12" w:space="0"/>
              <w:left w:val="nil"/>
              <w:right w:val="single" w:color="auto" w:sz="4" w:space="0"/>
            </w:tcBorders>
            <w:vAlign w:val="center"/>
          </w:tcPr>
          <w:p>
            <w:pPr>
              <w:widowControl/>
              <w:spacing w:line="240" w:lineRule="atLeast"/>
              <w:ind w:left="57" w:right="57"/>
              <w:rPr>
                <w:b/>
                <w:bCs/>
                <w:color w:val="auto"/>
                <w:kern w:val="0"/>
                <w:szCs w:val="21"/>
              </w:rPr>
            </w:pPr>
          </w:p>
        </w:tc>
        <w:tc>
          <w:tcPr>
            <w:tcW w:w="2360" w:type="dxa"/>
            <w:gridSpan w:val="2"/>
            <w:tcBorders>
              <w:top w:val="single" w:color="auto" w:sz="12" w:space="0"/>
              <w:left w:val="single" w:color="auto" w:sz="4" w:space="0"/>
              <w:bottom w:val="single" w:color="auto" w:sz="4" w:space="0"/>
              <w:right w:val="single" w:color="auto" w:sz="4" w:space="0"/>
            </w:tcBorders>
            <w:vAlign w:val="center"/>
          </w:tcPr>
          <w:p>
            <w:pPr>
              <w:widowControl/>
              <w:spacing w:line="280" w:lineRule="exact"/>
              <w:ind w:left="57" w:right="57"/>
              <w:jc w:val="center"/>
              <w:rPr>
                <w:rFonts w:eastAsia="黑体"/>
                <w:color w:val="auto"/>
                <w:kern w:val="0"/>
                <w:szCs w:val="21"/>
              </w:rPr>
            </w:pPr>
            <w:r>
              <w:rPr>
                <w:rFonts w:eastAsia="黑体"/>
                <w:color w:val="auto"/>
                <w:kern w:val="0"/>
                <w:szCs w:val="21"/>
              </w:rPr>
              <w:t>法人单位</w:t>
            </w:r>
          </w:p>
        </w:tc>
        <w:tc>
          <w:tcPr>
            <w:tcW w:w="2210" w:type="dxa"/>
            <w:gridSpan w:val="2"/>
            <w:tcBorders>
              <w:top w:val="single" w:color="auto" w:sz="12" w:space="0"/>
              <w:left w:val="single" w:color="auto" w:sz="4" w:space="0"/>
              <w:bottom w:val="single" w:color="auto" w:sz="4" w:space="0"/>
              <w:right w:val="nil"/>
            </w:tcBorders>
            <w:vAlign w:val="center"/>
          </w:tcPr>
          <w:p>
            <w:pPr>
              <w:widowControl/>
              <w:spacing w:line="280" w:lineRule="exact"/>
              <w:ind w:left="57" w:right="57"/>
              <w:jc w:val="center"/>
              <w:rPr>
                <w:rFonts w:eastAsia="黑体"/>
                <w:color w:val="auto"/>
                <w:kern w:val="0"/>
                <w:szCs w:val="21"/>
              </w:rPr>
            </w:pPr>
            <w:r>
              <w:rPr>
                <w:rFonts w:eastAsia="黑体"/>
                <w:color w:val="auto"/>
                <w:kern w:val="0"/>
                <w:szCs w:val="21"/>
              </w:rPr>
              <w:t>个体经营户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vMerge w:val="continue"/>
            <w:tcBorders>
              <w:left w:val="nil"/>
              <w:bottom w:val="single" w:color="auto" w:sz="4" w:space="0"/>
              <w:right w:val="single" w:color="auto" w:sz="4" w:space="0"/>
            </w:tcBorders>
            <w:vAlign w:val="center"/>
          </w:tcPr>
          <w:p>
            <w:pPr>
              <w:widowControl/>
              <w:spacing w:line="240" w:lineRule="atLeast"/>
              <w:ind w:left="57" w:right="57"/>
              <w:jc w:val="center"/>
              <w:rPr>
                <w:b/>
                <w:bCs/>
                <w:color w:val="auto"/>
                <w:kern w:val="0"/>
                <w:szCs w:val="21"/>
              </w:rPr>
            </w:pPr>
          </w:p>
        </w:tc>
        <w:tc>
          <w:tcPr>
            <w:tcW w:w="1226" w:type="dxa"/>
            <w:tcBorders>
              <w:top w:val="single" w:color="auto" w:sz="4" w:space="0"/>
              <w:left w:val="single" w:color="auto" w:sz="4" w:space="0"/>
              <w:bottom w:val="single" w:color="auto" w:sz="4" w:space="0"/>
              <w:right w:val="single" w:color="auto" w:sz="4" w:space="0"/>
            </w:tcBorders>
          </w:tcPr>
          <w:p>
            <w:pPr>
              <w:widowControl/>
              <w:spacing w:line="280" w:lineRule="exact"/>
              <w:ind w:left="57" w:right="57"/>
              <w:jc w:val="center"/>
              <w:rPr>
                <w:rFonts w:eastAsia="黑体"/>
                <w:color w:val="auto"/>
                <w:kern w:val="0"/>
                <w:szCs w:val="21"/>
              </w:rPr>
            </w:pPr>
            <w:r>
              <w:rPr>
                <w:rFonts w:eastAsia="黑体"/>
                <w:color w:val="auto"/>
                <w:kern w:val="0"/>
                <w:szCs w:val="21"/>
              </w:rPr>
              <w:t>数量(个)</w:t>
            </w:r>
          </w:p>
        </w:tc>
        <w:tc>
          <w:tcPr>
            <w:tcW w:w="1134" w:type="dxa"/>
            <w:tcBorders>
              <w:top w:val="single" w:color="auto" w:sz="4" w:space="0"/>
              <w:left w:val="single" w:color="auto" w:sz="4" w:space="0"/>
              <w:bottom w:val="single" w:color="auto" w:sz="4" w:space="0"/>
              <w:right w:val="single" w:color="auto" w:sz="4" w:space="0"/>
            </w:tcBorders>
          </w:tcPr>
          <w:p>
            <w:pPr>
              <w:widowControl/>
              <w:spacing w:line="280" w:lineRule="exact"/>
              <w:ind w:left="57" w:right="57"/>
              <w:jc w:val="center"/>
              <w:rPr>
                <w:rFonts w:eastAsia="黑体"/>
                <w:color w:val="auto"/>
                <w:kern w:val="0"/>
                <w:szCs w:val="21"/>
              </w:rPr>
            </w:pPr>
            <w:r>
              <w:rPr>
                <w:rFonts w:eastAsia="黑体"/>
                <w:color w:val="auto"/>
                <w:kern w:val="0"/>
                <w:szCs w:val="21"/>
              </w:rPr>
              <w:t>比重(%)</w:t>
            </w:r>
          </w:p>
        </w:tc>
        <w:tc>
          <w:tcPr>
            <w:tcW w:w="1134" w:type="dxa"/>
            <w:tcBorders>
              <w:top w:val="single" w:color="auto" w:sz="4" w:space="0"/>
              <w:left w:val="single" w:color="auto" w:sz="4" w:space="0"/>
              <w:bottom w:val="single" w:color="auto" w:sz="4" w:space="0"/>
              <w:right w:val="single" w:color="auto" w:sz="4" w:space="0"/>
            </w:tcBorders>
          </w:tcPr>
          <w:p>
            <w:pPr>
              <w:widowControl/>
              <w:spacing w:line="280" w:lineRule="exact"/>
              <w:ind w:left="57" w:right="57"/>
              <w:jc w:val="center"/>
              <w:rPr>
                <w:rFonts w:eastAsia="黑体"/>
                <w:color w:val="auto"/>
                <w:kern w:val="0"/>
                <w:szCs w:val="21"/>
              </w:rPr>
            </w:pPr>
            <w:r>
              <w:rPr>
                <w:rFonts w:eastAsia="黑体"/>
                <w:color w:val="auto"/>
                <w:kern w:val="0"/>
                <w:szCs w:val="21"/>
              </w:rPr>
              <w:t>数量(个)</w:t>
            </w:r>
          </w:p>
        </w:tc>
        <w:tc>
          <w:tcPr>
            <w:tcW w:w="1076" w:type="dxa"/>
            <w:tcBorders>
              <w:top w:val="single" w:color="auto" w:sz="4" w:space="0"/>
              <w:left w:val="single" w:color="auto" w:sz="4" w:space="0"/>
              <w:bottom w:val="single" w:color="auto" w:sz="4" w:space="0"/>
              <w:right w:val="nil"/>
            </w:tcBorders>
          </w:tcPr>
          <w:p>
            <w:pPr>
              <w:widowControl/>
              <w:spacing w:line="280" w:lineRule="exact"/>
              <w:ind w:left="57" w:right="57"/>
              <w:jc w:val="center"/>
              <w:rPr>
                <w:rFonts w:eastAsia="黑体"/>
                <w:color w:val="auto"/>
                <w:kern w:val="0"/>
                <w:szCs w:val="21"/>
              </w:rPr>
            </w:pPr>
            <w:r>
              <w:rPr>
                <w:rFonts w:eastAsia="黑体"/>
                <w:color w:val="auto"/>
                <w:kern w:val="0"/>
                <w:szCs w:val="21"/>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single" w:color="auto" w:sz="4" w:space="0"/>
              <w:left w:val="nil"/>
              <w:bottom w:val="nil"/>
              <w:right w:val="single" w:color="auto" w:sz="4" w:space="0"/>
            </w:tcBorders>
            <w:vAlign w:val="center"/>
          </w:tcPr>
          <w:p>
            <w:pPr>
              <w:widowControl/>
              <w:spacing w:line="240" w:lineRule="atLeast"/>
              <w:ind w:left="57" w:right="57"/>
              <w:jc w:val="center"/>
              <w:rPr>
                <w:b/>
                <w:color w:val="auto"/>
                <w:kern w:val="0"/>
                <w:sz w:val="18"/>
                <w:szCs w:val="18"/>
              </w:rPr>
            </w:pPr>
            <w:r>
              <w:rPr>
                <w:b/>
                <w:bCs/>
                <w:color w:val="auto"/>
                <w:kern w:val="0"/>
                <w:szCs w:val="21"/>
              </w:rPr>
              <w:t>合　计</w:t>
            </w:r>
          </w:p>
        </w:tc>
        <w:tc>
          <w:tcPr>
            <w:tcW w:w="1226" w:type="dxa"/>
            <w:tcBorders>
              <w:top w:val="single" w:color="auto" w:sz="4" w:space="0"/>
              <w:left w:val="nil"/>
              <w:bottom w:val="nil"/>
              <w:right w:val="single" w:color="auto" w:sz="4" w:space="0"/>
            </w:tcBorders>
            <w:shd w:val="clear" w:color="auto" w:fill="auto"/>
          </w:tcPr>
          <w:p>
            <w:pPr>
              <w:jc w:val="right"/>
              <w:rPr>
                <w:rFonts w:hint="default" w:ascii="Times New Roman" w:hAnsi="Times New Roman" w:cs="Times New Roman"/>
                <w:b/>
                <w:color w:val="auto"/>
              </w:rPr>
            </w:pPr>
            <w:r>
              <w:rPr>
                <w:rFonts w:hint="default" w:ascii="Times New Roman" w:hAnsi="Times New Roman" w:cs="Times New Roman"/>
                <w:b/>
                <w:color w:val="auto"/>
              </w:rPr>
              <w:t>25747</w:t>
            </w:r>
          </w:p>
        </w:tc>
        <w:tc>
          <w:tcPr>
            <w:tcW w:w="1134" w:type="dxa"/>
            <w:tcBorders>
              <w:top w:val="single" w:color="auto" w:sz="4" w:space="0"/>
              <w:left w:val="single" w:color="auto" w:sz="4" w:space="0"/>
              <w:bottom w:val="nil"/>
              <w:right w:val="nil"/>
            </w:tcBorders>
            <w:shd w:val="clear" w:color="auto" w:fill="auto"/>
          </w:tcPr>
          <w:p>
            <w:pPr>
              <w:jc w:val="right"/>
              <w:rPr>
                <w:rFonts w:hint="default" w:ascii="Times New Roman" w:hAnsi="Times New Roman" w:cs="Times New Roman"/>
                <w:b/>
                <w:color w:val="auto"/>
              </w:rPr>
            </w:pPr>
            <w:r>
              <w:rPr>
                <w:rFonts w:hint="default" w:ascii="Times New Roman" w:hAnsi="Times New Roman" w:cs="Times New Roman"/>
                <w:b/>
                <w:color w:val="auto"/>
              </w:rPr>
              <w:t>100</w:t>
            </w:r>
          </w:p>
        </w:tc>
        <w:tc>
          <w:tcPr>
            <w:tcW w:w="1134" w:type="dxa"/>
            <w:tcBorders>
              <w:top w:val="single" w:color="auto" w:sz="4" w:space="0"/>
              <w:left w:val="single" w:color="auto" w:sz="4" w:space="0"/>
              <w:bottom w:val="nil"/>
              <w:right w:val="single" w:color="auto" w:sz="4" w:space="0"/>
            </w:tcBorders>
          </w:tcPr>
          <w:p>
            <w:pPr>
              <w:jc w:val="right"/>
              <w:rPr>
                <w:rFonts w:hint="default" w:ascii="Times New Roman" w:hAnsi="Times New Roman" w:cs="Times New Roman"/>
                <w:b/>
                <w:color w:val="auto"/>
              </w:rPr>
            </w:pPr>
            <w:r>
              <w:rPr>
                <w:rFonts w:hint="default" w:ascii="Times New Roman" w:hAnsi="Times New Roman" w:cs="Times New Roman"/>
                <w:b/>
                <w:color w:val="auto"/>
              </w:rPr>
              <w:t>40904</w:t>
            </w:r>
          </w:p>
        </w:tc>
        <w:tc>
          <w:tcPr>
            <w:tcW w:w="1076" w:type="dxa"/>
            <w:tcBorders>
              <w:top w:val="single" w:color="auto" w:sz="4" w:space="0"/>
              <w:left w:val="single" w:color="auto" w:sz="4" w:space="0"/>
              <w:bottom w:val="nil"/>
              <w:right w:val="nil"/>
            </w:tcBorders>
          </w:tcPr>
          <w:p>
            <w:pPr>
              <w:jc w:val="right"/>
              <w:rPr>
                <w:rFonts w:hint="default" w:ascii="Times New Roman" w:hAnsi="Times New Roman" w:cs="Times New Roman"/>
                <w:b/>
                <w:color w:val="auto"/>
              </w:rPr>
            </w:pPr>
            <w:r>
              <w:rPr>
                <w:rFonts w:hint="default" w:ascii="Times New Roman" w:hAnsi="Times New Roman" w:cs="Times New Roman"/>
                <w:b/>
                <w:color w:val="auto"/>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采矿业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0.0</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制造业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1446</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5.6</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1076</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电力、热力、燃气及水生产和供应业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13</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0.1</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建筑业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1381</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5.4</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156</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批发和零售业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8203</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31.9</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19894</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48.6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交通运输、仓储和邮政业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395</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1.5</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2042</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住宿和餐饮业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899</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3.5</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9134</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22.3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信息传输、软件和信息技术服务业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2181</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8.5</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113</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金融业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88</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0.3</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房地产业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1277</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5.0</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368</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租赁和商务服务业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4668</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18.1</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949</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科学研究和技术服务业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1534</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6.0</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81</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水利、环境和公共设施管理业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180</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0.7</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23</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居民服务、修理和其他服务业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1061</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4.1</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5296</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12.9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教育</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751</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2.9</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279</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卫生和社会工作</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247</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1.0</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301</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nil"/>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文化、体育和娱乐业</w:t>
            </w:r>
          </w:p>
        </w:tc>
        <w:tc>
          <w:tcPr>
            <w:tcW w:w="1226"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938</w:t>
            </w:r>
          </w:p>
        </w:tc>
        <w:tc>
          <w:tcPr>
            <w:tcW w:w="1134"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3.6</w:t>
            </w:r>
          </w:p>
        </w:tc>
        <w:tc>
          <w:tcPr>
            <w:tcW w:w="1134" w:type="dxa"/>
            <w:tcBorders>
              <w:top w:val="nil"/>
              <w:left w:val="single" w:color="auto" w:sz="4" w:space="0"/>
              <w:bottom w:val="nil"/>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1191</w:t>
            </w:r>
          </w:p>
        </w:tc>
        <w:tc>
          <w:tcPr>
            <w:tcW w:w="1076" w:type="dxa"/>
            <w:tcBorders>
              <w:top w:val="nil"/>
              <w:left w:val="single" w:color="auto" w:sz="4" w:space="0"/>
              <w:bottom w:val="nil"/>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3736" w:type="dxa"/>
            <w:tcBorders>
              <w:top w:val="nil"/>
              <w:left w:val="nil"/>
              <w:bottom w:val="single" w:color="auto" w:sz="12" w:space="0"/>
              <w:right w:val="single" w:color="auto" w:sz="4" w:space="0"/>
            </w:tcBorders>
            <w:vAlign w:val="center"/>
          </w:tcPr>
          <w:p>
            <w:pPr>
              <w:widowControl/>
              <w:spacing w:line="240" w:lineRule="atLeast"/>
              <w:ind w:left="57" w:right="57"/>
              <w:rPr>
                <w:color w:val="auto"/>
                <w:kern w:val="0"/>
                <w:sz w:val="18"/>
                <w:szCs w:val="18"/>
              </w:rPr>
            </w:pPr>
            <w:r>
              <w:rPr>
                <w:color w:val="auto"/>
                <w:kern w:val="0"/>
                <w:szCs w:val="21"/>
              </w:rPr>
              <w:t>公共管理、社会保障和社会组织</w:t>
            </w:r>
          </w:p>
        </w:tc>
        <w:tc>
          <w:tcPr>
            <w:tcW w:w="1226" w:type="dxa"/>
            <w:tcBorders>
              <w:top w:val="nil"/>
              <w:left w:val="nil"/>
              <w:bottom w:val="single" w:color="auto" w:sz="12" w:space="0"/>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457</w:t>
            </w:r>
          </w:p>
        </w:tc>
        <w:tc>
          <w:tcPr>
            <w:tcW w:w="1134" w:type="dxa"/>
            <w:tcBorders>
              <w:top w:val="nil"/>
              <w:left w:val="single" w:color="auto" w:sz="4" w:space="0"/>
              <w:bottom w:val="single" w:color="auto" w:sz="12" w:space="0"/>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1.8</w:t>
            </w:r>
          </w:p>
        </w:tc>
        <w:tc>
          <w:tcPr>
            <w:tcW w:w="1134" w:type="dxa"/>
            <w:tcBorders>
              <w:top w:val="nil"/>
              <w:left w:val="single" w:color="auto" w:sz="4" w:space="0"/>
              <w:bottom w:val="single" w:color="auto" w:sz="12" w:space="0"/>
              <w:right w:val="single" w:color="auto" w:sz="4" w:space="0"/>
            </w:tcBorders>
          </w:tcPr>
          <w:p>
            <w:pPr>
              <w:jc w:val="right"/>
              <w:rPr>
                <w:rFonts w:hint="default" w:ascii="Times New Roman" w:hAnsi="Times New Roman" w:cs="Times New Roman"/>
                <w:color w:val="auto"/>
              </w:rPr>
            </w:pPr>
            <w:r>
              <w:rPr>
                <w:rFonts w:hint="default" w:ascii="Times New Roman" w:hAnsi="Times New Roman" w:cs="Times New Roman"/>
                <w:color w:val="auto"/>
              </w:rPr>
              <w:t>—</w:t>
            </w:r>
          </w:p>
        </w:tc>
        <w:tc>
          <w:tcPr>
            <w:tcW w:w="1076" w:type="dxa"/>
            <w:tcBorders>
              <w:top w:val="nil"/>
              <w:left w:val="single" w:color="auto" w:sz="4" w:space="0"/>
              <w:bottom w:val="single" w:color="auto" w:sz="12" w:space="0"/>
              <w:right w:val="nil"/>
            </w:tcBorders>
          </w:tcPr>
          <w:p>
            <w:pPr>
              <w:jc w:val="right"/>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shd w:val="clear" w:color="auto" w:fill="FFFFFF"/>
            <w:vAlign w:val="center"/>
          </w:tcPr>
          <w:p>
            <w:pPr>
              <w:widowControl/>
              <w:spacing w:line="240" w:lineRule="atLeast"/>
              <w:ind w:right="57"/>
              <w:jc w:val="left"/>
              <w:rPr>
                <w:color w:val="auto"/>
                <w:kern w:val="0"/>
                <w:sz w:val="18"/>
                <w:szCs w:val="18"/>
              </w:rPr>
            </w:pPr>
            <w:r>
              <w:rPr>
                <w:rFonts w:eastAsia="楷体"/>
                <w:bCs/>
                <w:color w:val="auto"/>
                <w:kern w:val="0"/>
                <w:szCs w:val="21"/>
              </w:rPr>
              <w:t>注：</w:t>
            </w:r>
            <w:r>
              <w:rPr>
                <w:rFonts w:eastAsia="楷体"/>
                <w:color w:val="auto"/>
                <w:kern w:val="0"/>
                <w:szCs w:val="21"/>
              </w:rPr>
              <w:t>表中合计数含从事农、林、牧、渔专业及辅助性活动和兼营第二、三产业活动的农、林、牧、渔业法人单位与个体经营户。</w:t>
            </w:r>
          </w:p>
        </w:tc>
      </w:tr>
    </w:tbl>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w:t>
      </w:r>
      <w:r>
        <w:rPr>
          <w:rFonts w:eastAsia="方正仿宋_GBK"/>
          <w:color w:val="auto"/>
          <w:sz w:val="32"/>
          <w:szCs w:val="32"/>
        </w:rPr>
        <w:t>共有</w:t>
      </w:r>
      <w:r>
        <w:rPr>
          <w:rFonts w:hint="eastAsia" w:eastAsia="方正仿宋_GBK"/>
          <w:color w:val="auto"/>
          <w:sz w:val="32"/>
          <w:szCs w:val="32"/>
        </w:rPr>
        <w:t>第二产业</w:t>
      </w:r>
      <w:r>
        <w:rPr>
          <w:rFonts w:eastAsia="方正仿宋_GBK"/>
          <w:color w:val="auto"/>
          <w:sz w:val="32"/>
          <w:szCs w:val="32"/>
        </w:rPr>
        <w:t>和第三产业的</w:t>
      </w:r>
      <w:r>
        <w:rPr>
          <w:rFonts w:hint="eastAsia" w:eastAsia="方正仿宋_GBK"/>
          <w:color w:val="auto"/>
          <w:sz w:val="32"/>
          <w:szCs w:val="32"/>
        </w:rPr>
        <w:t>企业法人单位</w:t>
      </w:r>
      <w:r>
        <w:rPr>
          <w:rFonts w:hint="default" w:ascii="Times New Roman" w:hAnsi="Times New Roman" w:eastAsia="方正仿宋_GBK" w:cs="Times New Roman"/>
          <w:color w:val="auto"/>
          <w:sz w:val="32"/>
          <w:szCs w:val="32"/>
        </w:rPr>
        <w:t>24534</w:t>
      </w:r>
      <w:r>
        <w:rPr>
          <w:rFonts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w:t>
      </w:r>
      <w:r>
        <w:rPr>
          <w:rFonts w:eastAsia="方正仿宋_GBK"/>
          <w:color w:val="auto"/>
          <w:sz w:val="32"/>
          <w:szCs w:val="32"/>
        </w:rPr>
        <w:t>增加</w:t>
      </w:r>
      <w:r>
        <w:rPr>
          <w:rFonts w:hint="default" w:ascii="Times New Roman" w:hAnsi="Times New Roman" w:eastAsia="方正仿宋_GBK" w:cs="Times New Roman"/>
          <w:color w:val="auto"/>
          <w:sz w:val="32"/>
          <w:szCs w:val="32"/>
        </w:rPr>
        <w:t>15765</w:t>
      </w:r>
      <w:r>
        <w:rPr>
          <w:rFonts w:eastAsia="方正仿宋_GBK"/>
          <w:color w:val="auto"/>
          <w:sz w:val="32"/>
          <w:szCs w:val="32"/>
        </w:rPr>
        <w:t>个，增长</w:t>
      </w:r>
      <w:r>
        <w:rPr>
          <w:rFonts w:hint="default" w:ascii="Times New Roman" w:hAnsi="Times New Roman" w:eastAsia="方正仿宋_GBK" w:cs="Times New Roman"/>
          <w:color w:val="auto"/>
          <w:sz w:val="32"/>
          <w:szCs w:val="32"/>
        </w:rPr>
        <w:t>179.8%</w:t>
      </w:r>
      <w:r>
        <w:rPr>
          <w:rFonts w:eastAsia="方正仿宋_GBK"/>
          <w:color w:val="auto"/>
          <w:sz w:val="32"/>
          <w:szCs w:val="32"/>
        </w:rPr>
        <w:t>。</w:t>
      </w:r>
      <w:r>
        <w:rPr>
          <w:rFonts w:hint="eastAsia" w:eastAsia="方正仿宋_GBK"/>
          <w:color w:val="auto"/>
          <w:sz w:val="32"/>
          <w:szCs w:val="32"/>
        </w:rPr>
        <w:t>其中，内资企业占</w:t>
      </w:r>
      <w:r>
        <w:rPr>
          <w:rFonts w:hint="default" w:ascii="Times New Roman" w:hAnsi="Times New Roman" w:eastAsia="方正仿宋_GBK" w:cs="Times New Roman"/>
          <w:color w:val="auto"/>
          <w:sz w:val="32"/>
          <w:szCs w:val="32"/>
        </w:rPr>
        <w:t>99.6%</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。内资企业中，国有企业占全部企业法人单位的</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，私营企业占</w:t>
      </w:r>
      <w:r>
        <w:rPr>
          <w:rFonts w:hint="default" w:ascii="Times New Roman" w:hAnsi="Times New Roman" w:eastAsia="方正仿宋_GBK" w:cs="Times New Roman"/>
          <w:color w:val="auto"/>
          <w:sz w:val="32"/>
          <w:szCs w:val="32"/>
        </w:rPr>
        <w:t>92.6%</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2-3</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2-</w:t>
      </w:r>
      <w:r>
        <w:rPr>
          <w:rFonts w:hint="eastAsia" w:ascii="方正小标宋_GBK" w:eastAsia="方正小标宋_GBK"/>
          <w:bCs/>
          <w:color w:val="auto"/>
          <w:kern w:val="0"/>
          <w:sz w:val="28"/>
        </w:rPr>
        <w:t>3　按登记注册类型分组的企业法人单位</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495"/>
        <w:gridCol w:w="2492"/>
        <w:gridCol w:w="23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495" w:type="dxa"/>
            <w:tcBorders>
              <w:top w:val="single" w:color="auto" w:sz="12" w:space="0"/>
              <w:left w:val="nil"/>
              <w:bottom w:val="single" w:color="auto" w:sz="4" w:space="0"/>
              <w:right w:val="single" w:color="auto" w:sz="4" w:space="0"/>
            </w:tcBorders>
            <w:vAlign w:val="center"/>
          </w:tcPr>
          <w:p>
            <w:pPr>
              <w:widowControl/>
              <w:spacing w:line="280" w:lineRule="exact"/>
              <w:ind w:left="57" w:right="57"/>
              <w:jc w:val="center"/>
              <w:rPr>
                <w:rFonts w:eastAsia="黑体"/>
                <w:color w:val="auto"/>
                <w:kern w:val="0"/>
                <w:szCs w:val="21"/>
              </w:rPr>
            </w:pPr>
            <w:r>
              <w:rPr>
                <w:rFonts w:eastAsia="黑体"/>
                <w:color w:val="auto"/>
                <w:kern w:val="0"/>
                <w:szCs w:val="21"/>
              </w:rPr>
              <w:t> </w:t>
            </w:r>
          </w:p>
        </w:tc>
        <w:tc>
          <w:tcPr>
            <w:tcW w:w="2492" w:type="dxa"/>
            <w:tcBorders>
              <w:top w:val="single" w:color="auto" w:sz="12" w:space="0"/>
              <w:left w:val="single" w:color="auto" w:sz="4" w:space="0"/>
              <w:bottom w:val="single" w:color="auto" w:sz="4" w:space="0"/>
              <w:right w:val="single" w:color="auto" w:sz="4" w:space="0"/>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单位数（个）</w:t>
            </w:r>
          </w:p>
        </w:tc>
        <w:tc>
          <w:tcPr>
            <w:tcW w:w="2319" w:type="dxa"/>
            <w:tcBorders>
              <w:top w:val="single" w:color="auto" w:sz="12" w:space="0"/>
              <w:left w:val="single" w:color="auto" w:sz="4" w:space="0"/>
              <w:bottom w:val="single" w:color="auto" w:sz="4" w:space="0"/>
              <w:right w:val="nil"/>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比重（</w:t>
            </w:r>
            <w:r>
              <w:rPr>
                <w:rFonts w:eastAsia="黑体"/>
                <w:color w:val="auto"/>
                <w:kern w:val="0"/>
                <w:szCs w:val="21"/>
              </w:rPr>
              <w:t>%</w:t>
            </w:r>
            <w:r>
              <w:rPr>
                <w:rFonts w:hint="eastAsia" w:eastAsia="黑体"/>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495"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2492" w:type="dxa"/>
            <w:tcBorders>
              <w:top w:val="single" w:color="auto" w:sz="4" w:space="0"/>
              <w:left w:val="nil"/>
              <w:bottom w:val="nil"/>
              <w:right w:val="single" w:color="auto" w:sz="4" w:space="0"/>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24534</w:t>
            </w:r>
          </w:p>
        </w:tc>
        <w:tc>
          <w:tcPr>
            <w:tcW w:w="2319" w:type="dxa"/>
            <w:tcBorders>
              <w:top w:val="single" w:color="auto" w:sz="4" w:space="0"/>
              <w:left w:val="nil"/>
              <w:bottom w:val="nil"/>
              <w:right w:val="nil"/>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24440</w:t>
            </w:r>
          </w:p>
        </w:tc>
        <w:tc>
          <w:tcPr>
            <w:tcW w:w="2319" w:type="dxa"/>
            <w:tcBorders>
              <w:top w:val="nil"/>
              <w:left w:val="nil"/>
              <w:bottom w:val="nil"/>
              <w:right w:val="nil"/>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99.6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国有企业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44</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集体企业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25</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股份合作企业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20</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联营企业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有限责任公司</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1460</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股份有限公司</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169</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私营企业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22720</w:t>
            </w: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p>
        </w:tc>
        <w:tc>
          <w:tcPr>
            <w:tcW w:w="2319" w:type="dxa"/>
            <w:tcBorders>
              <w:top w:val="nil"/>
              <w:left w:val="nil"/>
              <w:bottom w:val="nil"/>
              <w:right w:val="nil"/>
            </w:tcBorders>
            <w:shd w:val="clear" w:color="auto" w:fill="auto"/>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nil"/>
              <w:right w:val="single" w:color="auto" w:sz="4" w:space="0"/>
            </w:tcBorders>
            <w:vAlign w:val="center"/>
          </w:tcPr>
          <w:p>
            <w:pPr>
              <w:widowControl/>
              <w:spacing w:line="240" w:lineRule="atLeast"/>
              <w:ind w:left="57" w:right="57"/>
              <w:rPr>
                <w:rFonts w:ascii="宋体" w:hAnsi="宋体" w:cs="宋体"/>
                <w:b/>
                <w:bCs w:val="0"/>
                <w:color w:val="auto"/>
                <w:kern w:val="0"/>
                <w:sz w:val="18"/>
                <w:szCs w:val="18"/>
              </w:rPr>
            </w:pPr>
            <w:r>
              <w:rPr>
                <w:rFonts w:hint="eastAsia" w:ascii="宋体" w:hAnsi="宋体" w:cs="宋体"/>
                <w:b/>
                <w:bCs w:val="0"/>
                <w:color w:val="auto"/>
                <w:kern w:val="0"/>
                <w:szCs w:val="21"/>
              </w:rPr>
              <w:t>港、澳、台商投资企业</w:t>
            </w:r>
          </w:p>
        </w:tc>
        <w:tc>
          <w:tcPr>
            <w:tcW w:w="2492" w:type="dxa"/>
            <w:tcBorders>
              <w:top w:val="nil"/>
              <w:left w:val="nil"/>
              <w:bottom w:val="nil"/>
              <w:right w:val="single" w:color="auto" w:sz="4" w:space="0"/>
            </w:tcBorders>
            <w:shd w:val="clear" w:color="auto" w:fill="auto"/>
          </w:tcPr>
          <w:p>
            <w:pPr>
              <w:jc w:val="right"/>
              <w:rPr>
                <w:rFonts w:hint="default" w:ascii="Times New Roman" w:hAnsi="Times New Roman" w:cs="Times New Roman"/>
                <w:b/>
                <w:bCs w:val="0"/>
                <w:color w:val="auto"/>
              </w:rPr>
            </w:pPr>
            <w:r>
              <w:rPr>
                <w:rFonts w:hint="default" w:ascii="Times New Roman" w:hAnsi="Times New Roman" w:cs="Times New Roman"/>
                <w:b/>
                <w:bCs w:val="0"/>
                <w:color w:val="auto"/>
              </w:rPr>
              <w:t>50</w:t>
            </w:r>
          </w:p>
        </w:tc>
        <w:tc>
          <w:tcPr>
            <w:tcW w:w="2319" w:type="dxa"/>
            <w:tcBorders>
              <w:top w:val="nil"/>
              <w:left w:val="nil"/>
              <w:bottom w:val="nil"/>
              <w:right w:val="nil"/>
            </w:tcBorders>
            <w:shd w:val="clear" w:color="auto" w:fill="auto"/>
          </w:tcPr>
          <w:p>
            <w:pPr>
              <w:jc w:val="right"/>
              <w:rPr>
                <w:rFonts w:hint="default" w:ascii="Times New Roman" w:hAnsi="Times New Roman" w:cs="Times New Roman"/>
                <w:b/>
                <w:bCs w:val="0"/>
                <w:color w:val="auto"/>
              </w:rPr>
            </w:pPr>
            <w:r>
              <w:rPr>
                <w:rFonts w:hint="default" w:ascii="Times New Roman" w:hAnsi="Times New Roman" w:cs="Times New Roman"/>
                <w:b/>
                <w:bCs w:val="0"/>
                <w:color w:val="auto"/>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1" w:hRule="atLeast"/>
          <w:jc w:val="center"/>
        </w:trPr>
        <w:tc>
          <w:tcPr>
            <w:tcW w:w="3495"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bCs w:val="0"/>
                <w:color w:val="auto"/>
                <w:kern w:val="0"/>
                <w:sz w:val="18"/>
                <w:szCs w:val="18"/>
              </w:rPr>
            </w:pPr>
            <w:r>
              <w:rPr>
                <w:rFonts w:hint="eastAsia" w:ascii="宋体" w:hAnsi="宋体" w:cs="宋体"/>
                <w:b/>
                <w:bCs w:val="0"/>
                <w:color w:val="auto"/>
                <w:kern w:val="0"/>
                <w:szCs w:val="21"/>
              </w:rPr>
              <w:t>外商投资企业</w:t>
            </w:r>
          </w:p>
        </w:tc>
        <w:tc>
          <w:tcPr>
            <w:tcW w:w="2492" w:type="dxa"/>
            <w:tcBorders>
              <w:top w:val="nil"/>
              <w:left w:val="nil"/>
              <w:bottom w:val="single" w:color="auto" w:sz="12" w:space="0"/>
              <w:right w:val="single" w:color="auto" w:sz="4" w:space="0"/>
            </w:tcBorders>
            <w:shd w:val="clear" w:color="auto" w:fill="auto"/>
          </w:tcPr>
          <w:p>
            <w:pPr>
              <w:jc w:val="right"/>
              <w:rPr>
                <w:rFonts w:hint="default" w:ascii="Times New Roman" w:hAnsi="Times New Roman" w:cs="Times New Roman"/>
                <w:b/>
                <w:bCs w:val="0"/>
                <w:color w:val="auto"/>
              </w:rPr>
            </w:pPr>
            <w:r>
              <w:rPr>
                <w:rFonts w:hint="default" w:ascii="Times New Roman" w:hAnsi="Times New Roman" w:cs="Times New Roman"/>
                <w:b/>
                <w:bCs w:val="0"/>
                <w:color w:val="auto"/>
              </w:rPr>
              <w:t>44</w:t>
            </w:r>
          </w:p>
        </w:tc>
        <w:tc>
          <w:tcPr>
            <w:tcW w:w="2319" w:type="dxa"/>
            <w:tcBorders>
              <w:top w:val="nil"/>
              <w:left w:val="nil"/>
              <w:bottom w:val="single" w:color="auto" w:sz="12" w:space="0"/>
              <w:right w:val="nil"/>
            </w:tcBorders>
            <w:shd w:val="clear" w:color="auto" w:fill="auto"/>
          </w:tcPr>
          <w:p>
            <w:pPr>
              <w:jc w:val="right"/>
              <w:rPr>
                <w:rFonts w:hint="default" w:ascii="Times New Roman" w:hAnsi="Times New Roman" w:cs="Times New Roman"/>
                <w:b/>
                <w:bCs w:val="0"/>
                <w:color w:val="auto"/>
              </w:rPr>
            </w:pPr>
            <w:r>
              <w:rPr>
                <w:rFonts w:hint="default" w:ascii="Times New Roman" w:hAnsi="Times New Roman" w:cs="Times New Roman"/>
                <w:b/>
                <w:bCs w:val="0"/>
                <w:color w:val="auto"/>
              </w:rPr>
              <w:t>0.2</w:t>
            </w:r>
          </w:p>
        </w:tc>
      </w:tr>
    </w:tbl>
    <w:p>
      <w:pPr>
        <w:snapToGrid w:val="0"/>
        <w:spacing w:before="100" w:beforeAutospacing="1"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年末，全区第二产业和第三产业法人单位从业人员</w:t>
      </w:r>
      <w:r>
        <w:rPr>
          <w:rFonts w:hint="default" w:ascii="Times New Roman" w:hAnsi="Times New Roman" w:eastAsia="方正仿宋_GBK" w:cs="Times New Roman"/>
          <w:color w:val="auto"/>
          <w:sz w:val="32"/>
          <w:szCs w:val="32"/>
        </w:rPr>
        <w:t>378617</w:t>
      </w:r>
      <w:r>
        <w:rPr>
          <w:rFonts w:hint="eastAsia" w:eastAsia="方正仿宋_GBK"/>
          <w:color w:val="auto"/>
          <w:sz w:val="32"/>
          <w:szCs w:val="32"/>
        </w:rPr>
        <w:t>人，比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年末增加</w:t>
      </w:r>
      <w:r>
        <w:rPr>
          <w:rFonts w:hint="default" w:ascii="Times New Roman" w:hAnsi="Times New Roman" w:eastAsia="方正仿宋_GBK" w:cs="Times New Roman"/>
          <w:color w:val="auto"/>
          <w:sz w:val="32"/>
          <w:szCs w:val="32"/>
        </w:rPr>
        <w:t>41176</w:t>
      </w:r>
      <w:r>
        <w:rPr>
          <w:rFonts w:hint="eastAsia" w:eastAsia="方正仿宋_GBK"/>
          <w:color w:val="auto"/>
          <w:sz w:val="32"/>
          <w:szCs w:val="32"/>
        </w:rPr>
        <w:t>人，增长</w:t>
      </w:r>
      <w:r>
        <w:rPr>
          <w:rFonts w:hint="default" w:ascii="Times New Roman" w:hAnsi="Times New Roman" w:eastAsia="方正仿宋_GBK" w:cs="Times New Roman"/>
          <w:color w:val="auto"/>
          <w:sz w:val="32"/>
          <w:szCs w:val="32"/>
        </w:rPr>
        <w:t>12.2%</w:t>
      </w:r>
      <w:r>
        <w:rPr>
          <w:rFonts w:hint="eastAsia" w:eastAsia="方正仿宋_GBK"/>
          <w:color w:val="auto"/>
          <w:sz w:val="32"/>
          <w:szCs w:val="32"/>
        </w:rPr>
        <w:t>，其中</w:t>
      </w:r>
      <w:r>
        <w:rPr>
          <w:rFonts w:eastAsia="方正仿宋_GBK"/>
          <w:color w:val="auto"/>
          <w:sz w:val="32"/>
          <w:szCs w:val="32"/>
        </w:rPr>
        <w:t>女性从业人员</w:t>
      </w:r>
      <w:r>
        <w:rPr>
          <w:rFonts w:hint="default" w:ascii="Times New Roman" w:hAnsi="Times New Roman" w:eastAsia="方正仿宋_GBK" w:cs="Times New Roman"/>
          <w:color w:val="auto"/>
          <w:sz w:val="32"/>
          <w:szCs w:val="32"/>
        </w:rPr>
        <w:t>148991</w:t>
      </w:r>
      <w:r>
        <w:rPr>
          <w:rFonts w:eastAsia="方正仿宋_GBK"/>
          <w:color w:val="auto"/>
          <w:sz w:val="32"/>
          <w:szCs w:val="32"/>
        </w:rPr>
        <w:t>人</w:t>
      </w:r>
      <w:r>
        <w:rPr>
          <w:rFonts w:hint="eastAsia" w:eastAsia="方正仿宋_GBK"/>
          <w:color w:val="auto"/>
          <w:sz w:val="32"/>
          <w:szCs w:val="32"/>
        </w:rPr>
        <w:t>。第二产业的从业人员为</w:t>
      </w:r>
      <w:r>
        <w:rPr>
          <w:rFonts w:hint="default" w:ascii="Times New Roman" w:hAnsi="Times New Roman" w:eastAsia="方正仿宋_GBK" w:cs="Times New Roman"/>
          <w:color w:val="auto"/>
          <w:sz w:val="32"/>
          <w:szCs w:val="32"/>
        </w:rPr>
        <w:t>130354</w:t>
      </w:r>
      <w:r>
        <w:rPr>
          <w:rFonts w:hint="eastAsia" w:eastAsia="方正仿宋_GBK"/>
          <w:color w:val="auto"/>
          <w:sz w:val="32"/>
          <w:szCs w:val="32"/>
        </w:rPr>
        <w:t>人，减少</w:t>
      </w:r>
      <w:r>
        <w:rPr>
          <w:rFonts w:hint="default" w:ascii="Times New Roman" w:hAnsi="Times New Roman" w:eastAsia="方正仿宋_GBK" w:cs="Times New Roman"/>
          <w:color w:val="auto"/>
          <w:sz w:val="32"/>
          <w:szCs w:val="32"/>
        </w:rPr>
        <w:t>32105</w:t>
      </w:r>
      <w:r>
        <w:rPr>
          <w:rFonts w:hint="eastAsia" w:eastAsia="方正仿宋_GBK"/>
          <w:color w:val="auto"/>
          <w:sz w:val="32"/>
          <w:szCs w:val="32"/>
        </w:rPr>
        <w:t>人，下降</w:t>
      </w:r>
      <w:r>
        <w:rPr>
          <w:rFonts w:hint="default" w:ascii="Times New Roman" w:hAnsi="Times New Roman" w:eastAsia="方正仿宋_GBK" w:cs="Times New Roman"/>
          <w:color w:val="auto"/>
          <w:sz w:val="32"/>
          <w:szCs w:val="32"/>
        </w:rPr>
        <w:t>19.8%</w:t>
      </w:r>
      <w:r>
        <w:rPr>
          <w:rFonts w:hint="eastAsia" w:eastAsia="方正仿宋_GBK"/>
          <w:color w:val="auto"/>
          <w:sz w:val="32"/>
          <w:szCs w:val="32"/>
        </w:rPr>
        <w:t>；第三产业的从业人员为</w:t>
      </w:r>
      <w:r>
        <w:rPr>
          <w:rFonts w:hint="default" w:ascii="Times New Roman" w:hAnsi="Times New Roman" w:eastAsia="方正仿宋_GBK" w:cs="Times New Roman"/>
          <w:color w:val="auto"/>
          <w:sz w:val="32"/>
          <w:szCs w:val="32"/>
        </w:rPr>
        <w:t>248168</w:t>
      </w:r>
      <w:r>
        <w:rPr>
          <w:rFonts w:hint="eastAsia" w:eastAsia="方正仿宋_GBK"/>
          <w:color w:val="auto"/>
          <w:sz w:val="32"/>
          <w:szCs w:val="32"/>
        </w:rPr>
        <w:t>人，增加</w:t>
      </w:r>
      <w:r>
        <w:rPr>
          <w:rFonts w:hint="default" w:ascii="Times New Roman" w:hAnsi="Times New Roman" w:eastAsia="方正仿宋_GBK" w:cs="Times New Roman"/>
          <w:color w:val="auto"/>
          <w:sz w:val="32"/>
          <w:szCs w:val="32"/>
        </w:rPr>
        <w:t>73339</w:t>
      </w:r>
      <w:r>
        <w:rPr>
          <w:rFonts w:hint="eastAsia" w:eastAsia="方正仿宋_GBK"/>
          <w:color w:val="auto"/>
          <w:sz w:val="32"/>
          <w:szCs w:val="32"/>
        </w:rPr>
        <w:t>人，增长</w:t>
      </w:r>
      <w:r>
        <w:rPr>
          <w:rFonts w:hint="default" w:ascii="Times New Roman" w:hAnsi="Times New Roman" w:eastAsia="方正仿宋_GBK" w:cs="Times New Roman"/>
          <w:color w:val="auto"/>
          <w:sz w:val="32"/>
          <w:szCs w:val="32"/>
        </w:rPr>
        <w:t>41.9%</w:t>
      </w:r>
      <w:r>
        <w:rPr>
          <w:rFonts w:hint="eastAsia" w:eastAsia="方正仿宋_GBK"/>
          <w:color w:val="auto"/>
          <w:sz w:val="32"/>
          <w:szCs w:val="32"/>
        </w:rPr>
        <w:t>。</w:t>
      </w:r>
    </w:p>
    <w:p>
      <w:pPr>
        <w:snapToGrid w:val="0"/>
        <w:spacing w:line="600" w:lineRule="exact"/>
        <w:ind w:firstLine="640" w:firstLineChars="200"/>
        <w:rPr>
          <w:rFonts w:hint="eastAsia" w:eastAsia="方正仿宋_GBK"/>
          <w:color w:val="auto"/>
          <w:sz w:val="32"/>
          <w:szCs w:val="32"/>
        </w:rPr>
      </w:pPr>
      <w:r>
        <w:rPr>
          <w:rFonts w:hint="eastAsia" w:eastAsia="方正仿宋_GBK"/>
          <w:color w:val="auto"/>
          <w:sz w:val="32"/>
          <w:szCs w:val="32"/>
        </w:rPr>
        <w:t>在法人单位从业人员中，位居前三位的行业是：制造业</w:t>
      </w:r>
      <w:r>
        <w:rPr>
          <w:rFonts w:hint="default" w:ascii="Times New Roman" w:hAnsi="Times New Roman" w:eastAsia="方正仿宋_GBK" w:cs="Times New Roman"/>
          <w:color w:val="auto"/>
          <w:sz w:val="32"/>
          <w:szCs w:val="32"/>
        </w:rPr>
        <w:t>69923</w:t>
      </w:r>
      <w:r>
        <w:rPr>
          <w:rFonts w:hint="eastAsia" w:eastAsia="方正仿宋_GBK"/>
          <w:color w:val="auto"/>
          <w:sz w:val="32"/>
          <w:szCs w:val="32"/>
        </w:rPr>
        <w:t>人，占</w:t>
      </w:r>
      <w:r>
        <w:rPr>
          <w:rFonts w:hint="default" w:ascii="Times New Roman" w:hAnsi="Times New Roman" w:eastAsia="方正仿宋_GBK" w:cs="Times New Roman"/>
          <w:color w:val="auto"/>
          <w:sz w:val="32"/>
          <w:szCs w:val="32"/>
        </w:rPr>
        <w:t>18.5%</w:t>
      </w:r>
      <w:r>
        <w:rPr>
          <w:rFonts w:hint="eastAsia" w:eastAsia="方正仿宋_GBK"/>
          <w:color w:val="auto"/>
          <w:sz w:val="32"/>
          <w:szCs w:val="32"/>
        </w:rPr>
        <w:t>；建筑业</w:t>
      </w:r>
      <w:r>
        <w:rPr>
          <w:rFonts w:hint="default" w:ascii="Times New Roman" w:hAnsi="Times New Roman" w:eastAsia="方正仿宋_GBK" w:cs="Times New Roman"/>
          <w:color w:val="auto"/>
          <w:sz w:val="32"/>
          <w:szCs w:val="32"/>
        </w:rPr>
        <w:t>59992</w:t>
      </w:r>
      <w:r>
        <w:rPr>
          <w:rFonts w:hint="eastAsia" w:eastAsia="方正仿宋_GBK"/>
          <w:color w:val="auto"/>
          <w:sz w:val="32"/>
          <w:szCs w:val="32"/>
        </w:rPr>
        <w:t>人，占</w:t>
      </w:r>
      <w:r>
        <w:rPr>
          <w:rFonts w:hint="default" w:ascii="Times New Roman" w:hAnsi="Times New Roman" w:eastAsia="方正仿宋_GBK" w:cs="Times New Roman"/>
          <w:color w:val="auto"/>
          <w:sz w:val="32"/>
          <w:szCs w:val="32"/>
        </w:rPr>
        <w:t>15.8%</w:t>
      </w:r>
      <w:r>
        <w:rPr>
          <w:rFonts w:hint="eastAsia" w:eastAsia="方正仿宋_GBK"/>
          <w:color w:val="auto"/>
          <w:sz w:val="32"/>
          <w:szCs w:val="32"/>
        </w:rPr>
        <w:t>；批发和零售业</w:t>
      </w:r>
      <w:r>
        <w:rPr>
          <w:rFonts w:hint="default" w:ascii="Times New Roman" w:hAnsi="Times New Roman" w:eastAsia="方正仿宋_GBK" w:cs="Times New Roman"/>
          <w:color w:val="auto"/>
          <w:sz w:val="32"/>
          <w:szCs w:val="32"/>
        </w:rPr>
        <w:t>58941</w:t>
      </w:r>
      <w:r>
        <w:rPr>
          <w:rFonts w:hint="eastAsia" w:eastAsia="方正仿宋_GBK"/>
          <w:color w:val="auto"/>
          <w:sz w:val="32"/>
          <w:szCs w:val="32"/>
        </w:rPr>
        <w:t>人，占</w:t>
      </w:r>
      <w:r>
        <w:rPr>
          <w:rFonts w:hint="default" w:ascii="Times New Roman" w:hAnsi="Times New Roman" w:eastAsia="方正仿宋_GBK" w:cs="Times New Roman"/>
          <w:color w:val="auto"/>
          <w:sz w:val="32"/>
          <w:szCs w:val="32"/>
        </w:rPr>
        <w:t>15.6%</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4</w:t>
      </w:r>
      <w:r>
        <w:rPr>
          <w:rFonts w:hint="eastAsia" w:eastAsia="方正仿宋_GBK"/>
          <w:color w:val="auto"/>
          <w:sz w:val="32"/>
          <w:szCs w:val="32"/>
        </w:rPr>
        <w:t>）。</w:t>
      </w:r>
    </w:p>
    <w:p>
      <w:pPr>
        <w:snapToGrid w:val="0"/>
        <w:spacing w:line="600" w:lineRule="exact"/>
        <w:rPr>
          <w:rFonts w:hint="eastAsia" w:eastAsia="方正仿宋_GBK"/>
          <w:color w:val="auto"/>
          <w:sz w:val="32"/>
          <w:szCs w:val="32"/>
        </w:rPr>
      </w:pP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2-</w:t>
      </w:r>
      <w:r>
        <w:rPr>
          <w:rFonts w:hint="eastAsia" w:ascii="方正小标宋_GBK" w:eastAsia="方正小标宋_GBK"/>
          <w:bCs/>
          <w:color w:val="auto"/>
          <w:kern w:val="0"/>
          <w:sz w:val="28"/>
        </w:rPr>
        <w:t>4　按行业门类分组的法人单位从业人员</w:t>
      </w:r>
    </w:p>
    <w:tbl>
      <w:tblPr>
        <w:tblStyle w:val="4"/>
        <w:tblW w:w="6368" w:type="pct"/>
        <w:tblInd w:w="28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087"/>
        <w:gridCol w:w="2196"/>
        <w:gridCol w:w="2012"/>
        <w:gridCol w:w="29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gridAfter w:val="1"/>
          <w:wAfter w:w="1316" w:type="pct"/>
          <w:trHeight w:val="415" w:hRule="atLeast"/>
        </w:trPr>
        <w:tc>
          <w:tcPr>
            <w:tcW w:w="1814" w:type="pct"/>
            <w:vMerge w:val="restart"/>
            <w:tcBorders>
              <w:top w:val="single" w:color="auto" w:sz="12" w:space="0"/>
              <w:left w:val="nil"/>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b/>
                <w:color w:val="auto"/>
                <w:kern w:val="0"/>
                <w:szCs w:val="21"/>
              </w:rPr>
              <w:t> </w:t>
            </w:r>
          </w:p>
        </w:tc>
        <w:tc>
          <w:tcPr>
            <w:tcW w:w="975" w:type="pct"/>
            <w:vMerge w:val="restart"/>
            <w:tcBorders>
              <w:top w:val="single" w:color="auto" w:sz="12" w:space="0"/>
              <w:left w:val="single" w:color="auto" w:sz="4" w:space="0"/>
              <w:right w:val="nil"/>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法人单位从业人员</w:t>
            </w:r>
          </w:p>
          <w:p>
            <w:pPr>
              <w:widowControl/>
              <w:spacing w:line="280" w:lineRule="exact"/>
              <w:ind w:left="57" w:right="57"/>
              <w:jc w:val="center"/>
              <w:rPr>
                <w:rFonts w:eastAsia="黑体"/>
                <w:color w:val="auto"/>
                <w:kern w:val="0"/>
                <w:szCs w:val="21"/>
              </w:rPr>
            </w:pPr>
            <w:r>
              <w:rPr>
                <w:rFonts w:hint="eastAsia" w:eastAsia="黑体"/>
                <w:color w:val="auto"/>
                <w:kern w:val="0"/>
                <w:szCs w:val="21"/>
              </w:rPr>
              <w:t>（人）</w:t>
            </w:r>
          </w:p>
        </w:tc>
        <w:tc>
          <w:tcPr>
            <w:tcW w:w="893" w:type="pct"/>
            <w:tcBorders>
              <w:top w:val="single" w:color="auto" w:sz="12" w:space="0"/>
              <w:left w:val="nil"/>
              <w:bottom w:val="single" w:color="auto" w:sz="4" w:space="0"/>
              <w:right w:val="nil"/>
            </w:tcBorders>
            <w:vAlign w:val="center"/>
          </w:tcPr>
          <w:p>
            <w:pPr>
              <w:widowControl/>
              <w:spacing w:line="280" w:lineRule="exact"/>
              <w:ind w:left="57" w:right="57"/>
              <w:jc w:val="center"/>
              <w:rPr>
                <w:rFonts w:eastAsia="黑体"/>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vMerge w:val="continue"/>
            <w:tcBorders>
              <w:left w:val="nil"/>
              <w:bottom w:val="single" w:color="auto" w:sz="4" w:space="0"/>
              <w:right w:val="single" w:color="auto" w:sz="4" w:space="0"/>
            </w:tcBorders>
            <w:vAlign w:val="center"/>
          </w:tcPr>
          <w:p>
            <w:pPr>
              <w:widowControl/>
              <w:spacing w:line="240" w:lineRule="atLeast"/>
              <w:ind w:left="57" w:right="57"/>
              <w:jc w:val="center"/>
              <w:rPr>
                <w:color w:val="auto"/>
                <w:kern w:val="0"/>
                <w:szCs w:val="21"/>
              </w:rPr>
            </w:pPr>
          </w:p>
        </w:tc>
        <w:tc>
          <w:tcPr>
            <w:tcW w:w="975" w:type="pct"/>
            <w:vMerge w:val="continue"/>
            <w:tcBorders>
              <w:left w:val="single" w:color="auto" w:sz="4" w:space="0"/>
              <w:bottom w:val="single" w:color="auto" w:sz="4" w:space="0"/>
              <w:right w:val="single" w:color="auto" w:sz="4" w:space="0"/>
            </w:tcBorders>
            <w:vAlign w:val="center"/>
          </w:tcPr>
          <w:p>
            <w:pPr>
              <w:widowControl/>
              <w:spacing w:line="280" w:lineRule="exact"/>
              <w:ind w:left="57" w:right="57"/>
              <w:jc w:val="center"/>
              <w:rPr>
                <w:rFonts w:eastAsia="黑体"/>
                <w:color w:val="auto"/>
                <w:kern w:val="0"/>
                <w:szCs w:val="21"/>
              </w:rPr>
            </w:pPr>
          </w:p>
        </w:tc>
        <w:tc>
          <w:tcPr>
            <w:tcW w:w="893" w:type="pct"/>
            <w:tcBorders>
              <w:top w:val="single" w:color="auto" w:sz="4" w:space="0"/>
              <w:left w:val="single" w:color="auto" w:sz="4" w:space="0"/>
              <w:bottom w:val="single" w:color="auto" w:sz="4" w:space="0"/>
              <w:right w:val="nil"/>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其中:女性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975" w:type="pct"/>
            <w:tcBorders>
              <w:top w:val="single" w:color="auto" w:sz="4" w:space="0"/>
              <w:left w:val="nil"/>
              <w:bottom w:val="nil"/>
              <w:right w:val="single" w:color="auto" w:sz="4" w:space="0"/>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378617</w:t>
            </w:r>
          </w:p>
        </w:tc>
        <w:tc>
          <w:tcPr>
            <w:tcW w:w="893" w:type="pct"/>
            <w:tcBorders>
              <w:top w:val="single" w:color="auto" w:sz="4" w:space="0"/>
              <w:left w:val="single" w:color="auto" w:sz="4" w:space="0"/>
              <w:bottom w:val="nil"/>
              <w:right w:val="nil"/>
            </w:tcBorders>
            <w:shd w:val="clear" w:color="auto" w:fill="auto"/>
          </w:tcPr>
          <w:p>
            <w:pPr>
              <w:jc w:val="right"/>
              <w:rPr>
                <w:rFonts w:hint="default" w:ascii="Times New Roman" w:hAnsi="Times New Roman" w:cs="Times New Roman"/>
                <w:b/>
                <w:bCs/>
                <w:color w:val="auto"/>
              </w:rPr>
            </w:pPr>
            <w:r>
              <w:rPr>
                <w:rFonts w:hint="default" w:ascii="Times New Roman" w:hAnsi="Times New Roman" w:cs="Times New Roman"/>
                <w:b/>
                <w:bCs/>
                <w:color w:val="auto"/>
              </w:rPr>
              <w:t>148991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采矿业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17</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制造业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69923</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26717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电力、热力、燃气及水生产和供应业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422</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建筑业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59992</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10289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批发和零售业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58941</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30900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交通运输、仓储和邮政业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15334</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2851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住宿和餐饮业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9278</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5375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信息传输、软件和信息技术服务业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18750</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7457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金融业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3094</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1711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房地产业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23492</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9650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租赁和商务服务业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33820</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10450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科学研究和技术服务业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18030</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5727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水利、环境和公共设施管理业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6832</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3857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居民服务、修理和其他服务业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7750</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4032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教育</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23215</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14597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卫生和社会工作</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9490</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6832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415" w:hRule="atLeast"/>
        </w:trPr>
        <w:tc>
          <w:tcPr>
            <w:tcW w:w="1814" w:type="pct"/>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文化、体育和娱乐业</w:t>
            </w:r>
          </w:p>
        </w:tc>
        <w:tc>
          <w:tcPr>
            <w:tcW w:w="975" w:type="pct"/>
            <w:tcBorders>
              <w:top w:val="nil"/>
              <w:left w:val="nil"/>
              <w:bottom w:val="nil"/>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6995</w:t>
            </w:r>
          </w:p>
        </w:tc>
        <w:tc>
          <w:tcPr>
            <w:tcW w:w="893" w:type="pct"/>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3353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316" w:type="pct"/>
          <w:trHeight w:val="371" w:hRule="atLeast"/>
        </w:trPr>
        <w:tc>
          <w:tcPr>
            <w:tcW w:w="1814" w:type="pct"/>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公共管理、社会保障和社会组织</w:t>
            </w:r>
          </w:p>
        </w:tc>
        <w:tc>
          <w:tcPr>
            <w:tcW w:w="975" w:type="pct"/>
            <w:tcBorders>
              <w:top w:val="nil"/>
              <w:left w:val="nil"/>
              <w:bottom w:val="single" w:color="auto" w:sz="12" w:space="0"/>
              <w:right w:val="single" w:color="auto" w:sz="4" w:space="0"/>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13165</w:t>
            </w:r>
          </w:p>
        </w:tc>
        <w:tc>
          <w:tcPr>
            <w:tcW w:w="893" w:type="pct"/>
            <w:tcBorders>
              <w:top w:val="nil"/>
              <w:left w:val="single" w:color="auto" w:sz="4" w:space="0"/>
              <w:bottom w:val="single" w:color="auto" w:sz="12" w:space="0"/>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5013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5" w:hRule="atLeast"/>
        </w:trPr>
        <w:tc>
          <w:tcPr>
            <w:tcW w:w="5000" w:type="pct"/>
            <w:gridSpan w:val="4"/>
            <w:tcBorders>
              <w:top w:val="nil"/>
              <w:left w:val="nil"/>
              <w:bottom w:val="nil"/>
              <w:right w:val="nil"/>
            </w:tcBorders>
            <w:shd w:val="clear" w:color="auto" w:fill="FFFFFF"/>
          </w:tcPr>
          <w:p>
            <w:pPr>
              <w:widowControl/>
              <w:spacing w:line="240" w:lineRule="atLeast"/>
              <w:ind w:right="57"/>
              <w:jc w:val="left"/>
              <w:rPr>
                <w:rFonts w:ascii="楷体" w:hAnsi="楷体" w:eastAsia="楷体" w:cs="宋体"/>
                <w:color w:val="auto"/>
                <w:kern w:val="0"/>
                <w:szCs w:val="21"/>
              </w:rPr>
            </w:pPr>
            <w:r>
              <w:rPr>
                <w:rFonts w:hint="eastAsia" w:ascii="楷体" w:hAnsi="楷体" w:eastAsia="楷体" w:cs="宋体"/>
                <w:color w:val="auto"/>
                <w:kern w:val="0"/>
                <w:szCs w:val="21"/>
              </w:rPr>
              <w:t>注：表中合计数含从事农、林、牧、渔专业及</w:t>
            </w:r>
            <w:r>
              <w:rPr>
                <w:rFonts w:ascii="楷体" w:hAnsi="楷体" w:eastAsia="楷体" w:cs="宋体"/>
                <w:color w:val="auto"/>
                <w:kern w:val="0"/>
                <w:szCs w:val="21"/>
              </w:rPr>
              <w:t>辅助性活动</w:t>
            </w:r>
            <w:r>
              <w:rPr>
                <w:rFonts w:hint="eastAsia" w:ascii="楷体" w:hAnsi="楷体" w:eastAsia="楷体" w:cs="宋体"/>
                <w:color w:val="auto"/>
                <w:kern w:val="0"/>
                <w:szCs w:val="21"/>
              </w:rPr>
              <w:t>的法人单位</w:t>
            </w:r>
            <w:r>
              <w:rPr>
                <w:rFonts w:ascii="楷体" w:hAnsi="楷体" w:eastAsia="楷体" w:cs="宋体"/>
                <w:color w:val="auto"/>
                <w:kern w:val="0"/>
                <w:szCs w:val="21"/>
              </w:rPr>
              <w:t>从业人员</w:t>
            </w:r>
            <w:r>
              <w:rPr>
                <w:rFonts w:hint="eastAsia" w:ascii="楷体" w:hAnsi="楷体" w:eastAsia="楷体" w:cs="宋体"/>
                <w:color w:val="auto"/>
                <w:kern w:val="0"/>
                <w:szCs w:val="21"/>
              </w:rPr>
              <w:t>。</w:t>
            </w:r>
          </w:p>
        </w:tc>
      </w:tr>
    </w:tbl>
    <w:p>
      <w:pPr>
        <w:keepNext w:val="0"/>
        <w:keepLines w:val="0"/>
        <w:pageBreakBefore w:val="0"/>
        <w:widowControl w:val="0"/>
        <w:kinsoku/>
        <w:wordWrap/>
        <w:overflowPunct/>
        <w:topLinePunct w:val="0"/>
        <w:autoSpaceDE/>
        <w:autoSpaceDN/>
        <w:bidi w:val="0"/>
        <w:adjustRightInd/>
        <w:snapToGrid w:val="0"/>
        <w:spacing w:before="100" w:beforeAutospacing="1" w:line="600" w:lineRule="exact"/>
        <w:ind w:firstLine="640" w:firstLineChars="200"/>
        <w:textAlignment w:val="auto"/>
        <w:rPr>
          <w:rFonts w:ascii="方正黑体_GBK" w:eastAsia="方正黑体_GBK"/>
          <w:color w:val="auto"/>
          <w:sz w:val="32"/>
          <w:szCs w:val="32"/>
        </w:rPr>
      </w:pPr>
      <w:r>
        <w:rPr>
          <w:rFonts w:hint="eastAsia" w:ascii="方正黑体_GBK" w:eastAsia="方正黑体_GBK"/>
          <w:color w:val="auto"/>
          <w:sz w:val="32"/>
          <w:szCs w:val="32"/>
        </w:rPr>
        <w:t>三、资产</w:t>
      </w:r>
      <w:r>
        <w:rPr>
          <w:rFonts w:ascii="方正黑体_GBK" w:eastAsia="方正黑体_GBK"/>
          <w:color w:val="auto"/>
          <w:sz w:val="32"/>
          <w:szCs w:val="32"/>
        </w:rPr>
        <w:t>负债状况</w:t>
      </w:r>
      <w:r>
        <w:rPr>
          <w:rFonts w:hint="eastAsia" w:ascii="方正黑体_GBK" w:eastAsia="方正黑体_GBK"/>
          <w:color w:val="auto"/>
          <w:sz w:val="32"/>
          <w:szCs w:val="32"/>
        </w:rPr>
        <w:t>和</w:t>
      </w:r>
      <w:r>
        <w:rPr>
          <w:rFonts w:ascii="方正黑体_GBK" w:eastAsia="方正黑体_GBK"/>
          <w:color w:val="auto"/>
          <w:sz w:val="32"/>
          <w:szCs w:val="32"/>
        </w:rPr>
        <w:t>营业收入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年末，全区第二产业和不含</w:t>
      </w:r>
      <w:r>
        <w:rPr>
          <w:rFonts w:eastAsia="方正仿宋_GBK"/>
          <w:color w:val="auto"/>
          <w:sz w:val="32"/>
          <w:szCs w:val="32"/>
        </w:rPr>
        <w:t>金融业</w:t>
      </w:r>
      <w:r>
        <w:rPr>
          <w:rFonts w:hint="eastAsia" w:eastAsia="方正仿宋_GBK"/>
          <w:color w:val="auto"/>
          <w:sz w:val="32"/>
          <w:szCs w:val="32"/>
        </w:rPr>
        <w:t>的第三产业法人单位资产总计</w:t>
      </w:r>
      <w:r>
        <w:rPr>
          <w:rFonts w:hint="default" w:ascii="Times New Roman" w:hAnsi="Times New Roman" w:eastAsia="方正仿宋_GBK" w:cs="Times New Roman"/>
          <w:color w:val="auto"/>
          <w:sz w:val="32"/>
          <w:szCs w:val="32"/>
        </w:rPr>
        <w:t>7196.31</w:t>
      </w:r>
      <w:r>
        <w:rPr>
          <w:rFonts w:hint="eastAsia" w:eastAsia="方正仿宋_GBK"/>
          <w:color w:val="auto"/>
          <w:sz w:val="32"/>
          <w:szCs w:val="32"/>
        </w:rPr>
        <w:t>亿元。其中，第二产业法人单位资产总计占比为</w:t>
      </w:r>
      <w:r>
        <w:rPr>
          <w:rFonts w:hint="default" w:ascii="Times New Roman" w:hAnsi="Times New Roman" w:eastAsia="方正仿宋_GBK" w:cs="Times New Roman"/>
          <w:color w:val="auto"/>
          <w:sz w:val="32"/>
          <w:szCs w:val="32"/>
        </w:rPr>
        <w:t>16.3%</w:t>
      </w:r>
      <w:r>
        <w:rPr>
          <w:rFonts w:hint="eastAsia" w:eastAsia="方正仿宋_GBK"/>
          <w:color w:val="auto"/>
          <w:sz w:val="32"/>
          <w:szCs w:val="32"/>
        </w:rPr>
        <w:t>，第三产业法人单位资产总计占比</w:t>
      </w:r>
      <w:r>
        <w:rPr>
          <w:rFonts w:eastAsia="方正仿宋_GBK"/>
          <w:color w:val="auto"/>
          <w:sz w:val="32"/>
          <w:szCs w:val="32"/>
        </w:rPr>
        <w:t>为</w:t>
      </w:r>
      <w:r>
        <w:rPr>
          <w:rFonts w:hint="default" w:ascii="Times New Roman" w:hAnsi="Times New Roman" w:eastAsia="方正仿宋_GBK" w:cs="Times New Roman"/>
          <w:color w:val="auto"/>
          <w:sz w:val="32"/>
          <w:szCs w:val="32"/>
        </w:rPr>
        <w:t>83.7%</w:t>
      </w:r>
      <w:r>
        <w:rPr>
          <w:rFonts w:hint="eastAsia" w:eastAsia="方正仿宋_GBK"/>
          <w:color w:val="auto"/>
          <w:sz w:val="32"/>
          <w:szCs w:val="32"/>
        </w:rPr>
        <w:t>。不含</w:t>
      </w:r>
      <w:r>
        <w:rPr>
          <w:rFonts w:eastAsia="方正仿宋_GBK"/>
          <w:color w:val="auto"/>
          <w:sz w:val="32"/>
          <w:szCs w:val="32"/>
        </w:rPr>
        <w:t>金融业的</w:t>
      </w:r>
      <w:r>
        <w:rPr>
          <w:rFonts w:hint="eastAsia" w:eastAsia="方正仿宋_GBK"/>
          <w:color w:val="auto"/>
          <w:sz w:val="32"/>
          <w:szCs w:val="32"/>
        </w:rPr>
        <w:t>法人单位负债</w:t>
      </w:r>
      <w:r>
        <w:rPr>
          <w:rFonts w:eastAsia="方正仿宋_GBK"/>
          <w:color w:val="auto"/>
          <w:sz w:val="32"/>
          <w:szCs w:val="32"/>
        </w:rPr>
        <w:t>合计</w:t>
      </w:r>
      <w:r>
        <w:rPr>
          <w:rFonts w:hint="default" w:ascii="Times New Roman" w:hAnsi="Times New Roman" w:eastAsia="方正仿宋_GBK" w:cs="Times New Roman"/>
          <w:color w:val="auto"/>
          <w:sz w:val="32"/>
          <w:szCs w:val="32"/>
        </w:rPr>
        <w:t>4392.77</w:t>
      </w:r>
      <w:r>
        <w:rPr>
          <w:rFonts w:hint="eastAsia" w:eastAsia="方正仿宋_GBK"/>
          <w:color w:val="auto"/>
          <w:sz w:val="32"/>
          <w:szCs w:val="32"/>
        </w:rPr>
        <w:t>亿元。其中，第二产业法人单位负债合计占比为</w:t>
      </w:r>
      <w:r>
        <w:rPr>
          <w:rFonts w:hint="default" w:ascii="Times New Roman" w:hAnsi="Times New Roman" w:eastAsia="方正仿宋_GBK" w:cs="Times New Roman"/>
          <w:color w:val="auto"/>
          <w:sz w:val="32"/>
          <w:szCs w:val="32"/>
        </w:rPr>
        <w:t>15.6%</w:t>
      </w:r>
      <w:r>
        <w:rPr>
          <w:rFonts w:hint="eastAsia" w:eastAsia="方正仿宋_GBK"/>
          <w:color w:val="auto"/>
          <w:sz w:val="32"/>
          <w:szCs w:val="32"/>
        </w:rPr>
        <w:t>，第三产业法人单位负债合计占比为</w:t>
      </w:r>
      <w:r>
        <w:rPr>
          <w:rFonts w:hint="default" w:ascii="Times New Roman" w:hAnsi="Times New Roman" w:eastAsia="方正仿宋_GBK" w:cs="Times New Roman"/>
          <w:color w:val="auto"/>
          <w:sz w:val="32"/>
          <w:szCs w:val="32"/>
        </w:rPr>
        <w:t>84.4%</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w:t>
      </w:r>
      <w:r>
        <w:rPr>
          <w:rFonts w:eastAsia="方正仿宋_GBK"/>
          <w:color w:val="auto"/>
          <w:sz w:val="32"/>
          <w:szCs w:val="32"/>
        </w:rPr>
        <w:t>，</w:t>
      </w:r>
      <w:r>
        <w:rPr>
          <w:rFonts w:hint="eastAsia" w:eastAsia="方正仿宋_GBK"/>
          <w:color w:val="auto"/>
          <w:sz w:val="32"/>
          <w:szCs w:val="32"/>
        </w:rPr>
        <w:t>全区第二产业和不含</w:t>
      </w:r>
      <w:r>
        <w:rPr>
          <w:rFonts w:eastAsia="方正仿宋_GBK"/>
          <w:color w:val="auto"/>
          <w:sz w:val="32"/>
          <w:szCs w:val="32"/>
        </w:rPr>
        <w:t>金融业</w:t>
      </w:r>
      <w:r>
        <w:rPr>
          <w:rFonts w:hint="eastAsia" w:eastAsia="方正仿宋_GBK"/>
          <w:color w:val="auto"/>
          <w:sz w:val="32"/>
          <w:szCs w:val="32"/>
        </w:rPr>
        <w:t>的第三产业企业法人单位实现营业收入</w:t>
      </w:r>
      <w:r>
        <w:rPr>
          <w:rFonts w:hint="eastAsia" w:ascii="Times New Roman" w:hAnsi="Times New Roman" w:eastAsia="方正仿宋_GBK" w:cs="Times New Roman"/>
          <w:color w:val="auto"/>
          <w:sz w:val="32"/>
          <w:szCs w:val="32"/>
          <w:lang w:val="en-US" w:eastAsia="zh-CN"/>
        </w:rPr>
        <w:t>2894.99</w:t>
      </w:r>
      <w:r>
        <w:rPr>
          <w:rFonts w:hint="eastAsia" w:eastAsia="方正仿宋_GBK"/>
          <w:color w:val="auto"/>
          <w:sz w:val="32"/>
          <w:szCs w:val="32"/>
        </w:rPr>
        <w:t>亿元。其中，第二产业营业收入占比为</w:t>
      </w:r>
      <w:r>
        <w:rPr>
          <w:rFonts w:hint="default" w:ascii="Times New Roman" w:hAnsi="Times New Roman" w:eastAsia="方正仿宋_GBK" w:cs="Times New Roman"/>
          <w:color w:val="auto"/>
          <w:sz w:val="32"/>
          <w:szCs w:val="32"/>
        </w:rPr>
        <w:t>41.</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w:t>
      </w:r>
      <w:r>
        <w:rPr>
          <w:rFonts w:hint="eastAsia" w:eastAsia="方正仿宋_GBK"/>
          <w:color w:val="auto"/>
          <w:sz w:val="32"/>
          <w:szCs w:val="32"/>
        </w:rPr>
        <w:t>，第三产业营业收入占比为</w:t>
      </w:r>
      <w:r>
        <w:rPr>
          <w:rFonts w:hint="default" w:ascii="Times New Roman" w:hAnsi="Times New Roman" w:eastAsia="方正仿宋_GBK" w:cs="Times New Roman"/>
          <w:color w:val="auto"/>
          <w:sz w:val="32"/>
          <w:szCs w:val="32"/>
        </w:rPr>
        <w:t>58.</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 xml:space="preserve"> %</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2-5</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2-</w:t>
      </w:r>
      <w:r>
        <w:rPr>
          <w:rFonts w:hint="eastAsia" w:ascii="方正小标宋_GBK" w:eastAsia="方正小标宋_GBK"/>
          <w:bCs/>
          <w:color w:val="auto"/>
          <w:kern w:val="0"/>
          <w:sz w:val="28"/>
        </w:rPr>
        <w:t>5　按行业门类分组的单位资产负债</w:t>
      </w:r>
      <w:r>
        <w:rPr>
          <w:rFonts w:ascii="方正小标宋_GBK" w:eastAsia="方正小标宋_GBK"/>
          <w:bCs/>
          <w:color w:val="auto"/>
          <w:kern w:val="0"/>
          <w:sz w:val="28"/>
        </w:rPr>
        <w:t>状况</w:t>
      </w:r>
      <w:r>
        <w:rPr>
          <w:rFonts w:hint="eastAsia" w:ascii="方正小标宋_GBK" w:eastAsia="方正小标宋_GBK"/>
          <w:bCs/>
          <w:color w:val="auto"/>
          <w:kern w:val="0"/>
          <w:sz w:val="28"/>
        </w:rPr>
        <w:t>和</w:t>
      </w:r>
      <w:r>
        <w:rPr>
          <w:rFonts w:ascii="方正小标宋_GBK" w:eastAsia="方正小标宋_GBK"/>
          <w:bCs/>
          <w:color w:val="auto"/>
          <w:kern w:val="0"/>
          <w:sz w:val="28"/>
        </w:rPr>
        <w:t>营业收入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45"/>
        <w:gridCol w:w="1568"/>
        <w:gridCol w:w="1664"/>
        <w:gridCol w:w="15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3545" w:type="dxa"/>
            <w:tcBorders>
              <w:top w:val="single" w:color="auto" w:sz="12" w:space="0"/>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b/>
                <w:color w:val="auto"/>
                <w:kern w:val="0"/>
                <w:szCs w:val="21"/>
              </w:rPr>
              <w:t> </w:t>
            </w:r>
          </w:p>
        </w:tc>
        <w:tc>
          <w:tcPr>
            <w:tcW w:w="1568" w:type="dxa"/>
            <w:tcBorders>
              <w:top w:val="single" w:color="auto" w:sz="12" w:space="0"/>
              <w:left w:val="single" w:color="auto" w:sz="4" w:space="0"/>
              <w:bottom w:val="single" w:color="auto" w:sz="4" w:space="0"/>
              <w:right w:val="single" w:color="auto" w:sz="4" w:space="0"/>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法人单位</w:t>
            </w:r>
          </w:p>
          <w:p>
            <w:pPr>
              <w:widowControl/>
              <w:spacing w:line="280" w:lineRule="exact"/>
              <w:ind w:left="57" w:right="57"/>
              <w:jc w:val="center"/>
              <w:rPr>
                <w:rFonts w:eastAsia="黑体"/>
                <w:color w:val="auto"/>
                <w:kern w:val="0"/>
                <w:szCs w:val="21"/>
              </w:rPr>
            </w:pPr>
            <w:r>
              <w:rPr>
                <w:rFonts w:hint="eastAsia" w:eastAsia="黑体"/>
                <w:color w:val="auto"/>
                <w:kern w:val="0"/>
                <w:szCs w:val="21"/>
              </w:rPr>
              <w:t>资产总计</w:t>
            </w:r>
          </w:p>
          <w:p>
            <w:pPr>
              <w:widowControl/>
              <w:spacing w:line="280" w:lineRule="exact"/>
              <w:ind w:left="57" w:right="57"/>
              <w:jc w:val="center"/>
              <w:rPr>
                <w:rFonts w:eastAsia="黑体"/>
                <w:color w:val="auto"/>
                <w:kern w:val="0"/>
                <w:szCs w:val="21"/>
              </w:rPr>
            </w:pPr>
            <w:r>
              <w:rPr>
                <w:rFonts w:hint="eastAsia" w:eastAsia="黑体"/>
                <w:color w:val="auto"/>
                <w:kern w:val="0"/>
                <w:szCs w:val="21"/>
              </w:rPr>
              <w:t>（亿元）</w:t>
            </w:r>
          </w:p>
        </w:tc>
        <w:tc>
          <w:tcPr>
            <w:tcW w:w="1664" w:type="dxa"/>
            <w:tcBorders>
              <w:top w:val="single" w:color="auto" w:sz="12" w:space="0"/>
              <w:left w:val="single" w:color="auto" w:sz="4" w:space="0"/>
              <w:bottom w:val="single" w:color="auto" w:sz="4" w:space="0"/>
              <w:right w:val="nil"/>
            </w:tcBorders>
            <w:vAlign w:val="center"/>
          </w:tcPr>
          <w:p>
            <w:pPr>
              <w:widowControl/>
              <w:spacing w:line="280" w:lineRule="exact"/>
              <w:ind w:left="57" w:right="57"/>
              <w:jc w:val="center"/>
              <w:rPr>
                <w:rFonts w:eastAsia="黑体"/>
                <w:color w:val="auto"/>
                <w:kern w:val="0"/>
                <w:szCs w:val="21"/>
              </w:rPr>
            </w:pPr>
            <w:r>
              <w:rPr>
                <w:rFonts w:hint="eastAsia" w:eastAsia="黑体"/>
                <w:color w:val="auto"/>
                <w:kern w:val="0"/>
                <w:szCs w:val="21"/>
              </w:rPr>
              <w:t>法人单位</w:t>
            </w:r>
          </w:p>
          <w:p>
            <w:pPr>
              <w:widowControl/>
              <w:spacing w:line="280" w:lineRule="exact"/>
              <w:ind w:left="57" w:right="57"/>
              <w:jc w:val="center"/>
              <w:rPr>
                <w:rFonts w:eastAsia="黑体"/>
                <w:color w:val="auto"/>
                <w:kern w:val="0"/>
                <w:szCs w:val="21"/>
              </w:rPr>
            </w:pPr>
            <w:r>
              <w:rPr>
                <w:rFonts w:hint="eastAsia" w:eastAsia="黑体"/>
                <w:color w:val="auto"/>
                <w:kern w:val="0"/>
                <w:szCs w:val="21"/>
              </w:rPr>
              <w:t>负债合计</w:t>
            </w:r>
          </w:p>
          <w:p>
            <w:pPr>
              <w:widowControl/>
              <w:spacing w:line="280" w:lineRule="exact"/>
              <w:ind w:left="57" w:right="57"/>
              <w:jc w:val="center"/>
              <w:rPr>
                <w:rFonts w:eastAsia="黑体"/>
                <w:color w:val="auto"/>
                <w:kern w:val="0"/>
                <w:szCs w:val="21"/>
              </w:rPr>
            </w:pPr>
            <w:r>
              <w:rPr>
                <w:rFonts w:hint="eastAsia" w:eastAsia="黑体"/>
                <w:color w:val="auto"/>
                <w:kern w:val="0"/>
                <w:szCs w:val="21"/>
              </w:rPr>
              <w:t>（亿元）</w:t>
            </w:r>
          </w:p>
        </w:tc>
        <w:tc>
          <w:tcPr>
            <w:tcW w:w="1529" w:type="dxa"/>
            <w:tcBorders>
              <w:top w:val="single" w:color="auto" w:sz="12" w:space="0"/>
              <w:left w:val="single" w:color="auto" w:sz="4" w:space="0"/>
              <w:bottom w:val="single" w:color="auto" w:sz="4" w:space="0"/>
              <w:right w:val="nil"/>
            </w:tcBorders>
          </w:tcPr>
          <w:p>
            <w:pPr>
              <w:widowControl/>
              <w:spacing w:line="280" w:lineRule="exact"/>
              <w:ind w:left="57" w:right="57"/>
              <w:jc w:val="center"/>
              <w:rPr>
                <w:rFonts w:eastAsia="黑体"/>
                <w:color w:val="auto"/>
                <w:kern w:val="0"/>
                <w:szCs w:val="21"/>
              </w:rPr>
            </w:pPr>
            <w:r>
              <w:rPr>
                <w:rFonts w:hint="eastAsia" w:eastAsia="黑体"/>
                <w:color w:val="auto"/>
                <w:kern w:val="0"/>
                <w:szCs w:val="21"/>
              </w:rPr>
              <w:t>企业法人单位</w:t>
            </w:r>
          </w:p>
          <w:p>
            <w:pPr>
              <w:widowControl/>
              <w:spacing w:line="280" w:lineRule="exact"/>
              <w:ind w:left="57" w:right="57"/>
              <w:jc w:val="center"/>
              <w:rPr>
                <w:rFonts w:eastAsia="黑体"/>
                <w:color w:val="auto"/>
                <w:kern w:val="0"/>
                <w:szCs w:val="21"/>
              </w:rPr>
            </w:pPr>
            <w:r>
              <w:rPr>
                <w:rFonts w:hint="eastAsia" w:eastAsia="黑体"/>
                <w:color w:val="auto"/>
                <w:kern w:val="0"/>
                <w:szCs w:val="21"/>
              </w:rPr>
              <w:t>营业</w:t>
            </w:r>
            <w:r>
              <w:rPr>
                <w:rFonts w:eastAsia="黑体"/>
                <w:color w:val="auto"/>
                <w:kern w:val="0"/>
                <w:szCs w:val="21"/>
              </w:rPr>
              <w:t>收入</w:t>
            </w:r>
          </w:p>
          <w:p>
            <w:pPr>
              <w:widowControl/>
              <w:spacing w:line="280" w:lineRule="exact"/>
              <w:ind w:left="57" w:right="57"/>
              <w:jc w:val="center"/>
              <w:rPr>
                <w:rFonts w:eastAsia="黑体"/>
                <w:color w:val="auto"/>
                <w:kern w:val="0"/>
                <w:szCs w:val="21"/>
              </w:rPr>
            </w:pPr>
            <w:r>
              <w:rPr>
                <w:rFonts w:hint="eastAsia" w:eastAsia="黑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545"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1568" w:type="dxa"/>
            <w:tcBorders>
              <w:top w:val="single" w:color="auto" w:sz="4" w:space="0"/>
              <w:left w:val="nil"/>
              <w:bottom w:val="nil"/>
              <w:right w:val="single" w:color="auto" w:sz="4" w:space="0"/>
            </w:tcBorders>
            <w:shd w:val="clear" w:color="auto" w:fill="auto"/>
            <w:vAlign w:val="center"/>
          </w:tcPr>
          <w:p>
            <w:pPr>
              <w:jc w:val="right"/>
              <w:rPr>
                <w:rFonts w:hint="default" w:ascii="Times New Roman" w:hAnsi="Times New Roman" w:cs="Times New Roman"/>
                <w:b/>
                <w:bCs/>
                <w:color w:val="auto"/>
              </w:rPr>
            </w:pPr>
            <w:r>
              <w:rPr>
                <w:rFonts w:hint="default" w:ascii="Times New Roman" w:hAnsi="Times New Roman" w:cs="Times New Roman"/>
                <w:b/>
                <w:bCs/>
                <w:color w:val="auto"/>
              </w:rPr>
              <w:t>7196.31</w:t>
            </w:r>
          </w:p>
        </w:tc>
        <w:tc>
          <w:tcPr>
            <w:tcW w:w="1664"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b/>
                <w:bCs/>
                <w:color w:val="auto"/>
              </w:rPr>
            </w:pPr>
            <w:r>
              <w:rPr>
                <w:rFonts w:hint="default" w:ascii="Times New Roman" w:hAnsi="Times New Roman" w:cs="Times New Roman"/>
                <w:b/>
                <w:bCs/>
                <w:color w:val="auto"/>
              </w:rPr>
              <w:t>4392.77</w:t>
            </w:r>
          </w:p>
        </w:tc>
        <w:tc>
          <w:tcPr>
            <w:tcW w:w="1529" w:type="dxa"/>
            <w:tcBorders>
              <w:top w:val="single" w:color="auto" w:sz="4" w:space="0"/>
              <w:left w:val="single" w:color="auto" w:sz="4" w:space="0"/>
              <w:bottom w:val="nil"/>
              <w:right w:val="nil"/>
            </w:tcBorders>
            <w:shd w:val="clear" w:color="auto" w:fill="auto"/>
          </w:tcPr>
          <w:p>
            <w:pPr>
              <w:jc w:val="right"/>
              <w:rPr>
                <w:rFonts w:hint="default" w:ascii="Times New Roman" w:hAnsi="Times New Roman" w:cs="Times New Roman" w:eastAsiaTheme="minorEastAsia"/>
                <w:b/>
                <w:bCs/>
                <w:color w:val="auto"/>
                <w:lang w:val="en-US" w:eastAsia="zh-CN"/>
              </w:rPr>
            </w:pPr>
            <w:r>
              <w:rPr>
                <w:rFonts w:hint="eastAsia" w:ascii="Times New Roman" w:hAnsi="Times New Roman" w:cs="Times New Roman"/>
                <w:b/>
                <w:bCs/>
                <w:color w:val="auto"/>
                <w:lang w:val="en-US" w:eastAsia="zh-CN"/>
              </w:rPr>
              <w:t>2894.99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采矿业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0.16</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0.03</w:t>
            </w:r>
          </w:p>
        </w:tc>
        <w:tc>
          <w:tcPr>
            <w:tcW w:w="1529"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制造业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812.67</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445.01</w:t>
            </w:r>
          </w:p>
        </w:tc>
        <w:tc>
          <w:tcPr>
            <w:tcW w:w="1529"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907.41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电力、热力、燃气及水生产和供应业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49.05</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18.9</w:t>
            </w:r>
          </w:p>
        </w:tc>
        <w:tc>
          <w:tcPr>
            <w:tcW w:w="1529" w:type="dxa"/>
            <w:tcBorders>
              <w:top w:val="nil"/>
              <w:left w:val="single" w:color="auto" w:sz="4" w:space="0"/>
              <w:bottom w:val="nil"/>
              <w:right w:val="nil"/>
            </w:tcBorders>
            <w:shd w:val="clear" w:color="auto" w:fill="auto"/>
          </w:tcPr>
          <w:p>
            <w:pPr>
              <w:jc w:val="right"/>
              <w:rPr>
                <w:rFonts w:hint="default" w:ascii="Times New Roman" w:hAnsi="Times New Roman" w:cs="Times New Roman"/>
                <w:color w:val="auto"/>
              </w:rPr>
            </w:pPr>
            <w:r>
              <w:rPr>
                <w:rFonts w:hint="default" w:ascii="Times New Roman" w:hAnsi="Times New Roman" w:cs="Times New Roman"/>
                <w:color w:val="auto"/>
              </w:rPr>
              <w:t>4.73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建筑业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307.83</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223.07</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285.31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批发和零售业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890.65</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426.94</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986.92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交通运输、仓储和邮政业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252.36</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164.84</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41.71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住宿和餐饮业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27.99</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19.16</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13.34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信息传输、软件和信息技术服务业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149.04</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84.43</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121.60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金融业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房地产业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2746.21</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1942.03</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302.08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租赁和商务服务业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646.81</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365.01</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125.18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科学研究和技术服务业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188.53</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83.47</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37.63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水利、环境和公共设施管理业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678.88</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416.24</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33.86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居民服务、修理和其他服务业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18.7</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5.25</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11.35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教育</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176.25</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23.13</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5.56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卫生和社会工作</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30.18</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10.32</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7.77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文化、体育和娱乐业</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66.04</w:t>
            </w:r>
          </w:p>
        </w:tc>
        <w:tc>
          <w:tcPr>
            <w:tcW w:w="1664" w:type="dxa"/>
            <w:tcBorders>
              <w:top w:val="nil"/>
              <w:left w:val="single" w:color="auto" w:sz="4" w:space="0"/>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46.46</w:t>
            </w:r>
          </w:p>
        </w:tc>
        <w:tc>
          <w:tcPr>
            <w:tcW w:w="1529"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10.38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45"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公共管理、社会保障和社会组织</w:t>
            </w:r>
          </w:p>
        </w:tc>
        <w:tc>
          <w:tcPr>
            <w:tcW w:w="1568" w:type="dxa"/>
            <w:tcBorders>
              <w:top w:val="nil"/>
              <w:left w:val="nil"/>
              <w:bottom w:val="nil"/>
              <w:right w:val="single" w:color="auto" w:sz="4" w:space="0"/>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154.63</w:t>
            </w:r>
          </w:p>
        </w:tc>
        <w:tc>
          <w:tcPr>
            <w:tcW w:w="1664" w:type="dxa"/>
            <w:tcBorders>
              <w:top w:val="nil"/>
              <w:left w:val="single" w:color="auto" w:sz="4" w:space="0"/>
              <w:bottom w:val="nil"/>
              <w:right w:val="nil"/>
            </w:tcBorders>
            <w:shd w:val="clear" w:color="auto" w:fill="auto"/>
            <w:vAlign w:val="center"/>
          </w:tcPr>
          <w:p>
            <w:pPr>
              <w:jc w:val="right"/>
              <w:rPr>
                <w:rFonts w:hint="default" w:ascii="Times New Roman" w:hAnsi="Times New Roman" w:cs="Times New Roman"/>
                <w:color w:val="auto"/>
              </w:rPr>
            </w:pPr>
            <w:r>
              <w:rPr>
                <w:rFonts w:hint="default" w:ascii="Times New Roman" w:hAnsi="Times New Roman" w:cs="Times New Roman"/>
                <w:color w:val="auto"/>
              </w:rPr>
              <w:t>118.39</w:t>
            </w:r>
          </w:p>
        </w:tc>
        <w:tc>
          <w:tcPr>
            <w:tcW w:w="1529" w:type="dxa"/>
            <w:tcBorders>
              <w:top w:val="nil"/>
              <w:left w:val="single" w:color="auto" w:sz="4" w:space="0"/>
              <w:bottom w:val="single" w:color="auto" w:sz="12" w:space="0"/>
              <w:right w:val="nil"/>
            </w:tcBorders>
            <w:vAlign w:val="center"/>
          </w:tcPr>
          <w:p>
            <w:pPr>
              <w:jc w:val="right"/>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8306" w:type="dxa"/>
            <w:gridSpan w:val="4"/>
            <w:tcBorders>
              <w:top w:val="single" w:color="auto" w:sz="12"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val="0"/>
              <w:spacing w:line="220" w:lineRule="exact"/>
              <w:ind w:right="57"/>
              <w:textAlignment w:val="auto"/>
              <w:rPr>
                <w:rFonts w:ascii="楷体" w:hAnsi="楷体" w:eastAsia="楷体" w:cs="宋体"/>
                <w:color w:val="auto"/>
                <w:w w:val="95"/>
                <w:kern w:val="0"/>
                <w:szCs w:val="21"/>
              </w:rPr>
            </w:pPr>
            <w:r>
              <w:rPr>
                <w:rFonts w:hint="eastAsia" w:ascii="楷体" w:hAnsi="楷体" w:eastAsia="楷体" w:cs="宋体"/>
                <w:color w:val="auto"/>
                <w:w w:val="95"/>
                <w:kern w:val="0"/>
                <w:szCs w:val="21"/>
              </w:rPr>
              <w:t>注：表中合计数含从事农、林、牧、渔专业及</w:t>
            </w:r>
            <w:r>
              <w:rPr>
                <w:rFonts w:ascii="楷体" w:hAnsi="楷体" w:eastAsia="楷体" w:cs="宋体"/>
                <w:color w:val="auto"/>
                <w:w w:val="95"/>
                <w:kern w:val="0"/>
                <w:szCs w:val="21"/>
              </w:rPr>
              <w:t>辅助性活动</w:t>
            </w:r>
            <w:r>
              <w:rPr>
                <w:rFonts w:hint="eastAsia" w:ascii="楷体" w:hAnsi="楷体" w:eastAsia="楷体" w:cs="宋体"/>
                <w:color w:val="auto"/>
                <w:w w:val="95"/>
                <w:kern w:val="0"/>
                <w:szCs w:val="21"/>
              </w:rPr>
              <w:t>的单位</w:t>
            </w:r>
            <w:r>
              <w:rPr>
                <w:rFonts w:ascii="楷体" w:hAnsi="楷体" w:eastAsia="楷体" w:cs="宋体"/>
                <w:color w:val="auto"/>
                <w:w w:val="95"/>
                <w:kern w:val="0"/>
                <w:szCs w:val="21"/>
              </w:rPr>
              <w:t>数据</w:t>
            </w:r>
            <w:r>
              <w:rPr>
                <w:rFonts w:hint="eastAsia" w:ascii="楷体" w:hAnsi="楷体" w:eastAsia="楷体" w:cs="宋体"/>
                <w:color w:val="auto"/>
                <w:w w:val="95"/>
                <w:kern w:val="0"/>
                <w:szCs w:val="21"/>
              </w:rPr>
              <w:t>。表中企业法人单位，包括</w:t>
            </w:r>
            <w:r>
              <w:rPr>
                <w:rFonts w:ascii="楷体" w:hAnsi="楷体" w:eastAsia="楷体" w:cs="宋体"/>
                <w:color w:val="auto"/>
                <w:w w:val="95"/>
                <w:kern w:val="0"/>
                <w:szCs w:val="21"/>
              </w:rPr>
              <w:t>机构类型为企业的</w:t>
            </w:r>
            <w:r>
              <w:rPr>
                <w:rFonts w:hint="eastAsia" w:ascii="楷体" w:hAnsi="楷体" w:eastAsia="楷体" w:cs="宋体"/>
                <w:color w:val="auto"/>
                <w:w w:val="95"/>
                <w:kern w:val="0"/>
                <w:szCs w:val="21"/>
              </w:rPr>
              <w:t>法人</w:t>
            </w:r>
            <w:r>
              <w:rPr>
                <w:rFonts w:ascii="楷体" w:hAnsi="楷体" w:eastAsia="楷体" w:cs="宋体"/>
                <w:color w:val="auto"/>
                <w:w w:val="95"/>
                <w:kern w:val="0"/>
                <w:szCs w:val="21"/>
              </w:rPr>
              <w:t>单位，</w:t>
            </w:r>
            <w:r>
              <w:rPr>
                <w:rFonts w:hint="eastAsia" w:ascii="楷体" w:hAnsi="楷体" w:eastAsia="楷体" w:cs="宋体"/>
                <w:color w:val="auto"/>
                <w:w w:val="95"/>
                <w:kern w:val="0"/>
                <w:szCs w:val="21"/>
              </w:rPr>
              <w:t>以及执行企业会计制度的事业法人单位、民办非企业法人单位和基金会，农民专业合作社，农村集体经济组织和除宗教活动场所以外的机构类型为其他组织机构的法人单位。按国务院</w:t>
            </w:r>
            <w:r>
              <w:rPr>
                <w:rFonts w:ascii="楷体" w:hAnsi="楷体" w:eastAsia="楷体" w:cs="宋体"/>
                <w:color w:val="auto"/>
                <w:w w:val="95"/>
                <w:kern w:val="0"/>
                <w:szCs w:val="21"/>
              </w:rPr>
              <w:t>经普办</w:t>
            </w:r>
            <w:r>
              <w:rPr>
                <w:rFonts w:hint="eastAsia" w:ascii="楷体" w:hAnsi="楷体" w:eastAsia="楷体" w:cs="宋体"/>
                <w:color w:val="auto"/>
                <w:w w:val="95"/>
                <w:kern w:val="0"/>
                <w:szCs w:val="21"/>
              </w:rPr>
              <w:t>要求</w:t>
            </w:r>
            <w:r>
              <w:rPr>
                <w:rFonts w:ascii="楷体" w:hAnsi="楷体" w:eastAsia="楷体" w:cs="宋体"/>
                <w:color w:val="auto"/>
                <w:w w:val="95"/>
                <w:kern w:val="0"/>
                <w:szCs w:val="21"/>
              </w:rPr>
              <w:t>，金融业</w:t>
            </w:r>
            <w:r>
              <w:rPr>
                <w:rFonts w:hint="eastAsia" w:ascii="楷体" w:hAnsi="楷体" w:eastAsia="楷体" w:cs="宋体"/>
                <w:color w:val="auto"/>
                <w:w w:val="95"/>
                <w:kern w:val="0"/>
                <w:szCs w:val="21"/>
              </w:rPr>
              <w:t>资产、负债和营业收入数据暂不发布，故本表数据</w:t>
            </w:r>
            <w:r>
              <w:rPr>
                <w:rFonts w:ascii="楷体" w:hAnsi="楷体" w:eastAsia="楷体" w:cs="宋体"/>
                <w:color w:val="auto"/>
                <w:w w:val="95"/>
                <w:kern w:val="0"/>
                <w:szCs w:val="21"/>
              </w:rPr>
              <w:t>不含金融业</w:t>
            </w:r>
            <w:r>
              <w:rPr>
                <w:rFonts w:hint="eastAsia" w:ascii="楷体" w:hAnsi="楷体" w:eastAsia="楷体" w:cs="宋体"/>
                <w:color w:val="auto"/>
                <w:w w:val="95"/>
                <w:kern w:val="0"/>
                <w:szCs w:val="21"/>
              </w:rPr>
              <w:t>。表中营业收入数据包含三大电信运营商，资产、负债数据不包含。</w:t>
            </w:r>
          </w:p>
          <w:p>
            <w:pPr>
              <w:keepNext w:val="0"/>
              <w:keepLines w:val="0"/>
              <w:pageBreakBefore w:val="0"/>
              <w:widowControl/>
              <w:kinsoku/>
              <w:wordWrap/>
              <w:overflowPunct/>
              <w:topLinePunct w:val="0"/>
              <w:autoSpaceDE/>
              <w:autoSpaceDN/>
              <w:bidi w:val="0"/>
              <w:adjustRightInd/>
              <w:snapToGrid w:val="0"/>
              <w:spacing w:line="220" w:lineRule="exact"/>
              <w:ind w:right="57"/>
              <w:textAlignment w:val="auto"/>
              <w:rPr>
                <w:rFonts w:ascii="楷体" w:hAnsi="楷体" w:eastAsia="楷体" w:cs="宋体"/>
                <w:color w:val="auto"/>
                <w:w w:val="95"/>
                <w:kern w:val="0"/>
                <w:szCs w:val="21"/>
              </w:rPr>
            </w:pPr>
          </w:p>
        </w:tc>
      </w:tr>
    </w:tbl>
    <w:p>
      <w:pPr>
        <w:widowControl/>
        <w:spacing w:line="600" w:lineRule="exact"/>
        <w:ind w:firstLine="560" w:firstLineChars="200"/>
        <w:rPr>
          <w:rFonts w:hint="eastAsia" w:ascii="黑体" w:hAnsi="黑体" w:eastAsia="黑体" w:cs="黑体"/>
          <w:color w:val="auto"/>
          <w:kern w:val="0"/>
          <w:sz w:val="28"/>
        </w:rPr>
      </w:pPr>
      <w:r>
        <w:rPr>
          <w:rFonts w:hint="eastAsia" w:ascii="黑体" w:hAnsi="黑体" w:eastAsia="黑体" w:cs="黑体"/>
          <w:color w:val="auto"/>
          <w:kern w:val="0"/>
          <w:sz w:val="28"/>
        </w:rPr>
        <w:t>注释：</w:t>
      </w:r>
    </w:p>
    <w:p>
      <w:pPr>
        <w:widowControl/>
        <w:spacing w:line="600" w:lineRule="exact"/>
        <w:ind w:firstLine="560" w:firstLineChars="200"/>
        <w:rPr>
          <w:rFonts w:eastAsia="方正仿宋_GBK"/>
          <w:color w:val="auto"/>
          <w:kern w:val="0"/>
          <w:sz w:val="28"/>
        </w:rPr>
      </w:pPr>
      <w:r>
        <w:rPr>
          <w:rFonts w:hint="default" w:ascii="Times New Roman" w:hAnsi="Times New Roman" w:eastAsia="方正仿宋_GBK" w:cs="Times New Roman"/>
          <w:color w:val="auto"/>
          <w:kern w:val="0"/>
          <w:sz w:val="28"/>
        </w:rPr>
        <w:t>[1]</w:t>
      </w:r>
      <w:r>
        <w:rPr>
          <w:rFonts w:eastAsia="方正仿宋_GBK"/>
          <w:color w:val="auto"/>
          <w:kern w:val="0"/>
          <w:sz w:val="28"/>
        </w:rPr>
        <w:t>三次产业的划分：</w:t>
      </w:r>
    </w:p>
    <w:p>
      <w:pPr>
        <w:widowControl/>
        <w:spacing w:line="600" w:lineRule="exact"/>
        <w:ind w:firstLine="560" w:firstLineChars="200"/>
        <w:rPr>
          <w:rFonts w:eastAsia="方正仿宋_GBK"/>
          <w:color w:val="auto"/>
          <w:kern w:val="0"/>
          <w:sz w:val="28"/>
        </w:rPr>
      </w:pPr>
      <w:r>
        <w:rPr>
          <w:rFonts w:eastAsia="方正仿宋_GBK"/>
          <w:color w:val="auto"/>
          <w:kern w:val="0"/>
          <w:sz w:val="28"/>
        </w:rPr>
        <w:t>第一产业是指农、林、牧、渔业（不含农、林、牧、渔专业及辅助性活动）。</w:t>
      </w:r>
    </w:p>
    <w:p>
      <w:pPr>
        <w:widowControl/>
        <w:spacing w:line="600" w:lineRule="exact"/>
        <w:ind w:firstLine="560" w:firstLineChars="200"/>
        <w:rPr>
          <w:rFonts w:eastAsia="方正仿宋_GBK"/>
          <w:color w:val="auto"/>
          <w:kern w:val="0"/>
          <w:sz w:val="28"/>
        </w:rPr>
      </w:pPr>
      <w:r>
        <w:rPr>
          <w:rFonts w:eastAsia="方正仿宋_GBK"/>
          <w:color w:val="auto"/>
          <w:kern w:val="0"/>
          <w:sz w:val="28"/>
        </w:rPr>
        <w:t>第二产业是指采矿业（不含开采专业及辅助性活动），制造业（不含金属制品、机械和设备修理业），电力、热力、燃气及水生产和供应业，建筑业。</w:t>
      </w:r>
    </w:p>
    <w:p>
      <w:pPr>
        <w:widowControl/>
        <w:spacing w:line="600" w:lineRule="exact"/>
        <w:ind w:firstLine="560" w:firstLineChars="200"/>
        <w:rPr>
          <w:rFonts w:eastAsia="方正仿宋_GBK"/>
          <w:color w:val="auto"/>
          <w:kern w:val="0"/>
          <w:sz w:val="28"/>
        </w:rPr>
      </w:pPr>
      <w:r>
        <w:rPr>
          <w:rFonts w:eastAsia="方正仿宋_GBK"/>
          <w:color w:val="auto"/>
          <w:kern w:val="0"/>
          <w:sz w:val="28"/>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widowControl/>
        <w:spacing w:line="600" w:lineRule="exact"/>
        <w:ind w:firstLine="560" w:firstLineChars="200"/>
        <w:rPr>
          <w:rFonts w:eastAsia="方正仿宋_GBK"/>
          <w:color w:val="auto"/>
          <w:kern w:val="0"/>
          <w:sz w:val="28"/>
        </w:rPr>
      </w:pPr>
      <w:r>
        <w:rPr>
          <w:rFonts w:hint="default" w:ascii="Times New Roman" w:hAnsi="Times New Roman" w:eastAsia="方正仿宋_GBK" w:cs="Times New Roman"/>
          <w:color w:val="auto"/>
          <w:kern w:val="0"/>
          <w:sz w:val="28"/>
        </w:rPr>
        <w:t>[2]</w:t>
      </w:r>
      <w:r>
        <w:rPr>
          <w:rFonts w:eastAsia="方正仿宋_GBK"/>
          <w:color w:val="auto"/>
          <w:kern w:val="0"/>
          <w:sz w:val="28"/>
        </w:rPr>
        <w:t>单位的划分：</w:t>
      </w:r>
    </w:p>
    <w:p>
      <w:pPr>
        <w:widowControl/>
        <w:spacing w:line="600" w:lineRule="exact"/>
        <w:ind w:firstLine="560" w:firstLineChars="200"/>
        <w:rPr>
          <w:rFonts w:eastAsia="方正仿宋_GBK"/>
          <w:color w:val="auto"/>
          <w:kern w:val="0"/>
          <w:sz w:val="28"/>
        </w:rPr>
      </w:pPr>
      <w:r>
        <w:rPr>
          <w:rFonts w:eastAsia="方正仿宋_GBK"/>
          <w:color w:val="auto"/>
          <w:kern w:val="0"/>
          <w:sz w:val="28"/>
        </w:rPr>
        <w:t>法人单位是指有权拥有资产、承担负债，并独立从事社会经济活动（或与其他单位进行交易）的组织。法人单位应同时具备以下条件：</w:t>
      </w:r>
    </w:p>
    <w:p>
      <w:pPr>
        <w:widowControl/>
        <w:spacing w:line="600" w:lineRule="exact"/>
        <w:ind w:firstLine="560" w:firstLineChars="200"/>
        <w:rPr>
          <w:rFonts w:eastAsia="方正仿宋_GBK"/>
          <w:color w:val="auto"/>
          <w:kern w:val="0"/>
          <w:sz w:val="28"/>
        </w:rPr>
      </w:pPr>
      <w:r>
        <w:rPr>
          <w:rFonts w:hint="default" w:ascii="Times New Roman" w:hAnsi="Times New Roman" w:eastAsia="方正仿宋_GBK" w:cs="Times New Roman"/>
          <w:color w:val="auto"/>
          <w:kern w:val="0"/>
          <w:sz w:val="28"/>
        </w:rPr>
        <w:t>（1）</w:t>
      </w:r>
      <w:r>
        <w:rPr>
          <w:rFonts w:eastAsia="方正仿宋_GBK"/>
          <w:color w:val="auto"/>
          <w:kern w:val="0"/>
          <w:sz w:val="28"/>
        </w:rPr>
        <w:t>依法成立，有自己的名称、组织机构和场所，能够独立承担负债和其他民事责任；</w:t>
      </w:r>
    </w:p>
    <w:p>
      <w:pPr>
        <w:widowControl/>
        <w:spacing w:line="600" w:lineRule="exact"/>
        <w:ind w:firstLine="560" w:firstLineChars="200"/>
        <w:rPr>
          <w:rFonts w:eastAsia="方正仿宋_GBK"/>
          <w:color w:val="auto"/>
          <w:kern w:val="0"/>
          <w:sz w:val="28"/>
        </w:rPr>
      </w:pPr>
      <w:r>
        <w:rPr>
          <w:rFonts w:hint="default" w:ascii="Times New Roman" w:hAnsi="Times New Roman" w:eastAsia="方正仿宋_GBK" w:cs="Times New Roman"/>
          <w:color w:val="auto"/>
          <w:kern w:val="0"/>
          <w:sz w:val="28"/>
        </w:rPr>
        <w:t>（2）</w:t>
      </w:r>
      <w:r>
        <w:rPr>
          <w:rFonts w:eastAsia="方正仿宋_GBK"/>
          <w:color w:val="auto"/>
          <w:kern w:val="0"/>
          <w:sz w:val="28"/>
        </w:rPr>
        <w:t>独立拥有和使用（或受权使用）资产，有权与其他单位签订合同；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default" w:ascii="Times New Roman" w:hAnsi="Times New Roman" w:eastAsia="方正仿宋_GBK" w:cs="Times New Roman"/>
          <w:color w:val="auto"/>
          <w:kern w:val="0"/>
          <w:sz w:val="28"/>
        </w:rPr>
        <w:t>（3）</w:t>
      </w:r>
      <w:r>
        <w:rPr>
          <w:rFonts w:hint="eastAsia" w:ascii="方正仿宋_GBK" w:hAnsi="方正仿宋_GBK" w:eastAsia="方正仿宋_GBK" w:cs="方正仿宋_GBK"/>
          <w:color w:val="auto"/>
          <w:kern w:val="0"/>
          <w:sz w:val="28"/>
        </w:rPr>
        <w:t>会计上独立核算，能够编制资产负债表等会计报表。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eastAsia" w:ascii="方正仿宋_GBK" w:hAnsi="方正仿宋_GBK" w:eastAsia="方正仿宋_GBK" w:cs="方正仿宋_GBK"/>
          <w:color w:val="auto"/>
          <w:kern w:val="0"/>
          <w:sz w:val="28"/>
        </w:rPr>
        <w:t>法人单位包括企业法人、事业单位法人、机关法人、社会团体法人、其他法人等。</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eastAsia" w:ascii="方正仿宋_GBK" w:hAnsi="方正仿宋_GBK" w:eastAsia="方正仿宋_GBK" w:cs="方正仿宋_GBK"/>
          <w:color w:val="auto"/>
          <w:kern w:val="0"/>
          <w:sz w:val="28"/>
        </w:rPr>
        <w:t>产业活动单位是指位于一个地点，从事一种或主要从事一种社会经济活动的组织或组织的一部分。产业活动单位应同时具备以下条件：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default" w:ascii="Times New Roman" w:hAnsi="Times New Roman" w:eastAsia="方正仿宋_GBK" w:cs="Times New Roman"/>
          <w:color w:val="auto"/>
          <w:kern w:val="0"/>
          <w:sz w:val="28"/>
        </w:rPr>
        <w:t>（1）</w:t>
      </w:r>
      <w:r>
        <w:rPr>
          <w:rFonts w:hint="eastAsia" w:ascii="方正仿宋_GBK" w:hAnsi="方正仿宋_GBK" w:eastAsia="方正仿宋_GBK" w:cs="方正仿宋_GBK"/>
          <w:color w:val="auto"/>
          <w:kern w:val="0"/>
          <w:sz w:val="28"/>
        </w:rPr>
        <w:t>在一个场所从事一种或主要从事一种社会经济活动；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default" w:ascii="Times New Roman" w:hAnsi="Times New Roman" w:eastAsia="方正仿宋_GBK" w:cs="Times New Roman"/>
          <w:color w:val="auto"/>
          <w:kern w:val="0"/>
          <w:sz w:val="28"/>
        </w:rPr>
        <w:t>（2）</w:t>
      </w:r>
      <w:r>
        <w:rPr>
          <w:rFonts w:hint="eastAsia" w:ascii="方正仿宋_GBK" w:hAnsi="方正仿宋_GBK" w:eastAsia="方正仿宋_GBK" w:cs="方正仿宋_GBK"/>
          <w:color w:val="auto"/>
          <w:kern w:val="0"/>
          <w:sz w:val="28"/>
        </w:rPr>
        <w:t>相对独立地组织生产活动或经营活动；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default" w:ascii="Times New Roman" w:hAnsi="Times New Roman" w:eastAsia="方正仿宋_GBK" w:cs="Times New Roman"/>
          <w:color w:val="auto"/>
          <w:kern w:val="0"/>
          <w:sz w:val="28"/>
        </w:rPr>
        <w:t>（3）</w:t>
      </w:r>
      <w:r>
        <w:rPr>
          <w:rFonts w:hint="eastAsia" w:ascii="方正仿宋_GBK" w:hAnsi="方正仿宋_GBK" w:eastAsia="方正仿宋_GBK" w:cs="方正仿宋_GBK"/>
          <w:color w:val="auto"/>
          <w:kern w:val="0"/>
          <w:sz w:val="28"/>
        </w:rPr>
        <w:t>能提供收入或者支出等相关资料。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kern w:val="0"/>
          <w:sz w:val="28"/>
        </w:rPr>
      </w:pPr>
      <w:r>
        <w:rPr>
          <w:rFonts w:hint="default" w:ascii="Times New Roman" w:hAnsi="Times New Roman" w:eastAsia="方正仿宋_GBK" w:cs="Times New Roman"/>
          <w:color w:val="auto"/>
          <w:kern w:val="0"/>
          <w:sz w:val="28"/>
        </w:rPr>
        <w:t>[3]</w:t>
      </w:r>
      <w:r>
        <w:rPr>
          <w:rFonts w:hint="eastAsia" w:ascii="方正仿宋_GBK" w:hAnsi="方正仿宋_GBK" w:eastAsia="方正仿宋_GBK" w:cs="方正仿宋_GBK"/>
          <w:color w:val="auto"/>
          <w:kern w:val="0"/>
          <w:sz w:val="28"/>
        </w:rPr>
        <w:t>表中的合计数和部分计算数据因小数取舍而产生的误差，均未作机械调整。</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line="600" w:lineRule="exact"/>
        <w:jc w:val="center"/>
        <w:rPr>
          <w:rFonts w:eastAsia="方正小标宋_GBK"/>
          <w:bCs/>
          <w:color w:val="auto"/>
          <w:kern w:val="0"/>
          <w:sz w:val="36"/>
          <w:szCs w:val="36"/>
        </w:rPr>
      </w:pPr>
      <w:r>
        <w:rPr>
          <w:rFonts w:hint="eastAsia" w:eastAsia="方正小标宋_GBK"/>
          <w:bCs/>
          <w:color w:val="auto"/>
          <w:kern w:val="0"/>
          <w:sz w:val="36"/>
          <w:szCs w:val="36"/>
        </w:rPr>
        <w:t>南岸区第四次全国经济普查公报（第三号）</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lang w:eastAsia="zh-CN"/>
        </w:rPr>
        <w:t>——</w:t>
      </w:r>
      <w:r>
        <w:rPr>
          <w:rFonts w:eastAsia="方正楷体_GBK"/>
          <w:bCs/>
          <w:color w:val="auto"/>
          <w:kern w:val="0"/>
          <w:sz w:val="32"/>
          <w:szCs w:val="36"/>
        </w:rPr>
        <w:t>第二产业基本情况</w:t>
      </w:r>
    </w:p>
    <w:p>
      <w:pPr>
        <w:widowControl/>
        <w:spacing w:line="600" w:lineRule="exact"/>
        <w:jc w:val="center"/>
        <w:rPr>
          <w:rFonts w:eastAsia="方正楷体_GBK"/>
          <w:bCs/>
          <w:color w:val="auto"/>
          <w:kern w:val="0"/>
          <w:sz w:val="32"/>
          <w:szCs w:val="36"/>
        </w:rPr>
      </w:pP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w:t>
      </w:r>
      <w:r>
        <w:rPr>
          <w:rFonts w:eastAsia="方正楷体_GBK"/>
          <w:bCs/>
          <w:color w:val="auto"/>
          <w:kern w:val="0"/>
          <w:sz w:val="32"/>
          <w:szCs w:val="36"/>
        </w:rPr>
        <w:t>统计局</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w:t>
      </w:r>
      <w:r>
        <w:rPr>
          <w:rFonts w:eastAsia="方正楷体_GBK"/>
          <w:bCs/>
          <w:color w:val="auto"/>
          <w:kern w:val="0"/>
          <w:sz w:val="32"/>
          <w:szCs w:val="36"/>
        </w:rPr>
        <w:t>人民政府第四次全国经济普查领导小组办公室</w:t>
      </w:r>
    </w:p>
    <w:p>
      <w:pPr>
        <w:widowControl/>
        <w:spacing w:line="600" w:lineRule="exact"/>
        <w:jc w:val="center"/>
        <w:rPr>
          <w:rFonts w:eastAsia="方正楷体_GBK"/>
          <w:bCs/>
          <w:color w:val="auto"/>
          <w:kern w:val="0"/>
          <w:sz w:val="32"/>
          <w:szCs w:val="36"/>
        </w:rPr>
      </w:pPr>
      <w:r>
        <w:rPr>
          <w:rFonts w:hint="default" w:ascii="Times New Roman" w:hAnsi="Times New Roman" w:eastAsia="方正楷体_GBK" w:cs="Times New Roman"/>
          <w:bCs/>
          <w:color w:val="auto"/>
          <w:kern w:val="0"/>
          <w:sz w:val="32"/>
          <w:szCs w:val="36"/>
        </w:rPr>
        <w:t>2020</w:t>
      </w:r>
      <w:r>
        <w:rPr>
          <w:rFonts w:eastAsia="方正楷体_GBK"/>
          <w:bCs/>
          <w:color w:val="auto"/>
          <w:kern w:val="0"/>
          <w:sz w:val="32"/>
          <w:szCs w:val="36"/>
        </w:rPr>
        <w:t>年</w:t>
      </w:r>
      <w:r>
        <w:rPr>
          <w:rFonts w:hint="default" w:ascii="Times New Roman" w:hAnsi="Times New Roman" w:eastAsia="方正楷体_GBK" w:cs="Times New Roman"/>
          <w:bCs/>
          <w:color w:val="auto"/>
          <w:kern w:val="0"/>
          <w:sz w:val="32"/>
          <w:szCs w:val="36"/>
          <w:lang w:val="en-US" w:eastAsia="zh-CN"/>
        </w:rPr>
        <w:t>4</w:t>
      </w:r>
      <w:r>
        <w:rPr>
          <w:rFonts w:eastAsia="方正楷体_GBK"/>
          <w:bCs/>
          <w:color w:val="auto"/>
          <w:kern w:val="0"/>
          <w:sz w:val="32"/>
          <w:szCs w:val="36"/>
        </w:rPr>
        <w:t>月</w:t>
      </w:r>
      <w:r>
        <w:rPr>
          <w:rFonts w:hint="default" w:ascii="Times New Roman" w:hAnsi="Times New Roman" w:eastAsia="方正楷体_GBK" w:cs="Times New Roman"/>
          <w:bCs/>
          <w:color w:val="auto"/>
          <w:kern w:val="0"/>
          <w:sz w:val="32"/>
          <w:szCs w:val="36"/>
          <w:lang w:val="en-US" w:eastAsia="zh-CN"/>
        </w:rPr>
        <w:t>22</w:t>
      </w:r>
      <w:r>
        <w:rPr>
          <w:rFonts w:eastAsia="方正楷体_GBK"/>
          <w:bCs/>
          <w:color w:val="auto"/>
          <w:kern w:val="0"/>
          <w:sz w:val="32"/>
          <w:szCs w:val="36"/>
        </w:rPr>
        <w:t>日</w:t>
      </w:r>
    </w:p>
    <w:p>
      <w:pPr>
        <w:widowControl/>
        <w:spacing w:line="600" w:lineRule="exact"/>
        <w:jc w:val="center"/>
        <w:rPr>
          <w:rFonts w:eastAsia="楷体_GB2312"/>
          <w:bCs/>
          <w:color w:val="auto"/>
          <w:kern w:val="0"/>
          <w:sz w:val="32"/>
          <w:szCs w:val="36"/>
        </w:rPr>
      </w:pPr>
      <w:r>
        <w:rPr>
          <w:rFonts w:eastAsia="楷体_GB2312"/>
          <w:bCs/>
          <w:color w:val="auto"/>
          <w:kern w:val="0"/>
          <w:sz w:val="32"/>
          <w:szCs w:val="36"/>
        </w:rPr>
        <w:t> </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根据第四次全国经济普查结果，现将我区工业和</w:t>
      </w:r>
      <w:r>
        <w:rPr>
          <w:rFonts w:eastAsia="方正仿宋_GBK"/>
          <w:color w:val="auto"/>
          <w:sz w:val="32"/>
          <w:szCs w:val="32"/>
        </w:rPr>
        <w:t>建筑业</w:t>
      </w:r>
      <w:r>
        <w:rPr>
          <w:rFonts w:hint="eastAsia" w:eastAsia="方正仿宋_GBK"/>
          <w:color w:val="auto"/>
          <w:sz w:val="32"/>
          <w:szCs w:val="32"/>
        </w:rPr>
        <w:t>的主要数据公布如下：</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一、工业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年末，全区共有工业企业法人单位</w:t>
      </w:r>
      <w:r>
        <w:rPr>
          <w:rFonts w:hint="default" w:ascii="Times New Roman" w:hAnsi="Times New Roman" w:eastAsia="方正仿宋_GBK" w:cs="Times New Roman"/>
          <w:color w:val="auto"/>
          <w:sz w:val="32"/>
          <w:szCs w:val="32"/>
        </w:rPr>
        <w:t>1465</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w:t>
      </w:r>
      <w:r>
        <w:rPr>
          <w:rFonts w:eastAsia="方正仿宋_GBK"/>
          <w:color w:val="auto"/>
          <w:sz w:val="32"/>
          <w:szCs w:val="32"/>
        </w:rPr>
        <w:t>末增长</w:t>
      </w:r>
      <w:r>
        <w:rPr>
          <w:rFonts w:hint="default" w:ascii="Times New Roman" w:hAnsi="Times New Roman" w:eastAsia="方正仿宋_GBK" w:cs="Times New Roman"/>
          <w:color w:val="auto"/>
          <w:sz w:val="32"/>
          <w:szCs w:val="32"/>
        </w:rPr>
        <w:t>6.5%</w:t>
      </w:r>
      <w:r>
        <w:rPr>
          <w:rFonts w:hint="eastAsia" w:eastAsia="方正仿宋_GBK"/>
          <w:color w:val="auto"/>
          <w:sz w:val="32"/>
          <w:szCs w:val="32"/>
        </w:rPr>
        <w:t>，从业人员</w:t>
      </w:r>
      <w:r>
        <w:rPr>
          <w:rFonts w:hint="default" w:ascii="Times New Roman" w:hAnsi="Times New Roman" w:eastAsia="方正仿宋_GBK" w:cs="Times New Roman"/>
          <w:color w:val="auto"/>
          <w:sz w:val="32"/>
          <w:szCs w:val="32"/>
        </w:rPr>
        <w:t>70362</w:t>
      </w:r>
      <w:r>
        <w:rPr>
          <w:rFonts w:hint="eastAsia" w:eastAsia="方正仿宋_GBK"/>
          <w:color w:val="auto"/>
          <w:sz w:val="32"/>
          <w:szCs w:val="32"/>
        </w:rPr>
        <w:t>人，比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年末下降</w:t>
      </w:r>
      <w:r>
        <w:rPr>
          <w:rFonts w:hint="default" w:ascii="Times New Roman" w:hAnsi="Times New Roman" w:eastAsia="方正仿宋_GBK" w:cs="Times New Roman"/>
          <w:color w:val="auto"/>
          <w:sz w:val="32"/>
          <w:szCs w:val="32"/>
        </w:rPr>
        <w:t>28.6%</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在工业企业法人单位中，内资企业</w:t>
      </w:r>
      <w:r>
        <w:rPr>
          <w:rFonts w:hint="default" w:ascii="Times New Roman" w:hAnsi="Times New Roman" w:eastAsia="方正仿宋_GBK" w:cs="Times New Roman"/>
          <w:color w:val="auto"/>
          <w:sz w:val="32"/>
          <w:szCs w:val="32"/>
        </w:rPr>
        <w:t>1445</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98.6%</w:t>
      </w:r>
      <w:r>
        <w:rPr>
          <w:rFonts w:hint="eastAsia" w:eastAsia="方正仿宋_GBK"/>
          <w:color w:val="auto"/>
          <w:sz w:val="32"/>
          <w:szCs w:val="32"/>
        </w:rPr>
        <w:t>；港、澳、台商投资企业</w:t>
      </w:r>
      <w:r>
        <w:rPr>
          <w:rFonts w:hint="default" w:ascii="Times New Roman" w:hAnsi="Times New Roman" w:eastAsia="方正仿宋_GBK" w:cs="Times New Roman"/>
          <w:color w:val="auto"/>
          <w:sz w:val="32"/>
          <w:szCs w:val="32"/>
        </w:rPr>
        <w:t>8</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0.6%</w:t>
      </w:r>
      <w:r>
        <w:rPr>
          <w:rFonts w:hint="eastAsia" w:eastAsia="方正仿宋_GBK"/>
          <w:color w:val="auto"/>
          <w:sz w:val="32"/>
          <w:szCs w:val="32"/>
        </w:rPr>
        <w:t>；外商投资企业</w:t>
      </w:r>
      <w:r>
        <w:rPr>
          <w:rFonts w:hint="default" w:ascii="Times New Roman" w:hAnsi="Times New Roman" w:eastAsia="方正仿宋_GBK" w:cs="Times New Roman"/>
          <w:color w:val="auto"/>
          <w:sz w:val="32"/>
          <w:szCs w:val="32"/>
        </w:rPr>
        <w:t>12</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0.8%</w:t>
      </w:r>
      <w:r>
        <w:rPr>
          <w:rFonts w:hint="eastAsia" w:eastAsia="方正仿宋_GBK"/>
          <w:color w:val="auto"/>
          <w:sz w:val="32"/>
          <w:szCs w:val="32"/>
        </w:rPr>
        <w:t>。内资企业中，国有企业</w:t>
      </w:r>
      <w:r>
        <w:rPr>
          <w:rFonts w:hint="default" w:ascii="Times New Roman" w:hAnsi="Times New Roman" w:eastAsia="方正仿宋_GBK" w:cs="Times New Roman"/>
          <w:color w:val="auto"/>
          <w:sz w:val="32"/>
          <w:szCs w:val="32"/>
        </w:rPr>
        <w:t>3</w:t>
      </w:r>
      <w:r>
        <w:rPr>
          <w:rFonts w:hint="eastAsia" w:eastAsia="方正仿宋_GBK"/>
          <w:color w:val="auto"/>
          <w:sz w:val="32"/>
          <w:szCs w:val="32"/>
        </w:rPr>
        <w:t>个，占全部企业的</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；集体企业</w:t>
      </w:r>
      <w:r>
        <w:rPr>
          <w:rFonts w:hint="default" w:ascii="Times New Roman" w:hAnsi="Times New Roman" w:eastAsia="方正仿宋_GBK" w:cs="Times New Roman"/>
          <w:color w:val="auto"/>
          <w:sz w:val="32"/>
          <w:szCs w:val="32"/>
        </w:rPr>
        <w:t>12</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0.8%</w:t>
      </w:r>
      <w:r>
        <w:rPr>
          <w:rFonts w:hint="eastAsia" w:eastAsia="方正仿宋_GBK"/>
          <w:color w:val="auto"/>
          <w:sz w:val="32"/>
          <w:szCs w:val="32"/>
        </w:rPr>
        <w:t>；私营企业</w:t>
      </w:r>
      <w:r>
        <w:rPr>
          <w:rFonts w:hint="default" w:ascii="Times New Roman" w:hAnsi="Times New Roman" w:eastAsia="方正仿宋_GBK" w:cs="Times New Roman"/>
          <w:color w:val="auto"/>
          <w:sz w:val="32"/>
          <w:szCs w:val="32"/>
        </w:rPr>
        <w:t>1268</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86.6%</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在工业企业法人单位从业人员中，内资企业占</w:t>
      </w:r>
      <w:r>
        <w:rPr>
          <w:rFonts w:hint="default" w:ascii="Times New Roman" w:hAnsi="Times New Roman" w:eastAsia="方正仿宋_GBK" w:cs="Times New Roman"/>
          <w:color w:val="auto"/>
          <w:sz w:val="32"/>
          <w:szCs w:val="32"/>
        </w:rPr>
        <w:t>89.6%</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3.9%</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6.5%</w:t>
      </w:r>
      <w:r>
        <w:rPr>
          <w:rFonts w:hint="eastAsia" w:eastAsia="方正仿宋_GBK"/>
          <w:color w:val="auto"/>
          <w:sz w:val="32"/>
          <w:szCs w:val="32"/>
        </w:rPr>
        <w:t>。内资企业中，国有企业占全部企业的</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，集体企业占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，私营企业占</w:t>
      </w:r>
      <w:r>
        <w:rPr>
          <w:rFonts w:hint="default" w:ascii="Times New Roman" w:hAnsi="Times New Roman" w:eastAsia="方正仿宋_GBK" w:cs="Times New Roman"/>
          <w:color w:val="auto"/>
          <w:sz w:val="32"/>
          <w:szCs w:val="32"/>
        </w:rPr>
        <w:t>46.8%</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3-1</w:t>
      </w:r>
      <w:r>
        <w:rPr>
          <w:rFonts w:hint="eastAsia" w:eastAsia="方正仿宋_GBK"/>
          <w:color w:val="auto"/>
          <w:sz w:val="32"/>
          <w:szCs w:val="32"/>
        </w:rPr>
        <w:t>）。</w:t>
      </w:r>
    </w:p>
    <w:p>
      <w:pPr>
        <w:snapToGrid w:val="0"/>
        <w:spacing w:line="600" w:lineRule="exact"/>
        <w:rPr>
          <w:rFonts w:eastAsia="方正仿宋_GBK"/>
          <w:color w:val="auto"/>
          <w:sz w:val="32"/>
          <w:szCs w:val="32"/>
        </w:rPr>
      </w:pP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3-1</w:t>
      </w:r>
      <w:r>
        <w:rPr>
          <w:rFonts w:hint="eastAsia" w:ascii="方正小标宋_GBK" w:eastAsia="方正小标宋_GBK"/>
          <w:bCs/>
          <w:color w:val="auto"/>
          <w:kern w:val="0"/>
          <w:sz w:val="28"/>
        </w:rPr>
        <w:t>　按登记注册类型分组的工业企业法人单位和从业人员</w:t>
      </w:r>
    </w:p>
    <w:tbl>
      <w:tblPr>
        <w:tblStyle w:val="4"/>
        <w:tblW w:w="8505" w:type="dxa"/>
        <w:jc w:val="center"/>
        <w:tblLayout w:type="autofit"/>
        <w:tblCellMar>
          <w:top w:w="0" w:type="dxa"/>
          <w:left w:w="108" w:type="dxa"/>
          <w:bottom w:w="0" w:type="dxa"/>
          <w:right w:w="108" w:type="dxa"/>
        </w:tblCellMar>
      </w:tblPr>
      <w:tblGrid>
        <w:gridCol w:w="2500"/>
        <w:gridCol w:w="3170"/>
        <w:gridCol w:w="2835"/>
      </w:tblGrid>
      <w:tr>
        <w:tblPrEx>
          <w:tblCellMar>
            <w:top w:w="0" w:type="dxa"/>
            <w:left w:w="108" w:type="dxa"/>
            <w:bottom w:w="0" w:type="dxa"/>
            <w:right w:w="108" w:type="dxa"/>
          </w:tblCellMar>
        </w:tblPrEx>
        <w:trPr>
          <w:trHeight w:val="390" w:hRule="atLeast"/>
          <w:jc w:val="center"/>
        </w:trPr>
        <w:tc>
          <w:tcPr>
            <w:tcW w:w="2500" w:type="dxa"/>
            <w:vMerge w:val="restart"/>
            <w:tcBorders>
              <w:top w:val="single" w:color="000000" w:sz="12"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　</w:t>
            </w:r>
          </w:p>
        </w:tc>
        <w:tc>
          <w:tcPr>
            <w:tcW w:w="3170" w:type="dxa"/>
            <w:tcBorders>
              <w:top w:val="single" w:color="000000" w:sz="12" w:space="0"/>
              <w:left w:val="nil"/>
              <w:right w:val="single" w:color="000000" w:sz="4" w:space="0"/>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企业法人单位</w:t>
            </w:r>
          </w:p>
        </w:tc>
        <w:tc>
          <w:tcPr>
            <w:tcW w:w="2835" w:type="dxa"/>
            <w:tcBorders>
              <w:top w:val="single" w:color="000000" w:sz="12" w:space="0"/>
              <w:left w:val="nil"/>
              <w:right w:val="nil"/>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从业人员</w:t>
            </w:r>
          </w:p>
        </w:tc>
      </w:tr>
      <w:tr>
        <w:tblPrEx>
          <w:tblCellMar>
            <w:top w:w="0" w:type="dxa"/>
            <w:left w:w="108" w:type="dxa"/>
            <w:bottom w:w="0" w:type="dxa"/>
            <w:right w:w="108" w:type="dxa"/>
          </w:tblCellMar>
        </w:tblPrEx>
        <w:trPr>
          <w:trHeight w:val="390" w:hRule="atLeast"/>
          <w:jc w:val="center"/>
        </w:trPr>
        <w:tc>
          <w:tcPr>
            <w:tcW w:w="25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宋体"/>
                <w:b/>
                <w:bCs/>
                <w:color w:val="auto"/>
                <w:kern w:val="0"/>
                <w:szCs w:val="21"/>
              </w:rPr>
            </w:pPr>
          </w:p>
        </w:tc>
        <w:tc>
          <w:tcPr>
            <w:tcW w:w="3170" w:type="dxa"/>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（个）</w:t>
            </w:r>
          </w:p>
        </w:tc>
        <w:tc>
          <w:tcPr>
            <w:tcW w:w="2835" w:type="dxa"/>
            <w:tcBorders>
              <w:top w:val="nil"/>
              <w:left w:val="nil"/>
              <w:bottom w:val="single" w:color="000000" w:sz="4" w:space="0"/>
              <w:right w:val="nil"/>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（人）</w:t>
            </w:r>
          </w:p>
        </w:tc>
      </w:tr>
      <w:tr>
        <w:tblPrEx>
          <w:tblCellMar>
            <w:top w:w="0" w:type="dxa"/>
            <w:left w:w="108" w:type="dxa"/>
            <w:bottom w:w="0" w:type="dxa"/>
            <w:right w:w="108" w:type="dxa"/>
          </w:tblCellMar>
        </w:tblPrEx>
        <w:trPr>
          <w:trHeight w:val="390" w:hRule="atLeast"/>
          <w:jc w:val="center"/>
        </w:trPr>
        <w:tc>
          <w:tcPr>
            <w:tcW w:w="2500" w:type="dxa"/>
            <w:tcBorders>
              <w:top w:val="single" w:color="000000" w:sz="4" w:space="0"/>
              <w:right w:val="single" w:color="000000"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合　计</w:t>
            </w:r>
          </w:p>
        </w:tc>
        <w:tc>
          <w:tcPr>
            <w:tcW w:w="3170" w:type="dxa"/>
            <w:tcBorders>
              <w:top w:val="single" w:color="000000" w:sz="4" w:space="0"/>
              <w:left w:val="nil"/>
              <w:right w:val="single" w:color="000000" w:sz="4" w:space="0"/>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1465</w:t>
            </w:r>
          </w:p>
        </w:tc>
        <w:tc>
          <w:tcPr>
            <w:tcW w:w="2835" w:type="dxa"/>
            <w:tcBorders>
              <w:top w:val="single" w:color="000000" w:sz="4" w:space="0"/>
              <w:left w:val="nil"/>
              <w:right w:val="nil"/>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70362</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b/>
                <w:bCs/>
                <w:color w:val="auto"/>
                <w:kern w:val="0"/>
                <w:szCs w:val="21"/>
              </w:rPr>
            </w:pPr>
            <w:r>
              <w:rPr>
                <w:rFonts w:hint="eastAsia" w:ascii="宋体" w:hAnsi="宋体" w:cs="宋体"/>
                <w:b/>
                <w:bCs/>
                <w:color w:val="auto"/>
                <w:kern w:val="0"/>
                <w:szCs w:val="21"/>
              </w:rPr>
              <w:t>内资企业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1445</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63011</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国有企业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154</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集体企业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144</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股份合作企业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210</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xml:space="preserve">    联营企业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有限责任公司</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128</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25856</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股份有限公司</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21</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3678</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私营企业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1268</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32963</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color w:val="auto"/>
                <w:kern w:val="0"/>
                <w:szCs w:val="21"/>
              </w:rPr>
            </w:pPr>
            <w:r>
              <w:rPr>
                <w:rFonts w:hint="eastAsia" w:ascii="宋体" w:hAnsi="宋体" w:cs="宋体"/>
                <w:color w:val="auto"/>
                <w:kern w:val="0"/>
                <w:szCs w:val="21"/>
              </w:rPr>
              <w:t>　　其他企业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6</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shd w:val="clear" w:color="auto" w:fill="auto"/>
            <w:vAlign w:val="center"/>
          </w:tcPr>
          <w:p>
            <w:pPr>
              <w:widowControl/>
              <w:rPr>
                <w:rFonts w:ascii="宋体" w:hAnsi="宋体" w:cs="宋体"/>
                <w:b/>
                <w:bCs/>
                <w:color w:val="auto"/>
                <w:kern w:val="0"/>
                <w:szCs w:val="21"/>
              </w:rPr>
            </w:pPr>
            <w:r>
              <w:rPr>
                <w:rFonts w:hint="eastAsia" w:ascii="宋体" w:hAnsi="宋体" w:cs="宋体"/>
                <w:b/>
                <w:bCs/>
                <w:color w:val="auto"/>
                <w:kern w:val="0"/>
                <w:szCs w:val="21"/>
              </w:rPr>
              <w:t>港、澳、台商投资企业</w:t>
            </w:r>
          </w:p>
        </w:tc>
        <w:tc>
          <w:tcPr>
            <w:tcW w:w="3170" w:type="dxa"/>
            <w:tcBorders>
              <w:top w:val="nil"/>
              <w:left w:val="nil"/>
              <w:right w:val="single" w:color="000000" w:sz="4" w:space="0"/>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8</w:t>
            </w:r>
          </w:p>
        </w:tc>
        <w:tc>
          <w:tcPr>
            <w:tcW w:w="2835" w:type="dxa"/>
            <w:tcBorders>
              <w:top w:val="nil"/>
              <w:left w:val="nil"/>
              <w:right w:val="nil"/>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2750</w:t>
            </w:r>
          </w:p>
        </w:tc>
      </w:tr>
      <w:tr>
        <w:tblPrEx>
          <w:tblCellMar>
            <w:top w:w="0" w:type="dxa"/>
            <w:left w:w="108" w:type="dxa"/>
            <w:bottom w:w="0" w:type="dxa"/>
            <w:right w:w="108" w:type="dxa"/>
          </w:tblCellMar>
        </w:tblPrEx>
        <w:trPr>
          <w:trHeight w:val="390" w:hRule="atLeast"/>
          <w:jc w:val="center"/>
        </w:trPr>
        <w:tc>
          <w:tcPr>
            <w:tcW w:w="2500" w:type="dxa"/>
            <w:tcBorders>
              <w:bottom w:val="single" w:color="000000" w:sz="12" w:space="0"/>
              <w:right w:val="single" w:color="000000" w:sz="4" w:space="0"/>
            </w:tcBorders>
            <w:shd w:val="clear" w:color="auto" w:fill="auto"/>
            <w:vAlign w:val="center"/>
          </w:tcPr>
          <w:p>
            <w:pPr>
              <w:widowControl/>
              <w:rPr>
                <w:rFonts w:ascii="宋体" w:hAnsi="宋体" w:cs="宋体"/>
                <w:b/>
                <w:bCs/>
                <w:color w:val="auto"/>
                <w:kern w:val="0"/>
                <w:szCs w:val="21"/>
              </w:rPr>
            </w:pPr>
            <w:r>
              <w:rPr>
                <w:rFonts w:hint="eastAsia" w:ascii="宋体" w:hAnsi="宋体" w:cs="宋体"/>
                <w:b/>
                <w:bCs/>
                <w:color w:val="auto"/>
                <w:kern w:val="0"/>
                <w:szCs w:val="21"/>
              </w:rPr>
              <w:t>外商投资企业</w:t>
            </w:r>
          </w:p>
        </w:tc>
        <w:tc>
          <w:tcPr>
            <w:tcW w:w="3170" w:type="dxa"/>
            <w:tcBorders>
              <w:left w:val="nil"/>
              <w:bottom w:val="single" w:color="000000" w:sz="12" w:space="0"/>
              <w:right w:val="single" w:color="000000" w:sz="4" w:space="0"/>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12</w:t>
            </w:r>
          </w:p>
        </w:tc>
        <w:tc>
          <w:tcPr>
            <w:tcW w:w="2835" w:type="dxa"/>
            <w:tcBorders>
              <w:left w:val="nil"/>
              <w:bottom w:val="single" w:color="000000" w:sz="12" w:space="0"/>
              <w:right w:val="nil"/>
            </w:tcBorders>
            <w:shd w:val="clear" w:color="auto" w:fill="auto"/>
            <w:vAlign w:val="bottom"/>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4601</w:t>
            </w:r>
          </w:p>
        </w:tc>
      </w:tr>
    </w:tbl>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在工业企业法人单位中，采矿业</w:t>
      </w:r>
      <w:r>
        <w:rPr>
          <w:rFonts w:hint="default" w:ascii="Times New Roman" w:hAnsi="Times New Roman" w:eastAsia="方正仿宋_GBK" w:cs="Times New Roman"/>
          <w:color w:val="auto"/>
          <w:sz w:val="32"/>
          <w:szCs w:val="32"/>
        </w:rPr>
        <w:t>6</w:t>
      </w:r>
      <w:r>
        <w:rPr>
          <w:rFonts w:hint="eastAsia" w:eastAsia="方正仿宋_GBK"/>
          <w:color w:val="auto"/>
          <w:sz w:val="32"/>
          <w:szCs w:val="32"/>
        </w:rPr>
        <w:t>个，制造业</w:t>
      </w:r>
      <w:r>
        <w:rPr>
          <w:rFonts w:hint="default" w:ascii="Times New Roman" w:hAnsi="Times New Roman" w:eastAsia="方正仿宋_GBK" w:cs="Times New Roman"/>
          <w:color w:val="auto"/>
          <w:sz w:val="32"/>
          <w:szCs w:val="32"/>
        </w:rPr>
        <w:t>1446</w:t>
      </w:r>
      <w:r>
        <w:rPr>
          <w:rFonts w:hint="eastAsia" w:eastAsia="方正仿宋_GBK"/>
          <w:color w:val="auto"/>
          <w:sz w:val="32"/>
          <w:szCs w:val="32"/>
        </w:rPr>
        <w:t>个，电力、热力、燃气及水生产和供应业</w:t>
      </w:r>
      <w:r>
        <w:rPr>
          <w:rFonts w:hint="default" w:ascii="Times New Roman" w:hAnsi="Times New Roman" w:eastAsia="方正仿宋_GBK" w:cs="Times New Roman"/>
          <w:color w:val="auto"/>
          <w:sz w:val="32"/>
          <w:szCs w:val="32"/>
        </w:rPr>
        <w:t>13</w:t>
      </w:r>
      <w:r>
        <w:rPr>
          <w:rFonts w:hint="eastAsia" w:eastAsia="方正仿宋_GBK"/>
          <w:color w:val="auto"/>
          <w:sz w:val="32"/>
          <w:szCs w:val="32"/>
        </w:rPr>
        <w:t>个，分别占</w:t>
      </w:r>
      <w:r>
        <w:rPr>
          <w:rFonts w:hint="default" w:ascii="Times New Roman" w:hAnsi="Times New Roman" w:eastAsia="方正仿宋_GBK" w:cs="Times New Roman"/>
          <w:color w:val="auto"/>
          <w:sz w:val="32"/>
          <w:szCs w:val="32"/>
        </w:rPr>
        <w:t>0.4%</w:t>
      </w:r>
      <w:r>
        <w:rPr>
          <w:rFonts w:hint="eastAsia" w:eastAsia="方正仿宋_GBK"/>
          <w:color w:val="auto"/>
          <w:sz w:val="32"/>
          <w:szCs w:val="32"/>
        </w:rPr>
        <w:t>、</w:t>
      </w:r>
      <w:r>
        <w:rPr>
          <w:rFonts w:hint="default" w:ascii="Times New Roman" w:hAnsi="Times New Roman" w:eastAsia="方正仿宋_GBK" w:cs="Times New Roman"/>
          <w:color w:val="auto"/>
          <w:sz w:val="32"/>
          <w:szCs w:val="32"/>
        </w:rPr>
        <w:t>98.7%</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0.9%</w:t>
      </w:r>
      <w:r>
        <w:rPr>
          <w:rFonts w:hint="eastAsia" w:eastAsia="方正仿宋_GBK"/>
          <w:color w:val="auto"/>
          <w:sz w:val="32"/>
          <w:szCs w:val="32"/>
        </w:rPr>
        <w:t>。在工业行业大类中，金属制品业、汽车制造业、通用设备制造业企业法人</w:t>
      </w:r>
      <w:r>
        <w:rPr>
          <w:rFonts w:eastAsia="方正仿宋_GBK"/>
          <w:color w:val="auto"/>
          <w:sz w:val="32"/>
          <w:szCs w:val="32"/>
        </w:rPr>
        <w:t>单位</w:t>
      </w:r>
      <w:r>
        <w:rPr>
          <w:rFonts w:hint="eastAsia" w:eastAsia="方正仿宋_GBK"/>
          <w:color w:val="auto"/>
          <w:sz w:val="32"/>
          <w:szCs w:val="32"/>
        </w:rPr>
        <w:t>数位居前三位，分别占</w:t>
      </w:r>
      <w:r>
        <w:rPr>
          <w:rFonts w:hint="default" w:ascii="Times New Roman" w:hAnsi="Times New Roman" w:eastAsia="方正仿宋_GBK" w:cs="Times New Roman"/>
          <w:color w:val="auto"/>
          <w:sz w:val="32"/>
          <w:szCs w:val="32"/>
        </w:rPr>
        <w:t>9.0%</w:t>
      </w:r>
      <w:r>
        <w:rPr>
          <w:rFonts w:hint="eastAsia" w:eastAsia="方正仿宋_GBK"/>
          <w:color w:val="auto"/>
          <w:sz w:val="32"/>
          <w:szCs w:val="32"/>
        </w:rPr>
        <w:t>、</w:t>
      </w:r>
      <w:r>
        <w:rPr>
          <w:rFonts w:hint="default" w:ascii="Times New Roman" w:hAnsi="Times New Roman" w:eastAsia="方正仿宋_GBK" w:cs="Times New Roman"/>
          <w:color w:val="auto"/>
          <w:sz w:val="32"/>
          <w:szCs w:val="32"/>
        </w:rPr>
        <w:t>8.4%</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8.2%</w:t>
      </w:r>
      <w:r>
        <w:rPr>
          <w:rFonts w:hint="eastAsia" w:eastAsia="方正仿宋_GBK"/>
          <w:color w:val="auto"/>
          <w:sz w:val="32"/>
          <w:szCs w:val="32"/>
        </w:rPr>
        <w:t>。</w:t>
      </w:r>
    </w:p>
    <w:p>
      <w:pPr>
        <w:snapToGrid w:val="0"/>
        <w:spacing w:line="600" w:lineRule="exact"/>
        <w:ind w:firstLine="640" w:firstLineChars="200"/>
        <w:rPr>
          <w:rFonts w:ascii="方正小标宋_GBK" w:eastAsia="方正小标宋_GBK"/>
          <w:bCs/>
          <w:color w:val="auto"/>
          <w:kern w:val="0"/>
          <w:sz w:val="28"/>
        </w:rPr>
      </w:pPr>
      <w:r>
        <w:rPr>
          <w:rFonts w:hint="eastAsia" w:eastAsia="方正仿宋_GBK"/>
          <w:color w:val="auto"/>
          <w:sz w:val="32"/>
          <w:szCs w:val="32"/>
        </w:rPr>
        <w:t>在工业企业法人单位从业人员中，采矿业</w:t>
      </w:r>
      <w:r>
        <w:rPr>
          <w:rFonts w:hint="default" w:ascii="Times New Roman" w:hAnsi="Times New Roman" w:eastAsia="方正仿宋_GBK" w:cs="Times New Roman"/>
          <w:color w:val="auto"/>
          <w:sz w:val="32"/>
          <w:szCs w:val="32"/>
        </w:rPr>
        <w:t>17</w:t>
      </w:r>
      <w:r>
        <w:rPr>
          <w:rFonts w:hint="eastAsia" w:eastAsia="方正仿宋_GBK"/>
          <w:color w:val="auto"/>
          <w:sz w:val="32"/>
          <w:szCs w:val="32"/>
        </w:rPr>
        <w:t>人，制造业</w:t>
      </w:r>
      <w:r>
        <w:rPr>
          <w:rFonts w:hint="default" w:ascii="Times New Roman" w:hAnsi="Times New Roman" w:eastAsia="方正仿宋_GBK" w:cs="Times New Roman"/>
          <w:color w:val="auto"/>
          <w:sz w:val="32"/>
          <w:szCs w:val="32"/>
        </w:rPr>
        <w:t>69923</w:t>
      </w:r>
      <w:r>
        <w:rPr>
          <w:rFonts w:hint="eastAsia" w:eastAsia="方正仿宋_GBK"/>
          <w:color w:val="auto"/>
          <w:sz w:val="32"/>
          <w:szCs w:val="32"/>
        </w:rPr>
        <w:t>人，电力、热力、燃气及水生产和供应业</w:t>
      </w:r>
      <w:r>
        <w:rPr>
          <w:rFonts w:hint="default" w:ascii="Times New Roman" w:hAnsi="Times New Roman" w:eastAsia="方正仿宋_GBK" w:cs="Times New Roman"/>
          <w:color w:val="auto"/>
          <w:sz w:val="32"/>
          <w:szCs w:val="32"/>
        </w:rPr>
        <w:t>422</w:t>
      </w:r>
      <w:r>
        <w:rPr>
          <w:rFonts w:hint="eastAsia" w:eastAsia="方正仿宋_GBK"/>
          <w:color w:val="auto"/>
          <w:sz w:val="32"/>
          <w:szCs w:val="32"/>
        </w:rPr>
        <w:t>人，采矿业占</w:t>
      </w:r>
      <w:r>
        <w:rPr>
          <w:rFonts w:hint="default" w:ascii="Times New Roman" w:hAnsi="Times New Roman" w:eastAsia="方正仿宋_GBK" w:cs="Times New Roman"/>
          <w:color w:val="auto"/>
          <w:sz w:val="32"/>
          <w:szCs w:val="32"/>
        </w:rPr>
        <w:t>0.02%</w:t>
      </w:r>
      <w:r>
        <w:rPr>
          <w:rFonts w:hint="eastAsia" w:eastAsia="方正仿宋_GBK"/>
          <w:color w:val="auto"/>
          <w:sz w:val="32"/>
          <w:szCs w:val="32"/>
        </w:rPr>
        <w:t>，制造业占</w:t>
      </w:r>
      <w:r>
        <w:rPr>
          <w:rFonts w:hint="default" w:ascii="Times New Roman" w:hAnsi="Times New Roman" w:eastAsia="方正仿宋_GBK" w:cs="Times New Roman"/>
          <w:color w:val="auto"/>
          <w:sz w:val="32"/>
          <w:szCs w:val="32"/>
        </w:rPr>
        <w:t>99.38%</w:t>
      </w:r>
      <w:r>
        <w:rPr>
          <w:rFonts w:hint="eastAsia" w:eastAsia="方正仿宋_GBK"/>
          <w:color w:val="auto"/>
          <w:sz w:val="32"/>
          <w:szCs w:val="32"/>
        </w:rPr>
        <w:t>，电力、热力、燃气及水生产和供应业占</w:t>
      </w:r>
      <w:r>
        <w:rPr>
          <w:rFonts w:hint="default" w:ascii="Times New Roman" w:hAnsi="Times New Roman" w:eastAsia="方正仿宋_GBK" w:cs="Times New Roman"/>
          <w:color w:val="auto"/>
          <w:sz w:val="32"/>
          <w:szCs w:val="32"/>
        </w:rPr>
        <w:t>0.60%</w:t>
      </w:r>
      <w:r>
        <w:rPr>
          <w:rFonts w:hint="eastAsia" w:eastAsia="方正仿宋_GBK"/>
          <w:color w:val="auto"/>
          <w:sz w:val="32"/>
          <w:szCs w:val="32"/>
        </w:rPr>
        <w:t>。在工业行业大类中，计算机、通信和其他电子设备制造业、通用设备制造业、铁路、船舶、航空航天和其他运输设备制造业从业人员数位居前三位，分别占</w:t>
      </w:r>
      <w:r>
        <w:rPr>
          <w:rFonts w:hint="default" w:ascii="Times New Roman" w:hAnsi="Times New Roman" w:eastAsia="方正仿宋_GBK" w:cs="Times New Roman"/>
          <w:color w:val="auto"/>
          <w:sz w:val="32"/>
          <w:szCs w:val="32"/>
        </w:rPr>
        <w:t>15.5%</w:t>
      </w:r>
      <w:r>
        <w:rPr>
          <w:rFonts w:hint="eastAsia" w:eastAsia="方正仿宋_GBK"/>
          <w:color w:val="auto"/>
          <w:sz w:val="32"/>
          <w:szCs w:val="32"/>
        </w:rPr>
        <w:t>、</w:t>
      </w:r>
      <w:r>
        <w:rPr>
          <w:rFonts w:hint="default" w:ascii="Times New Roman" w:hAnsi="Times New Roman" w:eastAsia="方正仿宋_GBK" w:cs="Times New Roman"/>
          <w:color w:val="auto"/>
          <w:sz w:val="32"/>
          <w:szCs w:val="32"/>
        </w:rPr>
        <w:t>10.0%</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8.5%</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3-2</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3-2</w:t>
      </w:r>
      <w:r>
        <w:rPr>
          <w:rFonts w:hint="eastAsia" w:ascii="方正小标宋_GBK" w:eastAsia="方正小标宋_GBK"/>
          <w:bCs/>
          <w:color w:val="auto"/>
          <w:kern w:val="0"/>
          <w:sz w:val="28"/>
        </w:rPr>
        <w:t>　按行业大类分组的工业企业法人单位和从业人员</w:t>
      </w:r>
    </w:p>
    <w:tbl>
      <w:tblPr>
        <w:tblStyle w:val="4"/>
        <w:tblW w:w="4656" w:type="pct"/>
        <w:tblInd w:w="306" w:type="dxa"/>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autofit"/>
        <w:tblCellMar>
          <w:top w:w="0" w:type="dxa"/>
          <w:left w:w="108" w:type="dxa"/>
          <w:bottom w:w="0" w:type="dxa"/>
          <w:right w:w="108" w:type="dxa"/>
        </w:tblCellMar>
      </w:tblPr>
      <w:tblGrid>
        <w:gridCol w:w="5033"/>
        <w:gridCol w:w="1895"/>
        <w:gridCol w:w="1509"/>
      </w:tblGrid>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57" w:hRule="atLeast"/>
        </w:trPr>
        <w:tc>
          <w:tcPr>
            <w:tcW w:w="2982" w:type="pct"/>
            <w:vMerge w:val="restart"/>
            <w:tcBorders>
              <w:top w:val="single" w:color="000000" w:sz="12"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　</w:t>
            </w:r>
          </w:p>
        </w:tc>
        <w:tc>
          <w:tcPr>
            <w:tcW w:w="1123" w:type="pct"/>
            <w:tcBorders>
              <w:top w:val="single" w:color="000000" w:sz="12" w:space="0"/>
              <w:bottom w:val="nil"/>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企业法人单位</w:t>
            </w:r>
          </w:p>
        </w:tc>
        <w:tc>
          <w:tcPr>
            <w:tcW w:w="894" w:type="pct"/>
            <w:tcBorders>
              <w:top w:val="single" w:color="000000" w:sz="12" w:space="0"/>
              <w:bottom w:val="nil"/>
            </w:tcBorders>
            <w:shd w:val="clear" w:color="auto" w:fill="auto"/>
            <w:vAlign w:val="center"/>
          </w:tcPr>
          <w:p>
            <w:pPr>
              <w:widowControl/>
              <w:jc w:val="center"/>
              <w:rPr>
                <w:rFonts w:ascii="黑体" w:hAnsi="黑体" w:eastAsia="黑体" w:cs="宋体"/>
                <w:bCs/>
                <w:color w:val="auto"/>
                <w:kern w:val="0"/>
                <w:szCs w:val="21"/>
              </w:rPr>
            </w:pPr>
            <w:r>
              <w:rPr>
                <w:rFonts w:hint="eastAsia" w:ascii="黑体" w:hAnsi="黑体" w:eastAsia="黑体" w:cs="宋体"/>
                <w:bCs/>
                <w:color w:val="auto"/>
                <w:kern w:val="0"/>
                <w:szCs w:val="21"/>
              </w:rPr>
              <w:t>从业人员</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57" w:hRule="atLeast"/>
        </w:trPr>
        <w:tc>
          <w:tcPr>
            <w:tcW w:w="2982" w:type="pct"/>
            <w:vMerge w:val="continue"/>
            <w:tcBorders>
              <w:top w:val="single" w:color="000000" w:sz="4" w:space="0"/>
              <w:bottom w:val="single" w:color="000000" w:sz="4" w:space="0"/>
            </w:tcBorders>
            <w:vAlign w:val="center"/>
          </w:tcPr>
          <w:p>
            <w:pPr>
              <w:widowControl/>
              <w:spacing w:line="220" w:lineRule="exact"/>
              <w:jc w:val="left"/>
              <w:rPr>
                <w:rFonts w:ascii="宋体" w:hAnsi="宋体" w:cs="宋体"/>
                <w:bCs/>
                <w:color w:val="auto"/>
                <w:kern w:val="0"/>
                <w:sz w:val="20"/>
                <w:szCs w:val="20"/>
              </w:rPr>
            </w:pPr>
          </w:p>
        </w:tc>
        <w:tc>
          <w:tcPr>
            <w:tcW w:w="1123" w:type="pct"/>
            <w:tcBorders>
              <w:top w:val="nil"/>
              <w:bottom w:val="single" w:color="000000" w:sz="4" w:space="0"/>
            </w:tcBorders>
            <w:shd w:val="clear" w:color="auto" w:fill="auto"/>
            <w:vAlign w:val="center"/>
          </w:tcPr>
          <w:p>
            <w:pPr>
              <w:widowControl/>
              <w:spacing w:line="220" w:lineRule="exact"/>
              <w:jc w:val="center"/>
              <w:rPr>
                <w:rFonts w:ascii="黑体" w:hAnsi="黑体" w:eastAsia="黑体" w:cs="宋体"/>
                <w:bCs/>
                <w:color w:val="auto"/>
                <w:kern w:val="0"/>
                <w:sz w:val="20"/>
                <w:szCs w:val="20"/>
              </w:rPr>
            </w:pPr>
            <w:r>
              <w:rPr>
                <w:rFonts w:hint="eastAsia" w:ascii="黑体" w:hAnsi="黑体" w:eastAsia="黑体" w:cs="宋体"/>
                <w:bCs/>
                <w:color w:val="auto"/>
                <w:kern w:val="0"/>
                <w:szCs w:val="21"/>
              </w:rPr>
              <w:t>（个）</w:t>
            </w:r>
          </w:p>
        </w:tc>
        <w:tc>
          <w:tcPr>
            <w:tcW w:w="894" w:type="pct"/>
            <w:tcBorders>
              <w:top w:val="nil"/>
              <w:bottom w:val="single" w:color="000000" w:sz="4" w:space="0"/>
            </w:tcBorders>
            <w:shd w:val="clear" w:color="auto" w:fill="auto"/>
            <w:vAlign w:val="center"/>
          </w:tcPr>
          <w:p>
            <w:pPr>
              <w:widowControl/>
              <w:spacing w:line="220" w:lineRule="exact"/>
              <w:jc w:val="center"/>
              <w:rPr>
                <w:rFonts w:ascii="黑体" w:hAnsi="黑体" w:eastAsia="黑体" w:cs="宋体"/>
                <w:bCs/>
                <w:color w:val="auto"/>
                <w:kern w:val="0"/>
                <w:sz w:val="20"/>
                <w:szCs w:val="20"/>
              </w:rPr>
            </w:pPr>
            <w:r>
              <w:rPr>
                <w:rFonts w:hint="eastAsia" w:ascii="黑体" w:hAnsi="黑体" w:eastAsia="黑体" w:cs="宋体"/>
                <w:bCs/>
                <w:color w:val="auto"/>
                <w:kern w:val="0"/>
                <w:szCs w:val="21"/>
              </w:rPr>
              <w:t>（人）</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190" w:hRule="atLeast"/>
        </w:trPr>
        <w:tc>
          <w:tcPr>
            <w:tcW w:w="2982" w:type="pct"/>
            <w:tcBorders>
              <w:top w:val="single" w:color="000000" w:sz="4" w:space="0"/>
              <w:bottom w:val="nil"/>
            </w:tcBorders>
            <w:shd w:val="clear" w:color="auto" w:fill="auto"/>
            <w:vAlign w:val="center"/>
          </w:tcPr>
          <w:p>
            <w:pPr>
              <w:widowControl/>
              <w:spacing w:line="300" w:lineRule="exact"/>
              <w:jc w:val="center"/>
              <w:rPr>
                <w:rFonts w:ascii="宋体" w:hAnsi="宋体" w:cs="宋体"/>
                <w:b/>
                <w:bCs/>
                <w:color w:val="auto"/>
                <w:kern w:val="0"/>
                <w:sz w:val="21"/>
                <w:szCs w:val="21"/>
              </w:rPr>
            </w:pPr>
            <w:r>
              <w:rPr>
                <w:rFonts w:hint="eastAsia" w:ascii="宋体" w:hAnsi="宋体" w:cs="宋体"/>
                <w:b/>
                <w:bCs/>
                <w:color w:val="auto"/>
                <w:kern w:val="0"/>
                <w:sz w:val="21"/>
                <w:szCs w:val="21"/>
              </w:rPr>
              <w:t>合　计</w:t>
            </w:r>
          </w:p>
        </w:tc>
        <w:tc>
          <w:tcPr>
            <w:tcW w:w="1123" w:type="pct"/>
            <w:tcBorders>
              <w:top w:val="single" w:color="000000" w:sz="4" w:space="0"/>
              <w:bottom w:val="nil"/>
            </w:tcBorders>
            <w:shd w:val="clear" w:color="auto" w:fill="auto"/>
            <w:vAlign w:val="bottom"/>
          </w:tcPr>
          <w:p>
            <w:pPr>
              <w:spacing w:line="300" w:lineRule="exact"/>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1465</w:t>
            </w:r>
          </w:p>
        </w:tc>
        <w:tc>
          <w:tcPr>
            <w:tcW w:w="894" w:type="pct"/>
            <w:tcBorders>
              <w:top w:val="single" w:color="000000" w:sz="4" w:space="0"/>
              <w:bottom w:val="nil"/>
            </w:tcBorders>
            <w:shd w:val="clear" w:color="auto" w:fill="auto"/>
            <w:vAlign w:val="bottom"/>
          </w:tcPr>
          <w:p>
            <w:pPr>
              <w:spacing w:line="300" w:lineRule="exact"/>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70362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煤炭开采和洗选业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石油和天然气开采业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黑色金属矿采选业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有色金属矿采选业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非金属矿采选业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开采专业及辅助性活动</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其他采矿业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农副食品加工业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1730</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食品制造业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29</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838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酒、饮料和精制茶制造业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1212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烟草制品业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3282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纺织业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纺织服装、服饰业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51</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3142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皮革、毛皮、羽毛及其制品和制鞋业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木材加工和木、竹、藤、棕、草制品业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26</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476</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家具制造业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79</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724</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造纸和纸制品业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28</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578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印刷和记录媒介复制业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1711</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文教、工美、体育和娱乐用品制造业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石油、煤炭及其他燃料加工业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化学原料和化学制品制造业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43</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1582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医药制造业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19</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3625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化学纤维制造业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橡胶和塑料制品业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2704</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非金属矿物制品业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2766</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黑色金属冶炼和压延加工业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有色金属冶炼和压延加工业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66</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金属制品业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5267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通用设备制造业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7027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专用设备制造业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93</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1778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汽车制造业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123</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5486</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铁路、船舶、航空航天和其他运输设备制造业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77</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5963</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电气机械和器材制造业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3891</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计算机、通信和其他电子设备制造业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10928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仪器仪表制造业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2168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其他制造业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2397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废弃资源综合利用业　</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金属制品、机械和设备修理业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56</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电力、热力生产和供应业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181</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燃气生产和供应业</w:t>
            </w:r>
          </w:p>
        </w:tc>
        <w:tc>
          <w:tcPr>
            <w:tcW w:w="1123"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9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PrEx>
        <w:trPr>
          <w:trHeight w:val="20" w:hRule="atLeast"/>
        </w:trPr>
        <w:tc>
          <w:tcPr>
            <w:tcW w:w="2982" w:type="pct"/>
            <w:tcBorders>
              <w:top w:val="nil"/>
              <w:bottom w:val="single" w:color="000000" w:sz="12" w:space="0"/>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水的生产和供应业</w:t>
            </w:r>
          </w:p>
        </w:tc>
        <w:tc>
          <w:tcPr>
            <w:tcW w:w="1123" w:type="pct"/>
            <w:tcBorders>
              <w:top w:val="nil"/>
              <w:bottom w:val="single" w:color="000000" w:sz="12" w:space="0"/>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94" w:type="pct"/>
            <w:tcBorders>
              <w:top w:val="nil"/>
              <w:bottom w:val="single" w:color="000000" w:sz="12" w:space="0"/>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201</w:t>
            </w:r>
          </w:p>
        </w:tc>
      </w:tr>
    </w:tbl>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3-3</w:t>
      </w:r>
      <w:r>
        <w:rPr>
          <w:rFonts w:hint="eastAsia" w:ascii="方正小标宋_GBK" w:eastAsia="方正小标宋_GBK"/>
          <w:bCs/>
          <w:color w:val="auto"/>
          <w:kern w:val="0"/>
          <w:sz w:val="28"/>
        </w:rPr>
        <w:t>　按行业大类分组的工业企业法人单位主要经济指标</w:t>
      </w:r>
    </w:p>
    <w:p>
      <w:pPr>
        <w:spacing w:line="20" w:lineRule="exact"/>
        <w:rPr>
          <w:rFonts w:ascii="仿宋_GB2312" w:hAnsi="宋体" w:eastAsia="仿宋_GB2312" w:cs="宋体"/>
          <w:color w:val="auto"/>
          <w:kern w:val="0"/>
          <w:sz w:val="10"/>
          <w:szCs w:val="10"/>
        </w:rPr>
      </w:pPr>
    </w:p>
    <w:tbl>
      <w:tblPr>
        <w:tblStyle w:val="4"/>
        <w:tblW w:w="4681" w:type="pct"/>
        <w:tblInd w:w="295" w:type="dxa"/>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autofit"/>
        <w:tblCellMar>
          <w:top w:w="0" w:type="dxa"/>
          <w:left w:w="108" w:type="dxa"/>
          <w:bottom w:w="0" w:type="dxa"/>
          <w:right w:w="108" w:type="dxa"/>
        </w:tblCellMar>
      </w:tblPr>
      <w:tblGrid>
        <w:gridCol w:w="5062"/>
        <w:gridCol w:w="1171"/>
        <w:gridCol w:w="1105"/>
        <w:gridCol w:w="1144"/>
      </w:tblGrid>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PrEx>
        <w:trPr>
          <w:trHeight w:val="281" w:hRule="atLeast"/>
        </w:trPr>
        <w:tc>
          <w:tcPr>
            <w:tcW w:w="2982" w:type="pct"/>
            <w:vMerge w:val="restart"/>
            <w:tcBorders>
              <w:top w:val="single" w:color="000000" w:sz="12" w:space="0"/>
              <w:bottom w:val="single" w:color="000000" w:sz="4" w:space="0"/>
            </w:tcBorders>
            <w:shd w:val="clear" w:color="auto" w:fill="auto"/>
            <w:vAlign w:val="center"/>
          </w:tcPr>
          <w:p>
            <w:pPr>
              <w:widowControl/>
              <w:jc w:val="center"/>
              <w:rPr>
                <w:rFonts w:ascii="宋体" w:hAnsi="宋体" w:cs="宋体"/>
                <w:b/>
                <w:bCs/>
                <w:color w:val="auto"/>
                <w:kern w:val="0"/>
                <w:szCs w:val="21"/>
              </w:rPr>
            </w:pPr>
            <w:r>
              <w:rPr>
                <w:rFonts w:ascii="宋体" w:hAnsi="宋体" w:cs="宋体"/>
                <w:b/>
                <w:bCs/>
                <w:color w:val="auto"/>
                <w:kern w:val="0"/>
                <w:szCs w:val="21"/>
              </w:rPr>
              <w:t>　</w:t>
            </w:r>
          </w:p>
        </w:tc>
        <w:tc>
          <w:tcPr>
            <w:tcW w:w="690" w:type="pct"/>
            <w:tcBorders>
              <w:top w:val="single" w:color="000000" w:sz="12" w:space="0"/>
              <w:bottom w:val="nil"/>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资产总计</w:t>
            </w:r>
          </w:p>
        </w:tc>
        <w:tc>
          <w:tcPr>
            <w:tcW w:w="651" w:type="pct"/>
            <w:tcBorders>
              <w:top w:val="single" w:color="000000" w:sz="12" w:space="0"/>
              <w:bottom w:val="nil"/>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负债合计</w:t>
            </w:r>
          </w:p>
        </w:tc>
        <w:tc>
          <w:tcPr>
            <w:tcW w:w="674" w:type="pct"/>
            <w:tcBorders>
              <w:top w:val="single" w:color="000000" w:sz="12" w:space="0"/>
              <w:bottom w:val="nil"/>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营业收入</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1" w:hRule="atLeast"/>
        </w:trPr>
        <w:tc>
          <w:tcPr>
            <w:tcW w:w="2982" w:type="pct"/>
            <w:vMerge w:val="continue"/>
            <w:tcBorders>
              <w:top w:val="single" w:color="000000" w:sz="4" w:space="0"/>
              <w:bottom w:val="single" w:color="000000" w:sz="4" w:space="0"/>
            </w:tcBorders>
            <w:vAlign w:val="center"/>
          </w:tcPr>
          <w:p>
            <w:pPr>
              <w:widowControl/>
              <w:jc w:val="center"/>
              <w:rPr>
                <w:rFonts w:ascii="宋体" w:hAnsi="宋体" w:cs="宋体"/>
                <w:b/>
                <w:bCs/>
                <w:color w:val="auto"/>
                <w:kern w:val="0"/>
                <w:szCs w:val="21"/>
              </w:rPr>
            </w:pPr>
          </w:p>
        </w:tc>
        <w:tc>
          <w:tcPr>
            <w:tcW w:w="690" w:type="pct"/>
            <w:tcBorders>
              <w:top w:val="nil"/>
              <w:bottom w:val="single" w:color="000000" w:sz="4" w:space="0"/>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（亿元）</w:t>
            </w:r>
          </w:p>
        </w:tc>
        <w:tc>
          <w:tcPr>
            <w:tcW w:w="651" w:type="pct"/>
            <w:tcBorders>
              <w:top w:val="nil"/>
              <w:bottom w:val="single" w:color="000000" w:sz="4" w:space="0"/>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（亿元）</w:t>
            </w:r>
          </w:p>
        </w:tc>
        <w:tc>
          <w:tcPr>
            <w:tcW w:w="674" w:type="pct"/>
            <w:tcBorders>
              <w:top w:val="nil"/>
              <w:bottom w:val="single" w:color="000000" w:sz="4" w:space="0"/>
            </w:tcBorders>
            <w:shd w:val="clear" w:color="auto" w:fill="auto"/>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（亿元）</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single" w:color="000000" w:sz="4" w:space="0"/>
              <w:bottom w:val="nil"/>
            </w:tcBorders>
            <w:shd w:val="clear" w:color="auto" w:fill="auto"/>
            <w:vAlign w:val="center"/>
          </w:tcPr>
          <w:p>
            <w:pPr>
              <w:widowControl/>
              <w:spacing w:line="300" w:lineRule="exact"/>
              <w:jc w:val="center"/>
              <w:rPr>
                <w:rFonts w:ascii="宋体" w:hAnsi="宋体" w:cs="宋体"/>
                <w:b/>
                <w:bCs/>
                <w:color w:val="auto"/>
                <w:kern w:val="0"/>
                <w:sz w:val="21"/>
                <w:szCs w:val="21"/>
              </w:rPr>
            </w:pPr>
            <w:r>
              <w:rPr>
                <w:rFonts w:hint="eastAsia" w:ascii="宋体" w:hAnsi="宋体" w:cs="宋体"/>
                <w:b/>
                <w:bCs/>
                <w:color w:val="auto"/>
                <w:kern w:val="0"/>
                <w:sz w:val="21"/>
                <w:szCs w:val="21"/>
              </w:rPr>
              <w:t>合　计</w:t>
            </w:r>
          </w:p>
        </w:tc>
        <w:tc>
          <w:tcPr>
            <w:tcW w:w="690" w:type="pct"/>
            <w:tcBorders>
              <w:top w:val="single" w:color="000000" w:sz="4" w:space="0"/>
              <w:bottom w:val="nil"/>
            </w:tcBorders>
            <w:shd w:val="clear" w:color="auto" w:fill="auto"/>
            <w:vAlign w:val="bottom"/>
          </w:tcPr>
          <w:p>
            <w:pPr>
              <w:spacing w:line="300" w:lineRule="exact"/>
              <w:jc w:val="right"/>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 xml:space="preserve">861.88 </w:t>
            </w:r>
          </w:p>
        </w:tc>
        <w:tc>
          <w:tcPr>
            <w:tcW w:w="651" w:type="pct"/>
            <w:tcBorders>
              <w:top w:val="single" w:color="000000" w:sz="4" w:space="0"/>
              <w:bottom w:val="nil"/>
            </w:tcBorders>
            <w:shd w:val="clear" w:color="auto" w:fill="auto"/>
            <w:vAlign w:val="bottom"/>
          </w:tcPr>
          <w:p>
            <w:pPr>
              <w:spacing w:line="300" w:lineRule="exact"/>
              <w:jc w:val="right"/>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 xml:space="preserve">463.94 </w:t>
            </w:r>
          </w:p>
        </w:tc>
        <w:tc>
          <w:tcPr>
            <w:tcW w:w="674" w:type="pct"/>
            <w:tcBorders>
              <w:top w:val="single" w:color="000000" w:sz="4" w:space="0"/>
              <w:bottom w:val="nil"/>
            </w:tcBorders>
            <w:shd w:val="clear" w:color="auto" w:fill="auto"/>
            <w:vAlign w:val="bottom"/>
          </w:tcPr>
          <w:p>
            <w:pPr>
              <w:spacing w:line="300" w:lineRule="exact"/>
              <w:jc w:val="right"/>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 xml:space="preserve">912.15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煤炭开采和洗选业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石油和天然气开采业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黑色金属矿采选业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有色金属矿采选业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非金属矿采选业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0.16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0.03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0.01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开采专业及辅助性活动</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其他采矿业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农副食品加工业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8.20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4.66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10.19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食品制造业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8.07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3.19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9.66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酒、饮料和精制茶制造业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8.55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4.94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17.91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烟草制品业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156.91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53.43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145.86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纺织业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0.30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0.13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0.32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纺织服装、服饰业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7.11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2.30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11.77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皮革、毛皮、羽毛及其制品和制鞋业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0.18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0.22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木材加工和木、竹、藤、棕、草制品业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0.73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0.54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0.60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家具制造业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1.37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0.16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1.22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造纸和纸制品业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6.64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5.09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4.51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印刷和记录媒介复制业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14.20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9.25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8.63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文教、工美、体育和娱乐用品制造业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0.35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石油、煤炭及其他燃料加工业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化学原料和化学制品制造业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16.95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5.62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12.93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医药制造业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64.68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29.99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37.69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化学纤维制造业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橡胶和塑料制品业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15.11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9.72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11.73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非金属矿物制品业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41.13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31.70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35.93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黑色金属冶炼和压延加工业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0.01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0.04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有色金属冶炼和压延加工业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0.22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0.02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0.93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金属制品业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43.69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28.28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31.89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通用设备制造业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89.78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56.64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44.11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专用设备制造业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14.01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6.23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7.98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汽车制造业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49.27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27.08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37.05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铁路、船舶、航空航天和其他运输设备制造业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54.14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31.89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47.23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电气机械和器材制造业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30.47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18.79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69.91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计算机、通信和其他电子设备制造业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146.84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97.65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337.09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仪器仪表制造业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12.10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7.44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11.50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其他制造业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21.11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9.66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9.45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废弃资源综合利用业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金属制品、机械和设备修理业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0.59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0.24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0.58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电力、热力生产和供应业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39.23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14.87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0.69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nil"/>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燃气生产和供应业</w:t>
            </w:r>
          </w:p>
        </w:tc>
        <w:tc>
          <w:tcPr>
            <w:tcW w:w="690"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3.23 </w:t>
            </w:r>
          </w:p>
        </w:tc>
        <w:tc>
          <w:tcPr>
            <w:tcW w:w="651"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1.75 </w:t>
            </w:r>
          </w:p>
        </w:tc>
        <w:tc>
          <w:tcPr>
            <w:tcW w:w="674" w:type="pct"/>
            <w:tcBorders>
              <w:top w:val="nil"/>
              <w:bottom w:val="nil"/>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2.38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283" w:hRule="exact"/>
        </w:trPr>
        <w:tc>
          <w:tcPr>
            <w:tcW w:w="2982" w:type="pct"/>
            <w:tcBorders>
              <w:top w:val="nil"/>
              <w:bottom w:val="single" w:color="000000" w:sz="12" w:space="0"/>
            </w:tcBorders>
            <w:shd w:val="clear" w:color="auto" w:fill="auto"/>
            <w:vAlign w:val="center"/>
          </w:tcPr>
          <w:p>
            <w:pPr>
              <w:widowControl/>
              <w:spacing w:line="300" w:lineRule="exact"/>
              <w:rPr>
                <w:rFonts w:ascii="宋体" w:hAnsi="宋体" w:cs="宋体"/>
                <w:color w:val="auto"/>
                <w:kern w:val="0"/>
                <w:sz w:val="21"/>
                <w:szCs w:val="21"/>
              </w:rPr>
            </w:pPr>
            <w:r>
              <w:rPr>
                <w:rFonts w:hint="eastAsia" w:ascii="宋体" w:hAnsi="宋体" w:cs="宋体"/>
                <w:color w:val="auto"/>
                <w:kern w:val="0"/>
                <w:sz w:val="21"/>
                <w:szCs w:val="21"/>
              </w:rPr>
              <w:t>水的生产和供应业</w:t>
            </w:r>
          </w:p>
        </w:tc>
        <w:tc>
          <w:tcPr>
            <w:tcW w:w="690" w:type="pct"/>
            <w:tcBorders>
              <w:top w:val="nil"/>
              <w:bottom w:val="single" w:color="000000" w:sz="12" w:space="0"/>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6.59 </w:t>
            </w:r>
          </w:p>
        </w:tc>
        <w:tc>
          <w:tcPr>
            <w:tcW w:w="651" w:type="pct"/>
            <w:tcBorders>
              <w:top w:val="nil"/>
              <w:bottom w:val="single" w:color="000000" w:sz="12" w:space="0"/>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2.28 </w:t>
            </w:r>
          </w:p>
        </w:tc>
        <w:tc>
          <w:tcPr>
            <w:tcW w:w="674" w:type="pct"/>
            <w:tcBorders>
              <w:top w:val="nil"/>
              <w:bottom w:val="single" w:color="000000" w:sz="12" w:space="0"/>
            </w:tcBorders>
            <w:shd w:val="clear" w:color="auto" w:fill="auto"/>
            <w:vAlign w:val="bottom"/>
          </w:tcPr>
          <w:p>
            <w:pPr>
              <w:spacing w:line="30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1.66 </w:t>
            </w:r>
          </w:p>
        </w:tc>
      </w:tr>
    </w:tbl>
    <w:p>
      <w:pPr>
        <w:snapToGrid w:val="0"/>
        <w:spacing w:line="600" w:lineRule="exact"/>
        <w:rPr>
          <w:rFonts w:ascii="方正楷体_GBK" w:eastAsia="方正楷体_GBK"/>
          <w:color w:val="auto"/>
          <w:sz w:val="32"/>
          <w:szCs w:val="32"/>
        </w:rPr>
      </w:pPr>
      <w:r>
        <w:rPr>
          <w:rFonts w:hint="eastAsia" w:ascii="方正小标宋_GBK" w:eastAsia="方正小标宋_GBK"/>
          <w:bCs/>
          <w:color w:val="auto"/>
          <w:kern w:val="0"/>
          <w:sz w:val="28"/>
        </w:rPr>
        <w:t xml:space="preserve">    </w:t>
      </w: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年末，工业企业法人单位资产总计</w:t>
      </w:r>
      <w:r>
        <w:rPr>
          <w:rFonts w:hint="default" w:ascii="Times New Roman" w:hAnsi="Times New Roman" w:eastAsia="方正仿宋_GBK" w:cs="Times New Roman"/>
          <w:color w:val="auto"/>
          <w:sz w:val="32"/>
          <w:szCs w:val="32"/>
        </w:rPr>
        <w:t>861.88</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37.7%</w:t>
      </w:r>
      <w:r>
        <w:rPr>
          <w:rFonts w:hint="eastAsia" w:eastAsia="方正仿宋_GBK"/>
          <w:color w:val="auto"/>
          <w:sz w:val="32"/>
          <w:szCs w:val="32"/>
        </w:rPr>
        <w:t>。负债</w:t>
      </w:r>
      <w:r>
        <w:rPr>
          <w:rFonts w:eastAsia="方正仿宋_GBK"/>
          <w:color w:val="auto"/>
          <w:sz w:val="32"/>
          <w:szCs w:val="32"/>
        </w:rPr>
        <w:t>合计</w:t>
      </w:r>
      <w:r>
        <w:rPr>
          <w:rFonts w:hint="default" w:ascii="Times New Roman" w:hAnsi="Times New Roman" w:eastAsia="方正仿宋_GBK" w:cs="Times New Roman"/>
          <w:color w:val="auto"/>
          <w:sz w:val="32"/>
          <w:szCs w:val="32"/>
        </w:rPr>
        <w:t>463.94</w:t>
      </w:r>
      <w:r>
        <w:rPr>
          <w:rFonts w:eastAsia="方正仿宋_GBK"/>
          <w:color w:val="auto"/>
          <w:sz w:val="32"/>
          <w:szCs w:val="32"/>
        </w:rPr>
        <w:t>亿元</w:t>
      </w:r>
      <w:r>
        <w:rPr>
          <w:rFonts w:hint="eastAsia" w:eastAsia="方正仿宋_GBK"/>
          <w:color w:val="auto"/>
          <w:sz w:val="32"/>
          <w:szCs w:val="32"/>
        </w:rPr>
        <w:t>。全年实现</w:t>
      </w:r>
      <w:r>
        <w:rPr>
          <w:rFonts w:eastAsia="方正仿宋_GBK"/>
          <w:color w:val="auto"/>
          <w:sz w:val="32"/>
          <w:szCs w:val="32"/>
        </w:rPr>
        <w:t>营业收入</w:t>
      </w:r>
      <w:r>
        <w:rPr>
          <w:rFonts w:hint="default" w:ascii="Times New Roman" w:hAnsi="Times New Roman" w:eastAsia="方正仿宋_GBK" w:cs="Times New Roman"/>
          <w:color w:val="auto"/>
          <w:sz w:val="32"/>
          <w:szCs w:val="32"/>
        </w:rPr>
        <w:t>912.15</w:t>
      </w:r>
      <w:r>
        <w:rPr>
          <w:rFonts w:eastAsia="方正仿宋_GBK"/>
          <w:color w:val="auto"/>
          <w:sz w:val="32"/>
          <w:szCs w:val="32"/>
        </w:rPr>
        <w:t>亿元</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3-3</w:t>
      </w:r>
      <w:r>
        <w:rPr>
          <w:rFonts w:hint="eastAsia" w:eastAsia="方正仿宋_GBK"/>
          <w:color w:val="auto"/>
          <w:sz w:val="32"/>
          <w:szCs w:val="32"/>
        </w:rPr>
        <w:t>）。</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（三）主要产品产量。</w:t>
      </w:r>
    </w:p>
    <w:p>
      <w:pPr>
        <w:snapToGrid w:val="0"/>
        <w:spacing w:line="600" w:lineRule="exact"/>
        <w:ind w:firstLine="640" w:firstLineChars="200"/>
        <w:rPr>
          <w:rFonts w:eastAsia="方正仿宋_GBK"/>
          <w:color w:val="auto"/>
          <w:sz w:val="32"/>
          <w:szCs w:val="32"/>
        </w:rPr>
      </w:pPr>
      <w:r>
        <w:rPr>
          <w:rFonts w:eastAsia="方正仿宋_GBK"/>
          <w:color w:val="auto"/>
          <w:sz w:val="32"/>
          <w:szCs w:val="32"/>
        </w:rPr>
        <w:t>主要工业产品产量</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3-4</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表3</w:t>
      </w:r>
      <w:r>
        <w:rPr>
          <w:rFonts w:ascii="方正小标宋_GBK" w:eastAsia="方正小标宋_GBK"/>
          <w:bCs/>
          <w:color w:val="auto"/>
          <w:kern w:val="0"/>
          <w:sz w:val="28"/>
        </w:rPr>
        <w:t xml:space="preserve">-4 </w:t>
      </w:r>
      <w:r>
        <w:rPr>
          <w:rFonts w:hint="eastAsia" w:ascii="方正小标宋_GBK" w:eastAsia="方正小标宋_GBK"/>
          <w:bCs/>
          <w:color w:val="auto"/>
          <w:kern w:val="0"/>
          <w:sz w:val="28"/>
        </w:rPr>
        <w:t>主要工业产品产量</w:t>
      </w:r>
    </w:p>
    <w:tbl>
      <w:tblPr>
        <w:tblStyle w:val="4"/>
        <w:tblW w:w="8306" w:type="dxa"/>
        <w:jc w:val="center"/>
        <w:tblLayout w:type="autofit"/>
        <w:tblCellMar>
          <w:top w:w="0" w:type="dxa"/>
          <w:left w:w="108" w:type="dxa"/>
          <w:bottom w:w="0" w:type="dxa"/>
          <w:right w:w="108" w:type="dxa"/>
        </w:tblCellMar>
      </w:tblPr>
      <w:tblGrid>
        <w:gridCol w:w="5103"/>
        <w:gridCol w:w="1582"/>
        <w:gridCol w:w="1621"/>
      </w:tblGrid>
      <w:tr>
        <w:tblPrEx>
          <w:tblCellMar>
            <w:top w:w="0" w:type="dxa"/>
            <w:left w:w="108" w:type="dxa"/>
            <w:bottom w:w="0" w:type="dxa"/>
            <w:right w:w="108" w:type="dxa"/>
          </w:tblCellMar>
        </w:tblPrEx>
        <w:trPr>
          <w:trHeight w:val="329" w:hRule="atLeast"/>
          <w:jc w:val="center"/>
        </w:trPr>
        <w:tc>
          <w:tcPr>
            <w:tcW w:w="5103" w:type="dxa"/>
            <w:tcBorders>
              <w:top w:val="single" w:color="auto" w:sz="12"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color w:val="auto"/>
                <w:kern w:val="0"/>
                <w:szCs w:val="21"/>
              </w:rPr>
            </w:pPr>
            <w:r>
              <w:rPr>
                <w:rFonts w:eastAsia="黑体"/>
                <w:bCs/>
                <w:color w:val="auto"/>
                <w:kern w:val="0"/>
                <w:szCs w:val="21"/>
              </w:rPr>
              <w:t>产品名称</w:t>
            </w:r>
          </w:p>
        </w:tc>
        <w:tc>
          <w:tcPr>
            <w:tcW w:w="1582" w:type="dxa"/>
            <w:tcBorders>
              <w:top w:val="single" w:color="auto" w:sz="12"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color w:val="auto"/>
                <w:kern w:val="0"/>
                <w:szCs w:val="21"/>
              </w:rPr>
            </w:pPr>
            <w:r>
              <w:rPr>
                <w:rFonts w:eastAsia="黑体"/>
                <w:bCs/>
                <w:color w:val="auto"/>
                <w:kern w:val="0"/>
                <w:szCs w:val="21"/>
              </w:rPr>
              <w:t>单位</w:t>
            </w:r>
          </w:p>
        </w:tc>
        <w:tc>
          <w:tcPr>
            <w:tcW w:w="1621" w:type="dxa"/>
            <w:tcBorders>
              <w:top w:val="single" w:color="auto" w:sz="12" w:space="0"/>
              <w:left w:val="nil"/>
              <w:bottom w:val="single" w:color="auto" w:sz="4" w:space="0"/>
              <w:right w:val="nil"/>
            </w:tcBorders>
            <w:shd w:val="clear" w:color="auto" w:fill="auto"/>
            <w:vAlign w:val="center"/>
          </w:tcPr>
          <w:p>
            <w:pPr>
              <w:widowControl/>
              <w:spacing w:line="220" w:lineRule="exact"/>
              <w:jc w:val="center"/>
              <w:rPr>
                <w:rFonts w:eastAsia="黑体"/>
                <w:bCs/>
                <w:color w:val="auto"/>
                <w:kern w:val="0"/>
                <w:szCs w:val="21"/>
              </w:rPr>
            </w:pPr>
            <w:r>
              <w:rPr>
                <w:rFonts w:eastAsia="黑体"/>
                <w:bCs/>
                <w:color w:val="auto"/>
                <w:kern w:val="0"/>
                <w:szCs w:val="21"/>
              </w:rPr>
              <w:t>产量</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卷烟</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亿支</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520.00</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房间空气调节器</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万台</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368.34</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改装汽车</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辆</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3603</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移动通信手持机（手机）</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万台</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4826.39</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color w:val="auto"/>
                <w:szCs w:val="21"/>
              </w:rPr>
              <w:t xml:space="preserve">    </w:t>
            </w:r>
            <w:r>
              <w:rPr>
                <w:rFonts w:hAnsi="宋体"/>
                <w:color w:val="auto"/>
                <w:szCs w:val="21"/>
              </w:rPr>
              <w:t>其中：智能手机</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万台</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3974.71</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服装</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万件</w:t>
            </w:r>
          </w:p>
        </w:tc>
        <w:tc>
          <w:tcPr>
            <w:tcW w:w="1621" w:type="dxa"/>
            <w:tcBorders>
              <w:top w:val="nil"/>
              <w:left w:val="nil"/>
              <w:bottom w:val="nil"/>
              <w:right w:val="nil"/>
            </w:tcBorders>
            <w:shd w:val="clear" w:color="auto" w:fill="auto"/>
            <w:noWrap/>
            <w:vAlign w:val="bottom"/>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444.68</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金属切削机床</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万台</w:t>
            </w:r>
          </w:p>
        </w:tc>
        <w:tc>
          <w:tcPr>
            <w:tcW w:w="1621" w:type="dxa"/>
            <w:tcBorders>
              <w:top w:val="nil"/>
              <w:left w:val="nil"/>
              <w:bottom w:val="nil"/>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0.14</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商品混凝土</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万立方米</w:t>
            </w:r>
          </w:p>
        </w:tc>
        <w:tc>
          <w:tcPr>
            <w:tcW w:w="1621" w:type="dxa"/>
            <w:tcBorders>
              <w:top w:val="nil"/>
              <w:left w:val="nil"/>
              <w:bottom w:val="nil"/>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658.04</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工商用制冷、空调设备</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万台（套）</w:t>
            </w:r>
          </w:p>
        </w:tc>
        <w:tc>
          <w:tcPr>
            <w:tcW w:w="1621" w:type="dxa"/>
            <w:tcBorders>
              <w:top w:val="nil"/>
              <w:left w:val="nil"/>
              <w:bottom w:val="nil"/>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3.13</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摩托车整车</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万辆</w:t>
            </w:r>
          </w:p>
        </w:tc>
        <w:tc>
          <w:tcPr>
            <w:tcW w:w="1621" w:type="dxa"/>
            <w:tcBorders>
              <w:top w:val="nil"/>
              <w:left w:val="nil"/>
              <w:bottom w:val="nil"/>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77.90</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shd w:val="clear" w:color="auto" w:fill="auto"/>
            <w:noWrap/>
            <w:vAlign w:val="center"/>
          </w:tcPr>
          <w:p>
            <w:pPr>
              <w:widowControl/>
              <w:jc w:val="left"/>
              <w:rPr>
                <w:color w:val="auto"/>
                <w:szCs w:val="21"/>
              </w:rPr>
            </w:pPr>
            <w:r>
              <w:rPr>
                <w:rFonts w:hAnsi="宋体"/>
                <w:color w:val="auto"/>
                <w:szCs w:val="21"/>
              </w:rPr>
              <w:t>塑料制品</w:t>
            </w:r>
          </w:p>
        </w:tc>
        <w:tc>
          <w:tcPr>
            <w:tcW w:w="1582" w:type="dxa"/>
            <w:tcBorders>
              <w:top w:val="nil"/>
              <w:left w:val="nil"/>
              <w:bottom w:val="nil"/>
              <w:right w:val="single" w:color="auto" w:sz="4" w:space="0"/>
            </w:tcBorders>
            <w:shd w:val="clear" w:color="auto" w:fill="auto"/>
            <w:noWrap/>
            <w:vAlign w:val="center"/>
          </w:tcPr>
          <w:p>
            <w:pPr>
              <w:widowControl/>
              <w:jc w:val="center"/>
              <w:rPr>
                <w:color w:val="auto"/>
                <w:szCs w:val="21"/>
              </w:rPr>
            </w:pPr>
            <w:r>
              <w:rPr>
                <w:rFonts w:hAnsi="宋体"/>
                <w:color w:val="auto"/>
                <w:szCs w:val="21"/>
              </w:rPr>
              <w:t>万吨</w:t>
            </w:r>
          </w:p>
        </w:tc>
        <w:tc>
          <w:tcPr>
            <w:tcW w:w="1621" w:type="dxa"/>
            <w:tcBorders>
              <w:top w:val="nil"/>
              <w:left w:val="nil"/>
              <w:bottom w:val="nil"/>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3.15</w:t>
            </w:r>
          </w:p>
        </w:tc>
      </w:tr>
      <w:tr>
        <w:tblPrEx>
          <w:tblCellMar>
            <w:top w:w="0" w:type="dxa"/>
            <w:left w:w="108" w:type="dxa"/>
            <w:bottom w:w="0" w:type="dxa"/>
            <w:right w:w="108" w:type="dxa"/>
          </w:tblCellMar>
        </w:tblPrEx>
        <w:trPr>
          <w:trHeight w:val="329" w:hRule="atLeast"/>
          <w:jc w:val="center"/>
        </w:trPr>
        <w:tc>
          <w:tcPr>
            <w:tcW w:w="5103" w:type="dxa"/>
            <w:tcBorders>
              <w:top w:val="nil"/>
              <w:left w:val="nil"/>
              <w:bottom w:val="single" w:color="auto" w:sz="12" w:space="0"/>
              <w:right w:val="single" w:color="auto" w:sz="4" w:space="0"/>
            </w:tcBorders>
            <w:shd w:val="clear" w:color="auto" w:fill="auto"/>
            <w:noWrap/>
            <w:vAlign w:val="center"/>
          </w:tcPr>
          <w:p>
            <w:pPr>
              <w:widowControl/>
              <w:jc w:val="left"/>
              <w:rPr>
                <w:color w:val="auto"/>
                <w:szCs w:val="21"/>
              </w:rPr>
            </w:pPr>
            <w:r>
              <w:rPr>
                <w:rFonts w:hAnsi="宋体"/>
                <w:color w:val="auto"/>
                <w:szCs w:val="21"/>
              </w:rPr>
              <w:t>饮料</w:t>
            </w:r>
          </w:p>
        </w:tc>
        <w:tc>
          <w:tcPr>
            <w:tcW w:w="1582" w:type="dxa"/>
            <w:tcBorders>
              <w:top w:val="nil"/>
              <w:left w:val="nil"/>
              <w:bottom w:val="single" w:color="auto" w:sz="12" w:space="0"/>
              <w:right w:val="single" w:color="auto" w:sz="4" w:space="0"/>
            </w:tcBorders>
            <w:shd w:val="clear" w:color="auto" w:fill="auto"/>
            <w:noWrap/>
            <w:vAlign w:val="center"/>
          </w:tcPr>
          <w:p>
            <w:pPr>
              <w:widowControl/>
              <w:jc w:val="center"/>
              <w:rPr>
                <w:color w:val="auto"/>
                <w:szCs w:val="21"/>
              </w:rPr>
            </w:pPr>
            <w:r>
              <w:rPr>
                <w:rFonts w:hAnsi="宋体"/>
                <w:color w:val="auto"/>
                <w:szCs w:val="21"/>
              </w:rPr>
              <w:t>万吨</w:t>
            </w:r>
          </w:p>
        </w:tc>
        <w:tc>
          <w:tcPr>
            <w:tcW w:w="1621" w:type="dxa"/>
            <w:tcBorders>
              <w:top w:val="nil"/>
              <w:left w:val="nil"/>
              <w:bottom w:val="single" w:color="auto" w:sz="12" w:space="0"/>
              <w:right w:val="nil"/>
            </w:tcBorders>
            <w:shd w:val="clear" w:color="auto" w:fill="auto"/>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57.16</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二、建筑业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w:t>
      </w:r>
      <w:r>
        <w:rPr>
          <w:rFonts w:eastAsia="方正仿宋_GBK"/>
          <w:color w:val="auto"/>
          <w:sz w:val="32"/>
          <w:szCs w:val="32"/>
        </w:rPr>
        <w:t>我区</w:t>
      </w:r>
      <w:r>
        <w:rPr>
          <w:rFonts w:hint="eastAsia" w:eastAsia="方正仿宋_GBK"/>
          <w:color w:val="auto"/>
          <w:sz w:val="32"/>
          <w:szCs w:val="32"/>
        </w:rPr>
        <w:t>共有建筑业企业法人单位</w:t>
      </w:r>
      <w:r>
        <w:rPr>
          <w:rFonts w:hint="default" w:ascii="Times New Roman" w:hAnsi="Times New Roman" w:eastAsia="方正仿宋_GBK" w:cs="Times New Roman"/>
          <w:color w:val="auto"/>
          <w:sz w:val="32"/>
          <w:szCs w:val="32"/>
        </w:rPr>
        <w:t>1381</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59992</w:t>
      </w:r>
      <w:r>
        <w:rPr>
          <w:rFonts w:hint="eastAsia" w:eastAsia="方正仿宋_GBK"/>
          <w:color w:val="auto"/>
          <w:sz w:val="32"/>
          <w:szCs w:val="32"/>
        </w:rPr>
        <w:t>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187.11%</w:t>
      </w:r>
      <w:r>
        <w:rPr>
          <w:rFonts w:hint="eastAsia" w:eastAsia="方正仿宋_GBK"/>
          <w:color w:val="auto"/>
          <w:sz w:val="32"/>
          <w:szCs w:val="32"/>
        </w:rPr>
        <w:t>和</w:t>
      </w:r>
      <w:r>
        <w:rPr>
          <w:rFonts w:eastAsia="方正仿宋_GBK"/>
          <w:color w:val="auto"/>
          <w:sz w:val="32"/>
          <w:szCs w:val="32"/>
        </w:rPr>
        <w:t>下降</w:t>
      </w:r>
      <w:r>
        <w:rPr>
          <w:rFonts w:hint="default" w:ascii="Times New Roman" w:hAnsi="Times New Roman" w:eastAsia="方正仿宋_GBK" w:cs="Times New Roman"/>
          <w:color w:val="auto"/>
          <w:sz w:val="32"/>
          <w:szCs w:val="32"/>
        </w:rPr>
        <w:t>5.88%</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建</w:t>
      </w:r>
      <w:r>
        <w:rPr>
          <w:rFonts w:hint="eastAsia" w:eastAsia="方正仿宋_GBK"/>
          <w:color w:val="auto"/>
          <w:spacing w:val="-8"/>
          <w:sz w:val="32"/>
          <w:szCs w:val="32"/>
        </w:rPr>
        <w:t>筑业企业法人单位中，内资企业</w:t>
      </w:r>
      <w:r>
        <w:rPr>
          <w:rFonts w:hint="default" w:ascii="Times New Roman" w:hAnsi="Times New Roman" w:eastAsia="方正仿宋_GBK" w:cs="Times New Roman"/>
          <w:color w:val="auto"/>
          <w:spacing w:val="-8"/>
          <w:sz w:val="32"/>
          <w:szCs w:val="32"/>
        </w:rPr>
        <w:t>1381</w:t>
      </w:r>
      <w:r>
        <w:rPr>
          <w:rFonts w:hint="eastAsia" w:eastAsia="方正仿宋_GBK"/>
          <w:color w:val="auto"/>
          <w:spacing w:val="-8"/>
          <w:sz w:val="32"/>
          <w:szCs w:val="32"/>
        </w:rPr>
        <w:t>个，占</w:t>
      </w:r>
      <w:r>
        <w:rPr>
          <w:rFonts w:hint="default" w:ascii="Times New Roman" w:hAnsi="Times New Roman" w:eastAsia="方正仿宋_GBK" w:cs="Times New Roman"/>
          <w:color w:val="auto"/>
          <w:spacing w:val="-8"/>
          <w:sz w:val="32"/>
          <w:szCs w:val="32"/>
        </w:rPr>
        <w:t>100%</w:t>
      </w:r>
      <w:r>
        <w:rPr>
          <w:rFonts w:hint="eastAsia" w:eastAsia="方正仿宋_GBK"/>
          <w:color w:val="auto"/>
          <w:spacing w:val="-8"/>
          <w:sz w:val="32"/>
          <w:szCs w:val="32"/>
        </w:rPr>
        <w:t>。其中，国有企业占内资企业的</w:t>
      </w:r>
      <w:r>
        <w:rPr>
          <w:rFonts w:hint="default" w:ascii="Times New Roman" w:hAnsi="Times New Roman" w:eastAsia="方正仿宋_GBK" w:cs="Times New Roman"/>
          <w:color w:val="auto"/>
          <w:spacing w:val="-8"/>
          <w:sz w:val="32"/>
          <w:szCs w:val="32"/>
        </w:rPr>
        <w:t>0.22%</w:t>
      </w:r>
      <w:r>
        <w:rPr>
          <w:rFonts w:hint="eastAsia" w:eastAsia="方正仿宋_GBK"/>
          <w:color w:val="auto"/>
          <w:spacing w:val="-8"/>
          <w:sz w:val="32"/>
          <w:szCs w:val="32"/>
        </w:rPr>
        <w:t>，集体企业占</w:t>
      </w:r>
      <w:r>
        <w:rPr>
          <w:rFonts w:hint="default" w:ascii="Times New Roman" w:hAnsi="Times New Roman" w:eastAsia="方正仿宋_GBK" w:cs="Times New Roman"/>
          <w:color w:val="auto"/>
          <w:spacing w:val="-8"/>
          <w:sz w:val="32"/>
          <w:szCs w:val="32"/>
        </w:rPr>
        <w:t>0.07%</w:t>
      </w:r>
      <w:r>
        <w:rPr>
          <w:rFonts w:hint="eastAsia" w:eastAsia="方正仿宋_GBK"/>
          <w:color w:val="auto"/>
          <w:spacing w:val="-8"/>
          <w:sz w:val="32"/>
          <w:szCs w:val="32"/>
        </w:rPr>
        <w:t>，私营企业占</w:t>
      </w:r>
      <w:r>
        <w:rPr>
          <w:rFonts w:hint="default" w:ascii="Times New Roman" w:hAnsi="Times New Roman" w:eastAsia="方正仿宋_GBK" w:cs="Times New Roman"/>
          <w:color w:val="auto"/>
          <w:spacing w:val="-8"/>
          <w:sz w:val="32"/>
          <w:szCs w:val="32"/>
        </w:rPr>
        <w:t>91.24%</w:t>
      </w:r>
      <w:r>
        <w:rPr>
          <w:rFonts w:hint="eastAsia" w:eastAsia="方正仿宋_GBK"/>
          <w:color w:val="auto"/>
          <w:spacing w:val="-8"/>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建筑业企业法人单位从业人员中，内资企业占</w:t>
      </w:r>
      <w:r>
        <w:rPr>
          <w:rFonts w:hint="default" w:ascii="Times New Roman" w:hAnsi="Times New Roman" w:eastAsia="方正仿宋_GBK" w:cs="Times New Roman"/>
          <w:color w:val="auto"/>
          <w:sz w:val="32"/>
          <w:szCs w:val="32"/>
        </w:rPr>
        <w:t>100%</w:t>
      </w:r>
      <w:r>
        <w:rPr>
          <w:rFonts w:hint="eastAsia" w:eastAsia="方正仿宋_GBK"/>
          <w:color w:val="auto"/>
          <w:sz w:val="32"/>
          <w:szCs w:val="32"/>
        </w:rPr>
        <w:t>。其中，国有企业占内资企业的</w:t>
      </w:r>
      <w:r>
        <w:rPr>
          <w:rFonts w:ascii="Times New Roman" w:hAnsi="Times New Roman" w:eastAsia="方正仿宋_GBK"/>
          <w:color w:val="auto"/>
          <w:sz w:val="32"/>
          <w:szCs w:val="32"/>
        </w:rPr>
        <w:t>1.1</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w:t>
      </w:r>
      <w:r>
        <w:rPr>
          <w:rFonts w:hint="eastAsia" w:eastAsia="方正仿宋_GBK"/>
          <w:color w:val="auto"/>
          <w:sz w:val="32"/>
          <w:szCs w:val="32"/>
        </w:rPr>
        <w:t>，集体企业占</w:t>
      </w:r>
      <w:r>
        <w:rPr>
          <w:rFonts w:hint="default" w:ascii="Times New Roman" w:hAnsi="Times New Roman" w:eastAsia="方正仿宋_GBK" w:cs="Times New Roman"/>
          <w:color w:val="auto"/>
          <w:sz w:val="32"/>
          <w:szCs w:val="32"/>
        </w:rPr>
        <w:t>0.02%</w:t>
      </w:r>
      <w:r>
        <w:rPr>
          <w:rFonts w:hint="eastAsia" w:eastAsia="方正仿宋_GBK"/>
          <w:color w:val="auto"/>
          <w:sz w:val="32"/>
          <w:szCs w:val="32"/>
        </w:rPr>
        <w:t>，私营企业占</w:t>
      </w:r>
      <w:r>
        <w:rPr>
          <w:rFonts w:hint="default" w:ascii="Times New Roman" w:hAnsi="Times New Roman" w:eastAsia="方正仿宋_GBK" w:cs="Times New Roman"/>
          <w:color w:val="auto"/>
          <w:sz w:val="32"/>
          <w:szCs w:val="32"/>
        </w:rPr>
        <w:t>43.08%</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3-5</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表3-5　按登记注册类型分组的建筑业企业法人单位和从业人员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54"/>
        <w:gridCol w:w="2468"/>
        <w:gridCol w:w="21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single" w:color="auto" w:sz="12" w:space="0"/>
              <w:left w:val="nil"/>
              <w:bottom w:val="single" w:color="auto" w:sz="8" w:space="0"/>
              <w:right w:val="single" w:color="auto" w:sz="8" w:space="0"/>
            </w:tcBorders>
            <w:noWrap/>
            <w:vAlign w:val="center"/>
          </w:tcPr>
          <w:p>
            <w:pPr>
              <w:widowControl/>
              <w:spacing w:line="240" w:lineRule="atLeast"/>
              <w:ind w:left="57" w:right="57"/>
              <w:jc w:val="center"/>
              <w:rPr>
                <w:rFonts w:ascii="宋体" w:cs="宋体"/>
                <w:color w:val="auto"/>
                <w:kern w:val="0"/>
                <w:sz w:val="18"/>
                <w:szCs w:val="18"/>
              </w:rPr>
            </w:pPr>
            <w:r>
              <w:rPr>
                <w:rFonts w:hint="eastAsia" w:ascii="宋体" w:cs="宋体"/>
                <w:color w:val="auto"/>
                <w:kern w:val="0"/>
              </w:rPr>
              <w:t>　</w:t>
            </w:r>
          </w:p>
        </w:tc>
        <w:tc>
          <w:tcPr>
            <w:tcW w:w="2468" w:type="dxa"/>
            <w:tcBorders>
              <w:top w:val="single" w:color="auto" w:sz="12" w:space="0"/>
              <w:left w:val="nil"/>
              <w:bottom w:val="single" w:color="auto" w:sz="8" w:space="0"/>
              <w:right w:val="single" w:color="auto" w:sz="8" w:space="0"/>
            </w:tcBorders>
            <w:noWrap/>
            <w:vAlign w:val="center"/>
          </w:tcPr>
          <w:p>
            <w:pPr>
              <w:widowControl/>
              <w:spacing w:line="240" w:lineRule="atLeast"/>
              <w:ind w:left="57" w:right="57"/>
              <w:jc w:val="center"/>
              <w:rPr>
                <w:rFonts w:hint="eastAsia" w:ascii="黑体" w:eastAsia="黑体" w:cs="宋体"/>
                <w:color w:val="auto"/>
                <w:kern w:val="0"/>
              </w:rPr>
            </w:pPr>
            <w:r>
              <w:rPr>
                <w:rFonts w:hint="eastAsia" w:ascii="黑体" w:eastAsia="黑体" w:cs="宋体"/>
                <w:color w:val="auto"/>
                <w:kern w:val="0"/>
              </w:rPr>
              <w:t>企业法人单位</w:t>
            </w:r>
          </w:p>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rPr>
              <w:t>（个）</w:t>
            </w:r>
          </w:p>
        </w:tc>
        <w:tc>
          <w:tcPr>
            <w:tcW w:w="2184" w:type="dxa"/>
            <w:tcBorders>
              <w:top w:val="single" w:color="auto" w:sz="12" w:space="0"/>
              <w:left w:val="nil"/>
              <w:bottom w:val="single" w:color="auto" w:sz="8" w:space="0"/>
              <w:right w:val="nil"/>
            </w:tcBorders>
            <w:noWrap/>
            <w:vAlign w:val="center"/>
          </w:tcPr>
          <w:p>
            <w:pPr>
              <w:widowControl/>
              <w:spacing w:line="240" w:lineRule="atLeast"/>
              <w:ind w:left="57" w:right="57"/>
              <w:jc w:val="center"/>
              <w:rPr>
                <w:rFonts w:hint="eastAsia" w:ascii="黑体" w:eastAsia="黑体" w:cs="宋体"/>
                <w:color w:val="auto"/>
                <w:kern w:val="0"/>
              </w:rPr>
            </w:pPr>
            <w:r>
              <w:rPr>
                <w:rFonts w:hint="eastAsia" w:ascii="黑体" w:eastAsia="黑体" w:cs="宋体"/>
                <w:color w:val="auto"/>
                <w:kern w:val="0"/>
              </w:rPr>
              <w:t>从业人员</w:t>
            </w:r>
          </w:p>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jc w:val="center"/>
              <w:rPr>
                <w:rFonts w:ascii="宋体" w:cs="宋体"/>
                <w:color w:val="auto"/>
                <w:kern w:val="0"/>
                <w:sz w:val="18"/>
                <w:szCs w:val="18"/>
              </w:rPr>
            </w:pPr>
            <w:r>
              <w:rPr>
                <w:rFonts w:hint="eastAsia" w:ascii="宋体" w:cs="宋体"/>
                <w:b/>
                <w:bCs/>
                <w:color w:val="auto"/>
                <w:kern w:val="0"/>
                <w:szCs w:val="21"/>
              </w:rPr>
              <w:t>合　计</w:t>
            </w:r>
          </w:p>
        </w:tc>
        <w:tc>
          <w:tcPr>
            <w:tcW w:w="2468" w:type="dxa"/>
            <w:tcBorders>
              <w:top w:val="nil"/>
              <w:left w:val="nil"/>
              <w:bottom w:val="nil"/>
              <w:right w:val="single" w:color="auto" w:sz="8" w:space="0"/>
            </w:tcBorders>
            <w:noWrap/>
            <w:vAlign w:val="center"/>
          </w:tcPr>
          <w:p>
            <w:pPr>
              <w:tabs>
                <w:tab w:val="left" w:pos="263"/>
              </w:tabs>
              <w:jc w:val="right"/>
              <w:rPr>
                <w:rFonts w:hint="default" w:ascii="Times New Roman" w:hAnsi="Times New Roman" w:cs="Times New Roman"/>
                <w:b/>
                <w:color w:val="auto"/>
              </w:rPr>
            </w:pPr>
            <w:r>
              <w:rPr>
                <w:rFonts w:hint="default" w:ascii="Times New Roman" w:hAnsi="Times New Roman" w:cs="Times New Roman"/>
                <w:b/>
                <w:color w:val="auto"/>
              </w:rPr>
              <w:tab/>
            </w:r>
            <w:r>
              <w:rPr>
                <w:rFonts w:hint="default" w:ascii="Times New Roman" w:hAnsi="Times New Roman" w:cs="Times New Roman"/>
                <w:b/>
                <w:color w:val="auto"/>
              </w:rPr>
              <w:t>1381</w:t>
            </w:r>
          </w:p>
        </w:tc>
        <w:tc>
          <w:tcPr>
            <w:tcW w:w="2184" w:type="dxa"/>
            <w:tcBorders>
              <w:top w:val="nil"/>
              <w:left w:val="nil"/>
              <w:bottom w:val="nil"/>
              <w:right w:val="nil"/>
            </w:tcBorders>
            <w:noWrap/>
            <w:vAlign w:val="center"/>
          </w:tcPr>
          <w:p>
            <w:pPr>
              <w:tabs>
                <w:tab w:val="left" w:pos="188"/>
              </w:tabs>
              <w:jc w:val="right"/>
              <w:rPr>
                <w:rFonts w:hint="default" w:ascii="Times New Roman" w:hAnsi="Times New Roman" w:cs="Times New Roman"/>
                <w:b/>
                <w:color w:val="auto"/>
              </w:rPr>
            </w:pPr>
            <w:r>
              <w:rPr>
                <w:rFonts w:hint="default" w:ascii="Times New Roman" w:hAnsi="Times New Roman" w:cs="Times New Roman"/>
                <w:b/>
                <w:color w:val="auto"/>
              </w:rPr>
              <w:t>59992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b/>
                <w:color w:val="auto"/>
                <w:kern w:val="0"/>
                <w:sz w:val="18"/>
                <w:szCs w:val="18"/>
              </w:rPr>
            </w:pPr>
            <w:r>
              <w:rPr>
                <w:rFonts w:hint="eastAsia" w:ascii="宋体" w:cs="宋体"/>
                <w:b/>
                <w:color w:val="auto"/>
                <w:kern w:val="0"/>
                <w:szCs w:val="21"/>
              </w:rPr>
              <w:t>　内资企业</w:t>
            </w:r>
          </w:p>
        </w:tc>
        <w:tc>
          <w:tcPr>
            <w:tcW w:w="2468" w:type="dxa"/>
            <w:tcBorders>
              <w:top w:val="nil"/>
              <w:left w:val="nil"/>
              <w:bottom w:val="nil"/>
              <w:right w:val="single" w:color="auto" w:sz="8" w:space="0"/>
            </w:tcBorders>
            <w:noWrap/>
            <w:vAlign w:val="center"/>
          </w:tcPr>
          <w:p>
            <w:pPr>
              <w:tabs>
                <w:tab w:val="left" w:pos="351"/>
              </w:tabs>
              <w:jc w:val="right"/>
              <w:rPr>
                <w:rFonts w:hint="default" w:ascii="Times New Roman" w:hAnsi="Times New Roman" w:cs="Times New Roman"/>
                <w:b/>
                <w:color w:val="auto"/>
              </w:rPr>
            </w:pPr>
            <w:r>
              <w:rPr>
                <w:rFonts w:hint="default" w:ascii="Times New Roman" w:hAnsi="Times New Roman" w:cs="Times New Roman"/>
                <w:b/>
                <w:color w:val="auto"/>
              </w:rPr>
              <w:tab/>
            </w:r>
            <w:r>
              <w:rPr>
                <w:rFonts w:hint="default" w:ascii="Times New Roman" w:hAnsi="Times New Roman" w:cs="Times New Roman"/>
                <w:b/>
                <w:color w:val="auto"/>
              </w:rPr>
              <w:t>1381</w:t>
            </w:r>
          </w:p>
        </w:tc>
        <w:tc>
          <w:tcPr>
            <w:tcW w:w="2184" w:type="dxa"/>
            <w:tcBorders>
              <w:top w:val="nil"/>
              <w:left w:val="nil"/>
              <w:bottom w:val="nil"/>
              <w:right w:val="nil"/>
            </w:tcBorders>
            <w:noWrap/>
            <w:vAlign w:val="center"/>
          </w:tcPr>
          <w:p>
            <w:pPr>
              <w:tabs>
                <w:tab w:val="left" w:pos="576"/>
              </w:tabs>
              <w:jc w:val="right"/>
              <w:rPr>
                <w:rFonts w:hint="default" w:ascii="Times New Roman" w:hAnsi="Times New Roman" w:cs="Times New Roman"/>
                <w:b/>
                <w:color w:val="auto"/>
              </w:rPr>
            </w:pPr>
            <w:r>
              <w:rPr>
                <w:rFonts w:hint="default" w:ascii="Times New Roman" w:hAnsi="Times New Roman" w:cs="Times New Roman"/>
                <w:b/>
                <w:color w:val="auto"/>
              </w:rPr>
              <w:t>59992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国有企业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3</w:t>
            </w:r>
          </w:p>
        </w:tc>
        <w:tc>
          <w:tcPr>
            <w:tcW w:w="2184" w:type="dxa"/>
            <w:tcBorders>
              <w:top w:val="nil"/>
              <w:left w:val="nil"/>
              <w:bottom w:val="nil"/>
              <w:right w:val="nil"/>
            </w:tcBorders>
            <w:noWrap/>
            <w:vAlign w:val="center"/>
          </w:tcPr>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2184" w:type="dxa"/>
                  <w:tcBorders>
                    <w:top w:val="nil"/>
                    <w:left w:val="nil"/>
                    <w:bottom w:val="nil"/>
                    <w:right w:val="nil"/>
                  </w:tcBorders>
                  <w:noWrap/>
                  <w:vAlign w:val="center"/>
                </w:tcPr>
                <w:p>
                  <w:pPr>
                    <w:jc w:val="right"/>
                    <w:rPr>
                      <w:rFonts w:ascii="Times New Roman" w:hAnsi="Times New Roman"/>
                      <w:color w:val="auto"/>
                    </w:rPr>
                  </w:pPr>
                  <w:r>
                    <w:rPr>
                      <w:rFonts w:ascii="Times New Roman" w:hAnsi="Times New Roman"/>
                      <w:color w:val="auto"/>
                    </w:rPr>
                    <w:t>6</w:t>
                  </w:r>
                  <w:r>
                    <w:rPr>
                      <w:rFonts w:hint="eastAsia" w:ascii="Times New Roman" w:hAnsi="Times New Roman"/>
                      <w:color w:val="auto"/>
                    </w:rPr>
                    <w:t>7</w:t>
                  </w:r>
                  <w:r>
                    <w:rPr>
                      <w:rFonts w:ascii="Times New Roman" w:hAnsi="Times New Roman"/>
                      <w:color w:val="auto"/>
                    </w:rPr>
                    <w:t>7</w:t>
                  </w:r>
                </w:p>
              </w:tc>
            </w:tr>
          </w:tbl>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集体企业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w:t>
            </w: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股份合作企业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联营企业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有限责任公司</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109</w:t>
            </w: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32805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股份有限公司</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8</w:t>
            </w: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653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私营企业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1260</w:t>
            </w: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25845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其他内资企业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color w:val="auto"/>
              </w:rPr>
            </w:pPr>
          </w:p>
        </w:tc>
        <w:tc>
          <w:tcPr>
            <w:tcW w:w="2184" w:type="dxa"/>
            <w:tcBorders>
              <w:top w:val="nil"/>
              <w:left w:val="nil"/>
              <w:bottom w:val="nil"/>
              <w:right w:val="nil"/>
            </w:tcBorders>
            <w:noWrap/>
            <w:vAlign w:val="center"/>
          </w:tcPr>
          <w:p>
            <w:pPr>
              <w:jc w:val="right"/>
              <w:rPr>
                <w:rFonts w:hint="default" w:ascii="Times New Roman" w:hAnsi="Times New Roman" w:cs="Times New Roman"/>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nil"/>
              <w:right w:val="single" w:color="auto" w:sz="8" w:space="0"/>
            </w:tcBorders>
            <w:noWrap/>
            <w:vAlign w:val="center"/>
          </w:tcPr>
          <w:p>
            <w:pPr>
              <w:widowControl/>
              <w:spacing w:line="240" w:lineRule="atLeast"/>
              <w:ind w:left="57" w:right="57"/>
              <w:rPr>
                <w:rFonts w:ascii="宋体" w:cs="宋体"/>
                <w:b/>
                <w:color w:val="auto"/>
                <w:kern w:val="0"/>
                <w:sz w:val="18"/>
                <w:szCs w:val="18"/>
              </w:rPr>
            </w:pPr>
            <w:r>
              <w:rPr>
                <w:rFonts w:hint="eastAsia" w:ascii="宋体" w:cs="宋体"/>
                <w:b/>
                <w:color w:val="auto"/>
                <w:kern w:val="0"/>
                <w:szCs w:val="21"/>
              </w:rPr>
              <w:t>　港、澳、台商投资企业</w:t>
            </w:r>
          </w:p>
        </w:tc>
        <w:tc>
          <w:tcPr>
            <w:tcW w:w="2468" w:type="dxa"/>
            <w:tcBorders>
              <w:top w:val="nil"/>
              <w:left w:val="nil"/>
              <w:bottom w:val="nil"/>
              <w:right w:val="single" w:color="auto" w:sz="8" w:space="0"/>
            </w:tcBorders>
            <w:noWrap/>
            <w:vAlign w:val="center"/>
          </w:tcPr>
          <w:p>
            <w:pPr>
              <w:jc w:val="right"/>
              <w:rPr>
                <w:rFonts w:hint="default" w:ascii="Times New Roman" w:hAnsi="Times New Roman" w:cs="Times New Roman"/>
                <w:b/>
                <w:color w:val="auto"/>
              </w:rPr>
            </w:pPr>
          </w:p>
        </w:tc>
        <w:tc>
          <w:tcPr>
            <w:tcW w:w="2184" w:type="dxa"/>
            <w:tcBorders>
              <w:top w:val="nil"/>
              <w:left w:val="nil"/>
              <w:bottom w:val="nil"/>
              <w:right w:val="nil"/>
            </w:tcBorders>
            <w:noWrap/>
            <w:vAlign w:val="center"/>
          </w:tcPr>
          <w:p>
            <w:pPr>
              <w:jc w:val="right"/>
              <w:rPr>
                <w:rFonts w:hint="default" w:ascii="Times New Roman" w:hAnsi="Times New Roman" w:cs="Times New Roman"/>
                <w:b/>
                <w:color w:va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654" w:type="dxa"/>
            <w:tcBorders>
              <w:top w:val="nil"/>
              <w:left w:val="nil"/>
              <w:bottom w:val="single" w:color="auto" w:sz="12" w:space="0"/>
              <w:right w:val="single" w:color="auto" w:sz="8" w:space="0"/>
            </w:tcBorders>
            <w:noWrap/>
            <w:vAlign w:val="center"/>
          </w:tcPr>
          <w:p>
            <w:pPr>
              <w:widowControl/>
              <w:spacing w:line="240" w:lineRule="atLeast"/>
              <w:ind w:left="57" w:right="57"/>
              <w:rPr>
                <w:rFonts w:ascii="宋体" w:cs="宋体"/>
                <w:b/>
                <w:color w:val="auto"/>
                <w:kern w:val="0"/>
                <w:sz w:val="18"/>
                <w:szCs w:val="18"/>
              </w:rPr>
            </w:pPr>
            <w:r>
              <w:rPr>
                <w:rFonts w:hint="eastAsia" w:ascii="宋体" w:cs="宋体"/>
                <w:b/>
                <w:color w:val="auto"/>
                <w:kern w:val="0"/>
                <w:szCs w:val="21"/>
              </w:rPr>
              <w:t>　外商投资企业</w:t>
            </w:r>
          </w:p>
        </w:tc>
        <w:tc>
          <w:tcPr>
            <w:tcW w:w="2468" w:type="dxa"/>
            <w:tcBorders>
              <w:top w:val="nil"/>
              <w:left w:val="nil"/>
              <w:bottom w:val="single" w:color="auto" w:sz="12" w:space="0"/>
              <w:right w:val="single" w:color="auto" w:sz="8" w:space="0"/>
            </w:tcBorders>
            <w:noWrap/>
            <w:vAlign w:val="center"/>
          </w:tcPr>
          <w:p>
            <w:pPr>
              <w:jc w:val="right"/>
              <w:rPr>
                <w:rFonts w:hint="default" w:ascii="Times New Roman" w:hAnsi="Times New Roman" w:cs="Times New Roman"/>
                <w:b/>
                <w:color w:val="auto"/>
              </w:rPr>
            </w:pPr>
          </w:p>
        </w:tc>
        <w:tc>
          <w:tcPr>
            <w:tcW w:w="2184" w:type="dxa"/>
            <w:tcBorders>
              <w:top w:val="nil"/>
              <w:left w:val="nil"/>
              <w:bottom w:val="single" w:color="auto" w:sz="12" w:space="0"/>
              <w:right w:val="nil"/>
            </w:tcBorders>
            <w:noWrap/>
            <w:vAlign w:val="center"/>
          </w:tcPr>
          <w:p>
            <w:pPr>
              <w:jc w:val="right"/>
              <w:rPr>
                <w:rFonts w:hint="default" w:ascii="Times New Roman" w:hAnsi="Times New Roman" w:cs="Times New Roman"/>
                <w:b/>
                <w:color w:val="auto"/>
              </w:rPr>
            </w:pPr>
          </w:p>
        </w:tc>
      </w:tr>
    </w:tbl>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建筑业企业法人单位中，房屋建筑业占</w:t>
      </w:r>
      <w:r>
        <w:rPr>
          <w:rFonts w:hint="default" w:ascii="Times New Roman" w:hAnsi="Times New Roman" w:eastAsia="方正仿宋_GBK" w:cs="Times New Roman"/>
          <w:color w:val="auto"/>
          <w:sz w:val="32"/>
          <w:szCs w:val="32"/>
        </w:rPr>
        <w:t>13.18%</w:t>
      </w:r>
      <w:r>
        <w:rPr>
          <w:rFonts w:hint="eastAsia" w:eastAsia="方正仿宋_GBK"/>
          <w:color w:val="auto"/>
          <w:sz w:val="32"/>
          <w:szCs w:val="32"/>
        </w:rPr>
        <w:t>，土木工程建筑业占</w:t>
      </w:r>
      <w:r>
        <w:rPr>
          <w:rFonts w:hint="default" w:ascii="Times New Roman" w:hAnsi="Times New Roman" w:eastAsia="方正仿宋_GBK" w:cs="Times New Roman"/>
          <w:color w:val="auto"/>
          <w:sz w:val="32"/>
          <w:szCs w:val="32"/>
        </w:rPr>
        <w:t>11.59%</w:t>
      </w:r>
      <w:r>
        <w:rPr>
          <w:rFonts w:hint="eastAsia" w:eastAsia="方正仿宋_GBK"/>
          <w:color w:val="auto"/>
          <w:sz w:val="32"/>
          <w:szCs w:val="32"/>
        </w:rPr>
        <w:t>，建筑安装业占</w:t>
      </w:r>
      <w:r>
        <w:rPr>
          <w:rFonts w:hint="default" w:ascii="Times New Roman" w:hAnsi="Times New Roman" w:eastAsia="方正仿宋_GBK" w:cs="Times New Roman"/>
          <w:color w:val="auto"/>
          <w:sz w:val="32"/>
          <w:szCs w:val="32"/>
        </w:rPr>
        <w:t>20.71%</w:t>
      </w:r>
      <w:r>
        <w:rPr>
          <w:rFonts w:hint="eastAsia" w:eastAsia="方正仿宋_GBK"/>
          <w:color w:val="auto"/>
          <w:sz w:val="32"/>
          <w:szCs w:val="32"/>
        </w:rPr>
        <w:t>，建筑装饰、</w:t>
      </w:r>
      <w:r>
        <w:rPr>
          <w:rFonts w:eastAsia="方正仿宋_GBK"/>
          <w:color w:val="auto"/>
          <w:sz w:val="32"/>
          <w:szCs w:val="32"/>
        </w:rPr>
        <w:t>装修</w:t>
      </w:r>
      <w:r>
        <w:rPr>
          <w:rFonts w:hint="eastAsia" w:eastAsia="方正仿宋_GBK"/>
          <w:color w:val="auto"/>
          <w:sz w:val="32"/>
          <w:szCs w:val="32"/>
        </w:rPr>
        <w:t>和其他建筑业占</w:t>
      </w:r>
      <w:r>
        <w:rPr>
          <w:rFonts w:hint="default" w:ascii="Times New Roman" w:hAnsi="Times New Roman" w:eastAsia="方正仿宋_GBK" w:cs="Times New Roman"/>
          <w:color w:val="auto"/>
          <w:sz w:val="32"/>
          <w:szCs w:val="32"/>
        </w:rPr>
        <w:t>54.52%</w:t>
      </w:r>
      <w:r>
        <w:rPr>
          <w:rFonts w:hint="eastAsia" w:eastAsia="方正仿宋_GBK"/>
          <w:color w:val="auto"/>
          <w:sz w:val="32"/>
          <w:szCs w:val="32"/>
        </w:rPr>
        <w:t>。</w:t>
      </w:r>
    </w:p>
    <w:p>
      <w:pPr>
        <w:snapToGrid w:val="0"/>
        <w:spacing w:line="600" w:lineRule="exact"/>
        <w:ind w:firstLine="640" w:firstLineChars="200"/>
        <w:rPr>
          <w:rFonts w:hint="eastAsia" w:eastAsia="方正仿宋_GBK"/>
          <w:color w:val="auto"/>
          <w:sz w:val="32"/>
          <w:szCs w:val="32"/>
        </w:rPr>
      </w:pPr>
      <w:r>
        <w:rPr>
          <w:rFonts w:hint="eastAsia" w:eastAsia="方正仿宋_GBK"/>
          <w:color w:val="auto"/>
          <w:sz w:val="32"/>
          <w:szCs w:val="32"/>
        </w:rPr>
        <w:t>建筑业企业法人单位从业人员中，房屋建筑业占</w:t>
      </w:r>
      <w:r>
        <w:rPr>
          <w:rFonts w:hint="default" w:ascii="Times New Roman" w:hAnsi="Times New Roman" w:eastAsia="方正仿宋_GBK" w:cs="Times New Roman"/>
          <w:color w:val="auto"/>
          <w:sz w:val="32"/>
          <w:szCs w:val="32"/>
        </w:rPr>
        <w:t>51.18%</w:t>
      </w:r>
      <w:r>
        <w:rPr>
          <w:rFonts w:hint="eastAsia" w:eastAsia="方正仿宋_GBK"/>
          <w:color w:val="auto"/>
          <w:sz w:val="32"/>
          <w:szCs w:val="32"/>
        </w:rPr>
        <w:t>，土木工程建筑业占</w:t>
      </w:r>
      <w:r>
        <w:rPr>
          <w:rFonts w:hint="default" w:ascii="Times New Roman" w:hAnsi="Times New Roman" w:eastAsia="方正仿宋_GBK" w:cs="Times New Roman"/>
          <w:color w:val="auto"/>
          <w:sz w:val="32"/>
          <w:szCs w:val="32"/>
        </w:rPr>
        <w:t>29.83%</w:t>
      </w:r>
      <w:r>
        <w:rPr>
          <w:rFonts w:hint="eastAsia" w:eastAsia="方正仿宋_GBK"/>
          <w:color w:val="auto"/>
          <w:sz w:val="32"/>
          <w:szCs w:val="32"/>
        </w:rPr>
        <w:t>，建筑安装业占</w:t>
      </w:r>
      <w:r>
        <w:rPr>
          <w:rFonts w:hint="default" w:ascii="Times New Roman" w:hAnsi="Times New Roman" w:eastAsia="方正仿宋_GBK" w:cs="Times New Roman"/>
          <w:color w:val="auto"/>
          <w:sz w:val="32"/>
          <w:szCs w:val="32"/>
        </w:rPr>
        <w:t>7.32%</w:t>
      </w:r>
      <w:r>
        <w:rPr>
          <w:rFonts w:hint="eastAsia" w:eastAsia="方正仿宋_GBK"/>
          <w:color w:val="auto"/>
          <w:sz w:val="32"/>
          <w:szCs w:val="32"/>
        </w:rPr>
        <w:t>，建筑装饰、</w:t>
      </w:r>
      <w:r>
        <w:rPr>
          <w:rFonts w:eastAsia="方正仿宋_GBK"/>
          <w:color w:val="auto"/>
          <w:sz w:val="32"/>
          <w:szCs w:val="32"/>
        </w:rPr>
        <w:t>装修</w:t>
      </w:r>
      <w:r>
        <w:rPr>
          <w:rFonts w:hint="eastAsia" w:eastAsia="方正仿宋_GBK"/>
          <w:color w:val="auto"/>
          <w:sz w:val="32"/>
          <w:szCs w:val="32"/>
        </w:rPr>
        <w:t>和其他建筑业占</w:t>
      </w:r>
      <w:r>
        <w:rPr>
          <w:rFonts w:hint="default" w:ascii="Times New Roman" w:hAnsi="Times New Roman" w:eastAsia="方正仿宋_GBK" w:cs="Times New Roman"/>
          <w:color w:val="auto"/>
          <w:sz w:val="32"/>
          <w:szCs w:val="32"/>
        </w:rPr>
        <w:t>11.67%</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3-6</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表3-6　按行业分组的建筑业企业法人单位和从业人员</w:t>
      </w:r>
    </w:p>
    <w:p>
      <w:pPr>
        <w:spacing w:line="40" w:lineRule="exact"/>
        <w:ind w:firstLine="200" w:firstLineChars="200"/>
        <w:rPr>
          <w:rFonts w:ascii="仿宋_GB2312" w:eastAsia="仿宋_GB2312" w:cs="宋体"/>
          <w:color w:val="auto"/>
          <w:kern w:val="0"/>
          <w:sz w:val="10"/>
          <w:szCs w:val="10"/>
        </w:rPr>
      </w:pP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54"/>
        <w:gridCol w:w="2455"/>
        <w:gridCol w:w="21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3654"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cs="宋体"/>
                <w:b/>
                <w:color w:val="auto"/>
                <w:kern w:val="0"/>
                <w:sz w:val="18"/>
                <w:szCs w:val="18"/>
              </w:rPr>
            </w:pPr>
            <w:r>
              <w:rPr>
                <w:rFonts w:hint="eastAsia" w:ascii="宋体" w:cs="宋体"/>
                <w:b/>
                <w:color w:val="auto"/>
                <w:kern w:val="0"/>
                <w:szCs w:val="21"/>
              </w:rPr>
              <w:t>　</w:t>
            </w:r>
          </w:p>
        </w:tc>
        <w:tc>
          <w:tcPr>
            <w:tcW w:w="2455"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szCs w:val="21"/>
              </w:rPr>
              <w:t>企业法人单位</w:t>
            </w:r>
          </w:p>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szCs w:val="21"/>
              </w:rPr>
              <w:t>（个）</w:t>
            </w:r>
          </w:p>
        </w:tc>
        <w:tc>
          <w:tcPr>
            <w:tcW w:w="2197"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szCs w:val="21"/>
              </w:rPr>
              <w:t>从业人员</w:t>
            </w:r>
          </w:p>
          <w:p>
            <w:pPr>
              <w:widowControl/>
              <w:spacing w:line="240" w:lineRule="atLeast"/>
              <w:ind w:left="57" w:right="57"/>
              <w:jc w:val="center"/>
              <w:rPr>
                <w:rFonts w:ascii="黑体" w:eastAsia="黑体" w:cs="宋体"/>
                <w:color w:val="auto"/>
                <w:kern w:val="0"/>
                <w:sz w:val="18"/>
                <w:szCs w:val="18"/>
              </w:rPr>
            </w:pPr>
            <w:r>
              <w:rPr>
                <w:rFonts w:hint="eastAsia" w:asci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3654"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cs="宋体"/>
                <w:color w:val="auto"/>
                <w:kern w:val="0"/>
                <w:sz w:val="18"/>
                <w:szCs w:val="18"/>
              </w:rPr>
            </w:pPr>
            <w:r>
              <w:rPr>
                <w:rFonts w:hint="eastAsia" w:ascii="宋体" w:cs="宋体"/>
                <w:b/>
                <w:bCs/>
                <w:color w:val="auto"/>
                <w:kern w:val="0"/>
                <w:szCs w:val="21"/>
              </w:rPr>
              <w:t>合　计</w:t>
            </w:r>
          </w:p>
        </w:tc>
        <w:tc>
          <w:tcPr>
            <w:tcW w:w="2455" w:type="dxa"/>
            <w:tcBorders>
              <w:top w:val="single" w:color="auto" w:sz="4" w:space="0"/>
              <w:left w:val="single" w:color="auto" w:sz="4" w:space="0"/>
              <w:bottom w:val="nil"/>
              <w:right w:val="single" w:color="auto" w:sz="4" w:space="0"/>
            </w:tcBorders>
            <w:noWrap/>
            <w:vAlign w:val="center"/>
          </w:tcPr>
          <w:p>
            <w:pPr>
              <w:tabs>
                <w:tab w:val="left" w:pos="664"/>
              </w:tabs>
              <w:jc w:val="right"/>
              <w:rPr>
                <w:rFonts w:hint="default" w:ascii="Times New Roman" w:hAnsi="Times New Roman" w:cs="Times New Roman"/>
                <w:b/>
                <w:color w:val="auto"/>
              </w:rPr>
            </w:pPr>
            <w:r>
              <w:rPr>
                <w:rFonts w:hint="default" w:ascii="Times New Roman" w:hAnsi="Times New Roman" w:cs="Times New Roman"/>
                <w:b/>
                <w:color w:val="auto"/>
              </w:rPr>
              <w:tab/>
            </w:r>
            <w:r>
              <w:rPr>
                <w:rFonts w:hint="default" w:ascii="Times New Roman" w:hAnsi="Times New Roman" w:cs="Times New Roman"/>
                <w:b/>
                <w:color w:val="auto"/>
              </w:rPr>
              <w:t>1381</w:t>
            </w:r>
          </w:p>
        </w:tc>
        <w:tc>
          <w:tcPr>
            <w:tcW w:w="2197"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rPr>
            </w:pPr>
            <w:r>
              <w:rPr>
                <w:rFonts w:hint="default" w:ascii="Times New Roman" w:hAnsi="Times New Roman" w:cs="Times New Roman"/>
                <w:b/>
                <w:color w:val="auto"/>
              </w:rPr>
              <w:t>59992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7" w:hRule="atLeast"/>
          <w:jc w:val="center"/>
        </w:trPr>
        <w:tc>
          <w:tcPr>
            <w:tcW w:w="3654" w:type="dxa"/>
            <w:tcBorders>
              <w:top w:val="nil"/>
              <w:left w:val="nil"/>
              <w:bottom w:val="nil"/>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房屋建筑业</w:t>
            </w:r>
          </w:p>
        </w:tc>
        <w:tc>
          <w:tcPr>
            <w:tcW w:w="245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182</w:t>
            </w:r>
          </w:p>
        </w:tc>
        <w:tc>
          <w:tcPr>
            <w:tcW w:w="2197"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30705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7" w:hRule="atLeast"/>
          <w:jc w:val="center"/>
        </w:trPr>
        <w:tc>
          <w:tcPr>
            <w:tcW w:w="3654" w:type="dxa"/>
            <w:tcBorders>
              <w:top w:val="nil"/>
              <w:left w:val="nil"/>
              <w:bottom w:val="nil"/>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土木工程建筑业</w:t>
            </w:r>
          </w:p>
        </w:tc>
        <w:tc>
          <w:tcPr>
            <w:tcW w:w="245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160</w:t>
            </w:r>
          </w:p>
        </w:tc>
        <w:tc>
          <w:tcPr>
            <w:tcW w:w="2197"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17897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7" w:hRule="atLeast"/>
          <w:jc w:val="center"/>
        </w:trPr>
        <w:tc>
          <w:tcPr>
            <w:tcW w:w="3654" w:type="dxa"/>
            <w:tcBorders>
              <w:top w:val="nil"/>
              <w:left w:val="nil"/>
              <w:bottom w:val="nil"/>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建筑安装业</w:t>
            </w:r>
          </w:p>
        </w:tc>
        <w:tc>
          <w:tcPr>
            <w:tcW w:w="245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286</w:t>
            </w:r>
          </w:p>
        </w:tc>
        <w:tc>
          <w:tcPr>
            <w:tcW w:w="2197"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4388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7" w:hRule="atLeast"/>
          <w:jc w:val="center"/>
        </w:trPr>
        <w:tc>
          <w:tcPr>
            <w:tcW w:w="3654"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建筑装饰、装修和其他建筑业</w:t>
            </w:r>
          </w:p>
        </w:tc>
        <w:tc>
          <w:tcPr>
            <w:tcW w:w="2455"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753</w:t>
            </w:r>
          </w:p>
        </w:tc>
        <w:tc>
          <w:tcPr>
            <w:tcW w:w="2197"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7002</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年末，建筑业企业法人单位资产总计</w:t>
      </w:r>
      <w:r>
        <w:rPr>
          <w:rFonts w:hint="default" w:ascii="Times New Roman" w:hAnsi="Times New Roman" w:eastAsia="方正仿宋_GBK" w:cs="Times New Roman"/>
          <w:color w:val="auto"/>
          <w:sz w:val="32"/>
          <w:szCs w:val="32"/>
        </w:rPr>
        <w:t>302.57</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25.50%</w:t>
      </w:r>
      <w:r>
        <w:rPr>
          <w:rFonts w:hint="eastAsia" w:eastAsia="方正仿宋_GBK"/>
          <w:color w:val="auto"/>
          <w:sz w:val="32"/>
          <w:szCs w:val="32"/>
        </w:rPr>
        <w:t>。负债</w:t>
      </w:r>
      <w:r>
        <w:rPr>
          <w:rFonts w:eastAsia="方正仿宋_GBK"/>
          <w:color w:val="auto"/>
          <w:sz w:val="32"/>
          <w:szCs w:val="32"/>
        </w:rPr>
        <w:t>合计</w:t>
      </w:r>
      <w:r>
        <w:rPr>
          <w:rFonts w:hint="default" w:ascii="Times New Roman" w:hAnsi="Times New Roman" w:eastAsia="方正仿宋_GBK" w:cs="Times New Roman"/>
          <w:color w:val="auto"/>
          <w:sz w:val="32"/>
          <w:szCs w:val="32"/>
        </w:rPr>
        <w:t>220.09</w:t>
      </w:r>
      <w:r>
        <w:rPr>
          <w:rFonts w:eastAsia="方正仿宋_GBK"/>
          <w:color w:val="auto"/>
          <w:sz w:val="32"/>
          <w:szCs w:val="32"/>
        </w:rPr>
        <w:t>亿元</w:t>
      </w:r>
      <w:r>
        <w:rPr>
          <w:rFonts w:hint="eastAsia" w:eastAsia="方正仿宋_GBK"/>
          <w:color w:val="auto"/>
          <w:sz w:val="32"/>
          <w:szCs w:val="32"/>
        </w:rPr>
        <w:t>。全年</w:t>
      </w:r>
      <w:r>
        <w:rPr>
          <w:rFonts w:eastAsia="方正仿宋_GBK"/>
          <w:color w:val="auto"/>
          <w:sz w:val="32"/>
          <w:szCs w:val="32"/>
        </w:rPr>
        <w:t>实现营业收入</w:t>
      </w:r>
      <w:r>
        <w:rPr>
          <w:rFonts w:hint="default" w:ascii="Times New Roman" w:hAnsi="Times New Roman" w:eastAsia="方正仿宋_GBK" w:cs="Times New Roman"/>
          <w:color w:val="auto"/>
          <w:sz w:val="32"/>
          <w:szCs w:val="32"/>
        </w:rPr>
        <w:t>285.31</w:t>
      </w:r>
      <w:r>
        <w:rPr>
          <w:rFonts w:eastAsia="方正仿宋_GBK"/>
          <w:color w:val="auto"/>
          <w:sz w:val="32"/>
          <w:szCs w:val="32"/>
        </w:rPr>
        <w:t>亿元</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3-7</w:t>
      </w:r>
      <w:r>
        <w:rPr>
          <w:rFonts w:hint="eastAsia" w:eastAsia="方正仿宋_GBK"/>
          <w:color w:val="auto"/>
          <w:sz w:val="32"/>
          <w:szCs w:val="32"/>
        </w:rPr>
        <w:t>）</w:t>
      </w:r>
      <w:r>
        <w:rPr>
          <w:rFonts w:eastAsia="方正仿宋_GBK"/>
          <w:color w:val="auto"/>
          <w:sz w:val="32"/>
          <w:szCs w:val="32"/>
        </w:rPr>
        <w:t>。</w:t>
      </w:r>
    </w:p>
    <w:p>
      <w:pPr>
        <w:snapToGrid w:val="0"/>
        <w:spacing w:line="600" w:lineRule="exact"/>
        <w:jc w:val="center"/>
        <w:rPr>
          <w:rFonts w:eastAsia="仿宋_GB2312"/>
          <w:color w:val="auto"/>
          <w:sz w:val="32"/>
          <w:szCs w:val="32"/>
        </w:rPr>
      </w:pPr>
      <w:r>
        <w:rPr>
          <w:rFonts w:hint="eastAsia" w:ascii="方正小标宋_GBK" w:eastAsia="方正小标宋_GBK"/>
          <w:bCs/>
          <w:color w:val="auto"/>
          <w:kern w:val="0"/>
          <w:sz w:val="28"/>
        </w:rPr>
        <w:t>表3-7　按行业分组的建筑业企业法人单位主要经济指标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255"/>
        <w:gridCol w:w="1701"/>
        <w:gridCol w:w="1701"/>
        <w:gridCol w:w="16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55"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cs="宋体"/>
                <w:b/>
                <w:color w:val="auto"/>
                <w:kern w:val="0"/>
                <w:sz w:val="18"/>
                <w:szCs w:val="18"/>
              </w:rPr>
            </w:pPr>
            <w:r>
              <w:rPr>
                <w:rFonts w:hint="eastAsia" w:ascii="宋体" w:cs="宋体"/>
                <w:b/>
                <w:color w:val="auto"/>
                <w:kern w:val="0"/>
                <w:szCs w:val="21"/>
              </w:rPr>
              <w:t>　</w:t>
            </w:r>
          </w:p>
        </w:tc>
        <w:tc>
          <w:tcPr>
            <w:tcW w:w="1701"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eastAsia="黑体" w:cs="宋体"/>
                <w:color w:val="auto"/>
                <w:kern w:val="0"/>
                <w:szCs w:val="21"/>
              </w:rPr>
            </w:pPr>
            <w:r>
              <w:rPr>
                <w:rFonts w:hint="eastAsia" w:ascii="黑体" w:eastAsia="黑体" w:cs="宋体"/>
                <w:color w:val="auto"/>
                <w:kern w:val="0"/>
                <w:szCs w:val="21"/>
              </w:rPr>
              <w:t>资产总计</w:t>
            </w:r>
          </w:p>
          <w:p>
            <w:pPr>
              <w:widowControl/>
              <w:spacing w:line="240" w:lineRule="atLeast"/>
              <w:ind w:left="57" w:right="57"/>
              <w:jc w:val="center"/>
              <w:rPr>
                <w:rFonts w:ascii="黑体" w:eastAsia="黑体" w:cs="宋体"/>
                <w:color w:val="auto"/>
                <w:kern w:val="0"/>
                <w:szCs w:val="21"/>
              </w:rPr>
            </w:pPr>
            <w:r>
              <w:rPr>
                <w:rFonts w:hint="eastAsia" w:ascii="黑体" w:eastAsia="黑体" w:cs="宋体"/>
                <w:color w:val="auto"/>
                <w:kern w:val="0"/>
                <w:szCs w:val="21"/>
              </w:rPr>
              <w:t>（亿元）</w:t>
            </w:r>
          </w:p>
        </w:tc>
        <w:tc>
          <w:tcPr>
            <w:tcW w:w="1701"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right="57"/>
              <w:jc w:val="center"/>
              <w:rPr>
                <w:rFonts w:ascii="黑体" w:eastAsia="黑体" w:cs="宋体"/>
                <w:color w:val="auto"/>
                <w:kern w:val="0"/>
                <w:szCs w:val="21"/>
              </w:rPr>
            </w:pPr>
            <w:r>
              <w:rPr>
                <w:rFonts w:hint="eastAsia" w:ascii="黑体" w:eastAsia="黑体" w:cs="宋体"/>
                <w:color w:val="auto"/>
                <w:kern w:val="0"/>
                <w:szCs w:val="21"/>
              </w:rPr>
              <w:t>负债合计</w:t>
            </w:r>
          </w:p>
          <w:p>
            <w:pPr>
              <w:widowControl/>
              <w:spacing w:line="240" w:lineRule="atLeast"/>
              <w:ind w:right="57"/>
              <w:jc w:val="center"/>
              <w:rPr>
                <w:rFonts w:ascii="黑体" w:eastAsia="黑体" w:cs="宋体"/>
                <w:color w:val="auto"/>
                <w:kern w:val="0"/>
                <w:szCs w:val="21"/>
              </w:rPr>
            </w:pPr>
            <w:r>
              <w:rPr>
                <w:rFonts w:hint="eastAsia" w:ascii="黑体" w:eastAsia="黑体" w:cs="宋体"/>
                <w:color w:val="auto"/>
                <w:kern w:val="0"/>
                <w:szCs w:val="21"/>
              </w:rPr>
              <w:t>（亿元）</w:t>
            </w:r>
          </w:p>
        </w:tc>
        <w:tc>
          <w:tcPr>
            <w:tcW w:w="1636" w:type="dxa"/>
            <w:tcBorders>
              <w:top w:val="single" w:color="auto" w:sz="12" w:space="0"/>
              <w:left w:val="single" w:color="auto" w:sz="4" w:space="0"/>
              <w:bottom w:val="single" w:color="auto" w:sz="4" w:space="0"/>
              <w:right w:val="nil"/>
            </w:tcBorders>
            <w:noWrap/>
            <w:vAlign w:val="center"/>
          </w:tcPr>
          <w:p>
            <w:pPr>
              <w:widowControl/>
              <w:spacing w:line="240" w:lineRule="atLeast"/>
              <w:ind w:right="57"/>
              <w:jc w:val="center"/>
              <w:rPr>
                <w:rFonts w:ascii="黑体" w:eastAsia="黑体" w:cs="宋体"/>
                <w:color w:val="auto"/>
                <w:kern w:val="0"/>
                <w:szCs w:val="21"/>
              </w:rPr>
            </w:pPr>
            <w:r>
              <w:rPr>
                <w:rFonts w:hint="eastAsia" w:ascii="黑体" w:eastAsia="黑体" w:cs="宋体"/>
                <w:color w:val="auto"/>
                <w:kern w:val="0"/>
                <w:szCs w:val="21"/>
              </w:rPr>
              <w:t>营业收入</w:t>
            </w:r>
          </w:p>
          <w:p>
            <w:pPr>
              <w:widowControl/>
              <w:spacing w:line="240" w:lineRule="atLeast"/>
              <w:ind w:right="57"/>
              <w:jc w:val="center"/>
              <w:rPr>
                <w:rFonts w:ascii="黑体" w:eastAsia="黑体" w:cs="宋体"/>
                <w:color w:val="auto"/>
                <w:kern w:val="0"/>
                <w:sz w:val="18"/>
                <w:szCs w:val="18"/>
              </w:rPr>
            </w:pPr>
            <w:r>
              <w:rPr>
                <w:rFonts w:hint="eastAsia" w:asci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cs="宋体"/>
                <w:color w:val="auto"/>
                <w:kern w:val="0"/>
                <w:sz w:val="18"/>
                <w:szCs w:val="18"/>
              </w:rPr>
            </w:pPr>
            <w:r>
              <w:rPr>
                <w:rFonts w:hint="eastAsia" w:ascii="宋体" w:cs="宋体"/>
                <w:b/>
                <w:bCs/>
                <w:color w:val="auto"/>
                <w:kern w:val="0"/>
                <w:szCs w:val="21"/>
              </w:rPr>
              <w:t>合　计</w:t>
            </w:r>
          </w:p>
        </w:tc>
        <w:tc>
          <w:tcPr>
            <w:tcW w:w="1701"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rPr>
            </w:pPr>
            <w:r>
              <w:rPr>
                <w:rFonts w:hint="default" w:ascii="Times New Roman" w:hAnsi="Times New Roman" w:cs="Times New Roman"/>
                <w:b/>
                <w:color w:val="auto"/>
              </w:rPr>
              <w:t>302.57</w:t>
            </w:r>
          </w:p>
        </w:tc>
        <w:tc>
          <w:tcPr>
            <w:tcW w:w="1701"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rPr>
            </w:pPr>
            <w:r>
              <w:rPr>
                <w:rFonts w:hint="default" w:ascii="Times New Roman" w:hAnsi="Times New Roman" w:cs="Times New Roman"/>
                <w:b/>
                <w:color w:val="auto"/>
              </w:rPr>
              <w:t>220.09</w:t>
            </w:r>
          </w:p>
        </w:tc>
        <w:tc>
          <w:tcPr>
            <w:tcW w:w="1636"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rPr>
            </w:pPr>
            <w:r>
              <w:rPr>
                <w:rFonts w:hint="default" w:ascii="Times New Roman" w:hAnsi="Times New Roman" w:cs="Times New Roman"/>
                <w:b/>
                <w:color w:val="auto"/>
              </w:rPr>
              <w:t>285.31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房屋建筑业</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114.98</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78.80</w:t>
            </w:r>
          </w:p>
        </w:tc>
        <w:tc>
          <w:tcPr>
            <w:tcW w:w="1636"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126.96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xml:space="preserve">  土木工程建筑业</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129.93</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104.39</w:t>
            </w:r>
          </w:p>
        </w:tc>
        <w:tc>
          <w:tcPr>
            <w:tcW w:w="1636"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122.58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noWrap/>
            <w:vAlign w:val="center"/>
          </w:tcPr>
          <w:p>
            <w:pPr>
              <w:widowControl/>
              <w:spacing w:line="240" w:lineRule="atLeast"/>
              <w:ind w:left="57" w:right="57" w:firstLine="210" w:firstLineChars="100"/>
              <w:rPr>
                <w:rFonts w:ascii="宋体" w:cs="宋体"/>
                <w:color w:val="auto"/>
                <w:kern w:val="0"/>
                <w:sz w:val="18"/>
                <w:szCs w:val="18"/>
              </w:rPr>
            </w:pPr>
            <w:r>
              <w:rPr>
                <w:rFonts w:hint="eastAsia" w:ascii="宋体" w:cs="宋体"/>
                <w:color w:val="auto"/>
                <w:kern w:val="0"/>
                <w:szCs w:val="21"/>
              </w:rPr>
              <w:t>建筑安装业</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27.11</w:t>
            </w:r>
          </w:p>
        </w:tc>
        <w:tc>
          <w:tcPr>
            <w:tcW w:w="170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16.64</w:t>
            </w:r>
          </w:p>
        </w:tc>
        <w:tc>
          <w:tcPr>
            <w:tcW w:w="1636" w:type="dxa"/>
            <w:tcBorders>
              <w:top w:val="nil"/>
              <w:left w:val="single" w:color="auto" w:sz="4" w:space="0"/>
              <w:bottom w:val="nil"/>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16.03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cs="宋体"/>
                <w:color w:val="auto"/>
                <w:kern w:val="0"/>
                <w:sz w:val="18"/>
                <w:szCs w:val="18"/>
              </w:rPr>
            </w:pPr>
            <w:r>
              <w:rPr>
                <w:rFonts w:hint="eastAsia" w:ascii="宋体" w:cs="宋体"/>
                <w:color w:val="auto"/>
                <w:kern w:val="0"/>
                <w:szCs w:val="21"/>
              </w:rPr>
              <w:t xml:space="preserve">  建筑装饰、装修和其他建筑业</w:t>
            </w:r>
          </w:p>
        </w:tc>
        <w:tc>
          <w:tcPr>
            <w:tcW w:w="1701"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30.55</w:t>
            </w:r>
          </w:p>
        </w:tc>
        <w:tc>
          <w:tcPr>
            <w:tcW w:w="1701"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20.26</w:t>
            </w:r>
          </w:p>
        </w:tc>
        <w:tc>
          <w:tcPr>
            <w:tcW w:w="1636"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color w:val="auto"/>
              </w:rPr>
            </w:pPr>
            <w:r>
              <w:rPr>
                <w:rFonts w:hint="default" w:ascii="Times New Roman" w:hAnsi="Times New Roman" w:cs="Times New Roman"/>
                <w:color w:val="auto"/>
              </w:rPr>
              <w:t>19.74</w:t>
            </w:r>
          </w:p>
        </w:tc>
      </w:tr>
    </w:tbl>
    <w:p>
      <w:pPr>
        <w:spacing w:line="560" w:lineRule="exact"/>
        <w:ind w:firstLine="560" w:firstLineChars="200"/>
        <w:rPr>
          <w:rFonts w:ascii="黑体" w:eastAsia="黑体" w:cs="宋体"/>
          <w:color w:val="auto"/>
          <w:kern w:val="0"/>
          <w:sz w:val="28"/>
          <w:szCs w:val="28"/>
        </w:rPr>
      </w:pPr>
      <w:r>
        <w:rPr>
          <w:rFonts w:hint="eastAsia" w:ascii="黑体" w:eastAsia="黑体" w:cs="宋体"/>
          <w:color w:val="auto"/>
          <w:kern w:val="0"/>
          <w:sz w:val="28"/>
          <w:szCs w:val="28"/>
        </w:rPr>
        <w:t>注释：</w:t>
      </w:r>
    </w:p>
    <w:p>
      <w:pPr>
        <w:spacing w:line="560" w:lineRule="exact"/>
        <w:ind w:firstLine="560" w:firstLineChars="200"/>
        <w:rPr>
          <w:rFonts w:hint="eastAsia" w:ascii="方正仿宋_GBK" w:hAnsi="方正仿宋_GBK" w:eastAsia="方正仿宋_GBK" w:cs="方正仿宋_GBK"/>
          <w:color w:val="auto"/>
          <w:kern w:val="0"/>
          <w:sz w:val="28"/>
          <w:szCs w:val="28"/>
        </w:rPr>
      </w:pPr>
      <w:r>
        <w:rPr>
          <w:rFonts w:hint="default" w:ascii="Times New Roman" w:hAnsi="Times New Roman" w:eastAsia="方正仿宋_GBK" w:cs="Times New Roman"/>
          <w:color w:val="auto"/>
          <w:kern w:val="0"/>
          <w:sz w:val="28"/>
          <w:szCs w:val="28"/>
        </w:rPr>
        <w:t>[1]</w:t>
      </w:r>
      <w:r>
        <w:rPr>
          <w:rFonts w:hint="eastAsia" w:ascii="方正仿宋_GBK" w:hAnsi="方正仿宋_GBK" w:eastAsia="方正仿宋_GBK" w:cs="方正仿宋_GBK"/>
          <w:color w:val="auto"/>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60" w:lineRule="exact"/>
        <w:ind w:firstLine="560" w:firstLineChars="200"/>
        <w:rPr>
          <w:rFonts w:hint="eastAsia" w:ascii="方正仿宋_GBK" w:hAnsi="方正仿宋_GBK" w:eastAsia="方正仿宋_GBK" w:cs="方正仿宋_GBK"/>
          <w:color w:val="auto"/>
          <w:kern w:val="0"/>
          <w:sz w:val="28"/>
          <w:szCs w:val="28"/>
        </w:rPr>
      </w:pPr>
      <w:r>
        <w:rPr>
          <w:rFonts w:hint="default" w:ascii="Times New Roman" w:hAnsi="Times New Roman" w:eastAsia="方正仿宋_GBK" w:cs="Times New Roman"/>
          <w:color w:val="auto"/>
          <w:kern w:val="0"/>
          <w:sz w:val="28"/>
          <w:szCs w:val="28"/>
        </w:rPr>
        <w:t>[2]</w:t>
      </w:r>
      <w:r>
        <w:rPr>
          <w:rFonts w:hint="eastAsia" w:ascii="方正仿宋_GBK" w:hAnsi="方正仿宋_GBK" w:eastAsia="方正仿宋_GBK" w:cs="方正仿宋_GBK"/>
          <w:color w:val="auto"/>
          <w:kern w:val="0"/>
          <w:sz w:val="28"/>
          <w:szCs w:val="28"/>
        </w:rPr>
        <w:t>表中的合计数和部分计算数据因小数取舍而产生的误差，均未作机械调整。</w:t>
      </w:r>
    </w:p>
    <w:p>
      <w:pPr>
        <w:rPr>
          <w:color w:val="auto"/>
        </w:rPr>
      </w:pPr>
    </w:p>
    <w:p>
      <w:pPr>
        <w:snapToGrid w:val="0"/>
        <w:spacing w:line="600" w:lineRule="exact"/>
        <w:ind w:firstLine="640" w:firstLineChars="200"/>
        <w:rPr>
          <w:rFonts w:ascii="方正黑体_GBK" w:eastAsia="方正黑体_GBK"/>
          <w:color w:val="auto"/>
          <w:sz w:val="32"/>
          <w:szCs w:val="32"/>
        </w:rPr>
      </w:pPr>
    </w:p>
    <w:p>
      <w:pPr>
        <w:snapToGrid w:val="0"/>
        <w:spacing w:line="600" w:lineRule="exact"/>
        <w:ind w:firstLine="640" w:firstLineChars="200"/>
        <w:rPr>
          <w:rFonts w:ascii="方正黑体_GBK" w:eastAsia="方正黑体_GBK"/>
          <w:color w:val="auto"/>
          <w:sz w:val="32"/>
          <w:szCs w:val="32"/>
        </w:rPr>
      </w:pPr>
    </w:p>
    <w:p>
      <w:pPr>
        <w:snapToGrid w:val="0"/>
        <w:spacing w:line="600" w:lineRule="exact"/>
        <w:rPr>
          <w:rFonts w:ascii="方正黑体_GBK" w:eastAsia="方正黑体_GBK"/>
          <w:color w:val="auto"/>
          <w:sz w:val="32"/>
          <w:szCs w:val="32"/>
        </w:rPr>
      </w:pPr>
    </w:p>
    <w:p>
      <w:pPr>
        <w:snapToGrid w:val="0"/>
        <w:spacing w:line="600" w:lineRule="exact"/>
        <w:rPr>
          <w:rFonts w:ascii="方正黑体_GBK" w:eastAsia="方正黑体_GBK"/>
          <w:color w:val="auto"/>
          <w:sz w:val="32"/>
          <w:szCs w:val="32"/>
        </w:rPr>
      </w:pPr>
    </w:p>
    <w:p>
      <w:pPr>
        <w:rPr>
          <w:color w:val="auto"/>
        </w:rPr>
      </w:pPr>
    </w:p>
    <w:p>
      <w:pPr>
        <w:rPr>
          <w:color w:val="auto"/>
        </w:rPr>
      </w:pPr>
    </w:p>
    <w:p>
      <w:pPr>
        <w:rPr>
          <w:color w:val="auto"/>
        </w:rPr>
      </w:pPr>
    </w:p>
    <w:p>
      <w:pPr>
        <w:widowControl/>
        <w:spacing w:line="600" w:lineRule="exact"/>
        <w:jc w:val="center"/>
        <w:rPr>
          <w:rFonts w:eastAsia="方正小标宋_GBK"/>
          <w:bCs/>
          <w:color w:val="auto"/>
          <w:kern w:val="0"/>
          <w:sz w:val="36"/>
          <w:szCs w:val="36"/>
        </w:rPr>
      </w:pPr>
      <w:r>
        <w:rPr>
          <w:rFonts w:hint="eastAsia" w:eastAsia="方正小标宋_GBK"/>
          <w:bCs/>
          <w:color w:val="auto"/>
          <w:kern w:val="0"/>
          <w:sz w:val="36"/>
          <w:szCs w:val="36"/>
        </w:rPr>
        <w:t>南岸区第四次全国经济普查公报（第四号）</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——第三产业基本情况之一</w:t>
      </w:r>
    </w:p>
    <w:p>
      <w:pPr>
        <w:widowControl/>
        <w:spacing w:line="600" w:lineRule="exact"/>
        <w:jc w:val="center"/>
        <w:rPr>
          <w:rFonts w:eastAsia="方正楷体_GBK"/>
          <w:bCs/>
          <w:color w:val="auto"/>
          <w:kern w:val="0"/>
          <w:sz w:val="32"/>
          <w:szCs w:val="36"/>
        </w:rPr>
      </w:pP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南岸区统计局</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w:t>
      </w:r>
      <w:r>
        <w:rPr>
          <w:rFonts w:eastAsia="方正楷体_GBK"/>
          <w:bCs/>
          <w:color w:val="auto"/>
          <w:kern w:val="0"/>
          <w:sz w:val="32"/>
          <w:szCs w:val="36"/>
        </w:rPr>
        <w:t>人民政府</w:t>
      </w:r>
      <w:r>
        <w:rPr>
          <w:rFonts w:hint="eastAsia" w:eastAsia="方正楷体_GBK"/>
          <w:bCs/>
          <w:color w:val="auto"/>
          <w:kern w:val="0"/>
          <w:sz w:val="32"/>
          <w:szCs w:val="36"/>
        </w:rPr>
        <w:t>第四次全国经济普查领导小组办公室</w:t>
      </w:r>
    </w:p>
    <w:p>
      <w:pPr>
        <w:widowControl/>
        <w:spacing w:line="600" w:lineRule="exact"/>
        <w:jc w:val="center"/>
        <w:rPr>
          <w:rFonts w:eastAsia="方正楷体_GBK"/>
          <w:bCs/>
          <w:color w:val="auto"/>
          <w:kern w:val="0"/>
          <w:sz w:val="32"/>
          <w:szCs w:val="36"/>
        </w:rPr>
      </w:pPr>
      <w:r>
        <w:rPr>
          <w:rFonts w:hint="default" w:ascii="Times New Roman" w:hAnsi="Times New Roman" w:eastAsia="方正楷体_GBK" w:cs="Times New Roman"/>
          <w:bCs/>
          <w:color w:val="auto"/>
          <w:kern w:val="0"/>
          <w:sz w:val="32"/>
          <w:szCs w:val="36"/>
        </w:rPr>
        <w:t>2020</w:t>
      </w:r>
      <w:r>
        <w:rPr>
          <w:rFonts w:hint="eastAsia" w:eastAsia="方正楷体_GBK"/>
          <w:bCs/>
          <w:color w:val="auto"/>
          <w:kern w:val="0"/>
          <w:sz w:val="32"/>
          <w:szCs w:val="36"/>
        </w:rPr>
        <w:t>年</w:t>
      </w:r>
      <w:r>
        <w:rPr>
          <w:rFonts w:hint="default" w:ascii="Times New Roman" w:hAnsi="Times New Roman" w:eastAsia="方正楷体_GBK" w:cs="Times New Roman"/>
          <w:bCs/>
          <w:color w:val="auto"/>
          <w:kern w:val="0"/>
          <w:sz w:val="32"/>
          <w:szCs w:val="36"/>
          <w:lang w:val="en-US" w:eastAsia="zh-CN"/>
        </w:rPr>
        <w:t>4</w:t>
      </w:r>
      <w:r>
        <w:rPr>
          <w:rFonts w:hint="eastAsia" w:eastAsia="方正楷体_GBK"/>
          <w:bCs/>
          <w:color w:val="auto"/>
          <w:kern w:val="0"/>
          <w:sz w:val="32"/>
          <w:szCs w:val="36"/>
        </w:rPr>
        <w:t>月</w:t>
      </w:r>
      <w:r>
        <w:rPr>
          <w:rFonts w:hint="default" w:ascii="Times New Roman" w:hAnsi="Times New Roman" w:eastAsia="方正楷体_GBK" w:cs="Times New Roman"/>
          <w:bCs/>
          <w:color w:val="auto"/>
          <w:kern w:val="0"/>
          <w:sz w:val="32"/>
          <w:szCs w:val="36"/>
          <w:lang w:val="en-US" w:eastAsia="zh-CN"/>
        </w:rPr>
        <w:t>22</w:t>
      </w:r>
      <w:r>
        <w:rPr>
          <w:rFonts w:hint="eastAsia" w:eastAsia="方正楷体_GBK"/>
          <w:bCs/>
          <w:color w:val="auto"/>
          <w:kern w:val="0"/>
          <w:sz w:val="32"/>
          <w:szCs w:val="36"/>
        </w:rPr>
        <w:t>日</w:t>
      </w:r>
    </w:p>
    <w:p>
      <w:pPr>
        <w:widowControl/>
        <w:spacing w:line="580" w:lineRule="exact"/>
        <w:jc w:val="left"/>
        <w:rPr>
          <w:rFonts w:ascii="宋体" w:hAnsi="宋体" w:cs="宋体"/>
          <w:color w:val="auto"/>
          <w:kern w:val="0"/>
          <w:sz w:val="24"/>
        </w:rPr>
      </w:pPr>
      <w:r>
        <w:rPr>
          <w:color w:val="auto"/>
          <w:kern w:val="0"/>
          <w:sz w:val="24"/>
        </w:rPr>
        <w:t> </w:t>
      </w:r>
    </w:p>
    <w:p>
      <w:pPr>
        <w:snapToGrid w:val="0"/>
        <w:spacing w:line="580" w:lineRule="exact"/>
        <w:ind w:firstLine="640" w:firstLineChars="200"/>
        <w:rPr>
          <w:rFonts w:eastAsia="方正仿宋_GBK"/>
          <w:color w:val="auto"/>
          <w:sz w:val="32"/>
          <w:szCs w:val="32"/>
        </w:rPr>
      </w:pPr>
      <w:r>
        <w:rPr>
          <w:rFonts w:hint="eastAsia" w:eastAsia="方正仿宋_GBK"/>
          <w:color w:val="auto"/>
          <w:sz w:val="32"/>
          <w:szCs w:val="32"/>
        </w:rPr>
        <w:t>根据第四次全国经济普查结果，现将我区第三产业中批发和零售业，交通运输、仓储和邮政业，住宿和餐饮业，信息传输、软件和信息技术服务业，房地产业，租赁和商务服务业的主要数据公布如下：</w:t>
      </w:r>
    </w:p>
    <w:p>
      <w:pPr>
        <w:snapToGrid w:val="0"/>
        <w:spacing w:line="58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一、批发和零售业</w:t>
      </w:r>
    </w:p>
    <w:p>
      <w:pPr>
        <w:snapToGrid w:val="0"/>
        <w:spacing w:line="58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58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pacing w:val="-6"/>
          <w:sz w:val="32"/>
          <w:szCs w:val="32"/>
        </w:rPr>
        <w:t>018</w:t>
      </w:r>
      <w:r>
        <w:rPr>
          <w:rFonts w:hint="eastAsia" w:eastAsia="方正仿宋_GBK"/>
          <w:color w:val="auto"/>
          <w:spacing w:val="-6"/>
          <w:sz w:val="32"/>
          <w:szCs w:val="32"/>
        </w:rPr>
        <w:t>年末，全区共有批发和零售业企业法人单位</w:t>
      </w:r>
      <w:r>
        <w:rPr>
          <w:rFonts w:hint="default" w:ascii="Times New Roman" w:hAnsi="Times New Roman" w:eastAsia="方正仿宋_GBK" w:cs="Times New Roman"/>
          <w:color w:val="auto"/>
          <w:spacing w:val="-6"/>
          <w:sz w:val="32"/>
          <w:szCs w:val="32"/>
        </w:rPr>
        <w:t>8203</w:t>
      </w:r>
      <w:r>
        <w:rPr>
          <w:rFonts w:hint="eastAsia" w:eastAsia="方正仿宋_GBK"/>
          <w:color w:val="auto"/>
          <w:spacing w:val="-6"/>
          <w:sz w:val="32"/>
          <w:szCs w:val="32"/>
        </w:rPr>
        <w:t>个，从业人员</w:t>
      </w:r>
      <w:r>
        <w:rPr>
          <w:rFonts w:hint="default" w:ascii="Times New Roman" w:hAnsi="Times New Roman" w:eastAsia="方正仿宋_GBK" w:cs="Times New Roman"/>
          <w:color w:val="auto"/>
          <w:spacing w:val="-6"/>
          <w:sz w:val="32"/>
          <w:szCs w:val="32"/>
        </w:rPr>
        <w:t>58941</w:t>
      </w:r>
      <w:r>
        <w:rPr>
          <w:rFonts w:hint="eastAsia" w:eastAsia="方正仿宋_GBK"/>
          <w:color w:val="auto"/>
          <w:spacing w:val="-6"/>
          <w:sz w:val="32"/>
          <w:szCs w:val="32"/>
        </w:rPr>
        <w:t>人，分别比</w:t>
      </w:r>
      <w:r>
        <w:rPr>
          <w:rFonts w:hint="default" w:ascii="Times New Roman" w:hAnsi="Times New Roman" w:eastAsia="方正仿宋_GBK" w:cs="Times New Roman"/>
          <w:color w:val="auto"/>
          <w:spacing w:val="-6"/>
          <w:sz w:val="32"/>
          <w:szCs w:val="32"/>
        </w:rPr>
        <w:t>2013</w:t>
      </w:r>
      <w:r>
        <w:rPr>
          <w:rFonts w:hint="eastAsia" w:eastAsia="方正仿宋_GBK"/>
          <w:color w:val="auto"/>
          <w:spacing w:val="-6"/>
          <w:sz w:val="32"/>
          <w:szCs w:val="32"/>
        </w:rPr>
        <w:t>年末增长</w:t>
      </w:r>
      <w:r>
        <w:rPr>
          <w:rFonts w:hint="default" w:ascii="Times New Roman" w:hAnsi="Times New Roman" w:eastAsia="方正仿宋_GBK" w:cs="Times New Roman"/>
          <w:color w:val="auto"/>
          <w:spacing w:val="-6"/>
          <w:sz w:val="32"/>
          <w:szCs w:val="32"/>
        </w:rPr>
        <w:t>168.4%</w:t>
      </w:r>
      <w:r>
        <w:rPr>
          <w:rFonts w:hint="eastAsia" w:eastAsia="方正仿宋_GBK"/>
          <w:color w:val="auto"/>
          <w:spacing w:val="-6"/>
          <w:sz w:val="32"/>
          <w:szCs w:val="32"/>
        </w:rPr>
        <w:t>和</w:t>
      </w:r>
      <w:r>
        <w:rPr>
          <w:rFonts w:hint="default" w:ascii="Times New Roman" w:hAnsi="Times New Roman" w:eastAsia="方正仿宋_GBK" w:cs="Times New Roman"/>
          <w:color w:val="auto"/>
          <w:spacing w:val="-6"/>
          <w:sz w:val="32"/>
          <w:szCs w:val="32"/>
        </w:rPr>
        <w:t>33.2%</w:t>
      </w:r>
      <w:r>
        <w:rPr>
          <w:rFonts w:hint="eastAsia" w:eastAsia="方正仿宋_GBK"/>
          <w:color w:val="auto"/>
          <w:spacing w:val="-6"/>
          <w:sz w:val="32"/>
          <w:szCs w:val="32"/>
        </w:rPr>
        <w:t>。</w:t>
      </w:r>
    </w:p>
    <w:p>
      <w:pPr>
        <w:snapToGrid w:val="0"/>
        <w:spacing w:line="580" w:lineRule="exact"/>
        <w:ind w:firstLine="640" w:firstLineChars="200"/>
        <w:rPr>
          <w:rFonts w:eastAsia="方正仿宋_GBK"/>
          <w:color w:val="auto"/>
          <w:sz w:val="32"/>
          <w:szCs w:val="32"/>
        </w:rPr>
      </w:pPr>
      <w:r>
        <w:rPr>
          <w:rFonts w:hint="eastAsia" w:eastAsia="方正仿宋_GBK"/>
          <w:color w:val="auto"/>
          <w:sz w:val="32"/>
          <w:szCs w:val="32"/>
        </w:rPr>
        <w:t>在批发和零售业企业法人单位中，批发业占</w:t>
      </w:r>
      <w:r>
        <w:rPr>
          <w:rFonts w:hint="default" w:ascii="Times New Roman" w:hAnsi="Times New Roman" w:eastAsia="方正仿宋_GBK" w:cs="Times New Roman"/>
          <w:color w:val="auto"/>
          <w:sz w:val="32"/>
          <w:szCs w:val="32"/>
        </w:rPr>
        <w:t>44.8%</w:t>
      </w:r>
      <w:r>
        <w:rPr>
          <w:rFonts w:hint="eastAsia" w:eastAsia="方正仿宋_GBK"/>
          <w:color w:val="auto"/>
          <w:sz w:val="32"/>
          <w:szCs w:val="32"/>
        </w:rPr>
        <w:t>，零售业占</w:t>
      </w:r>
      <w:r>
        <w:rPr>
          <w:rFonts w:hint="default" w:ascii="Times New Roman" w:hAnsi="Times New Roman" w:eastAsia="方正仿宋_GBK" w:cs="Times New Roman"/>
          <w:color w:val="auto"/>
          <w:sz w:val="32"/>
          <w:szCs w:val="32"/>
        </w:rPr>
        <w:t>55.2%</w:t>
      </w:r>
      <w:r>
        <w:rPr>
          <w:rFonts w:hint="eastAsia" w:eastAsia="方正仿宋_GBK"/>
          <w:color w:val="auto"/>
          <w:sz w:val="32"/>
          <w:szCs w:val="32"/>
        </w:rPr>
        <w:t>。在批发和零售业企业法人单位从业人员中，批发业占</w:t>
      </w:r>
      <w:r>
        <w:rPr>
          <w:rFonts w:hint="default" w:ascii="Times New Roman" w:hAnsi="Times New Roman" w:eastAsia="方正仿宋_GBK" w:cs="Times New Roman"/>
          <w:color w:val="auto"/>
          <w:sz w:val="32"/>
          <w:szCs w:val="32"/>
        </w:rPr>
        <w:t>48.2%</w:t>
      </w:r>
      <w:r>
        <w:rPr>
          <w:rFonts w:hint="eastAsia" w:eastAsia="方正仿宋_GBK"/>
          <w:color w:val="auto"/>
          <w:sz w:val="32"/>
          <w:szCs w:val="32"/>
        </w:rPr>
        <w:t>，零售业占</w:t>
      </w:r>
      <w:r>
        <w:rPr>
          <w:rFonts w:hint="default" w:ascii="Times New Roman" w:hAnsi="Times New Roman" w:eastAsia="方正仿宋_GBK" w:cs="Times New Roman"/>
          <w:color w:val="auto"/>
          <w:sz w:val="32"/>
          <w:szCs w:val="32"/>
        </w:rPr>
        <w:t>51.8%</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4-1</w:t>
      </w:r>
      <w:r>
        <w:rPr>
          <w:rFonts w:hint="eastAsia" w:eastAsia="方正仿宋_GBK"/>
          <w:color w:val="auto"/>
          <w:sz w:val="32"/>
          <w:szCs w:val="32"/>
        </w:rPr>
        <w:t>）。</w:t>
      </w:r>
    </w:p>
    <w:p>
      <w:pPr>
        <w:snapToGrid w:val="0"/>
        <w:spacing w:line="580" w:lineRule="exact"/>
        <w:ind w:firstLine="640" w:firstLineChars="200"/>
        <w:rPr>
          <w:rFonts w:eastAsia="方正仿宋_GBK"/>
          <w:color w:val="auto"/>
          <w:sz w:val="32"/>
          <w:szCs w:val="32"/>
        </w:rPr>
      </w:pPr>
      <w:r>
        <w:rPr>
          <w:rFonts w:hint="eastAsia" w:eastAsia="方正仿宋_GBK"/>
          <w:color w:val="auto"/>
          <w:sz w:val="32"/>
          <w:szCs w:val="32"/>
        </w:rPr>
        <w:t>在批发和零售业企业法人单位中，内资企业占</w:t>
      </w:r>
      <w:r>
        <w:rPr>
          <w:rFonts w:hint="default" w:ascii="Times New Roman" w:hAnsi="Times New Roman" w:eastAsia="方正仿宋_GBK" w:cs="Times New Roman"/>
          <w:color w:val="auto"/>
          <w:sz w:val="32"/>
          <w:szCs w:val="32"/>
        </w:rPr>
        <w:t>99.6%</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w:t>
      </w:r>
    </w:p>
    <w:p>
      <w:pPr>
        <w:snapToGrid w:val="0"/>
        <w:spacing w:line="600" w:lineRule="exact"/>
        <w:ind w:firstLine="640" w:firstLineChars="200"/>
        <w:jc w:val="left"/>
        <w:rPr>
          <w:rFonts w:eastAsia="方正仿宋_GBK"/>
          <w:color w:val="auto"/>
          <w:sz w:val="32"/>
          <w:szCs w:val="32"/>
        </w:rPr>
      </w:pPr>
      <w:r>
        <w:rPr>
          <w:rFonts w:hint="eastAsia" w:eastAsia="方正仿宋_GBK"/>
          <w:color w:val="auto"/>
          <w:sz w:val="32"/>
          <w:szCs w:val="32"/>
        </w:rPr>
        <w:t>在批发和零售业企业法人单位从业人员中，内资企业占</w:t>
      </w:r>
      <w:r>
        <w:rPr>
          <w:rFonts w:hint="default" w:ascii="Times New Roman" w:hAnsi="Times New Roman" w:eastAsia="方正仿宋_GBK" w:cs="Times New Roman"/>
          <w:color w:val="auto"/>
          <w:sz w:val="32"/>
          <w:szCs w:val="32"/>
        </w:rPr>
        <w:t>94.9%</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8</w:t>
      </w:r>
      <w:bookmarkStart w:id="0" w:name="_GoBack"/>
      <w:bookmarkEnd w:id="0"/>
      <w:r>
        <w:rPr>
          <w:rFonts w:hint="default" w:ascii="Times New Roman" w:hAnsi="Times New Roman" w:eastAsia="方正仿宋_GBK" w:cs="Times New Roman"/>
          <w:color w:val="auto"/>
          <w:sz w:val="32"/>
          <w:szCs w:val="32"/>
        </w:rPr>
        <w:t>%</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2.3%</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4-2</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4-1</w:t>
      </w:r>
      <w:r>
        <w:rPr>
          <w:rFonts w:hint="eastAsia" w:ascii="方正小标宋_GBK" w:eastAsia="方正小标宋_GBK"/>
          <w:bCs/>
          <w:color w:val="auto"/>
          <w:kern w:val="0"/>
          <w:sz w:val="28"/>
        </w:rPr>
        <w:t>　按行业中类分组的批发和零售业企业法人单位和从业人员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010"/>
        <w:gridCol w:w="1713"/>
        <w:gridCol w:w="15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31" w:hRule="atLeast"/>
          <w:jc w:val="center"/>
        </w:trPr>
        <w:tc>
          <w:tcPr>
            <w:tcW w:w="5010" w:type="dxa"/>
            <w:tcBorders>
              <w:top w:val="single" w:color="auto" w:sz="12" w:space="0"/>
              <w:left w:val="nil"/>
              <w:bottom w:val="single" w:color="auto" w:sz="4" w:space="0"/>
              <w:right w:val="single" w:color="auto" w:sz="4" w:space="0"/>
            </w:tcBorders>
            <w:noWrap/>
            <w:vAlign w:val="center"/>
          </w:tcPr>
          <w:p>
            <w:pPr>
              <w:widowControl/>
              <w:spacing w:line="240" w:lineRule="exact"/>
              <w:ind w:left="57" w:right="57"/>
              <w:jc w:val="center"/>
              <w:rPr>
                <w:rFonts w:ascii="宋体" w:hAnsi="宋体" w:cs="宋体"/>
                <w:b/>
                <w:color w:val="auto"/>
                <w:kern w:val="0"/>
                <w:sz w:val="20"/>
                <w:szCs w:val="20"/>
              </w:rPr>
            </w:pPr>
            <w:r>
              <w:rPr>
                <w:rFonts w:hint="eastAsia" w:ascii="宋体" w:hAnsi="宋体" w:cs="宋体"/>
                <w:b/>
                <w:color w:val="auto"/>
                <w:kern w:val="0"/>
                <w:sz w:val="20"/>
                <w:szCs w:val="20"/>
              </w:rPr>
              <w:t>　</w:t>
            </w:r>
          </w:p>
        </w:tc>
        <w:tc>
          <w:tcPr>
            <w:tcW w:w="1713"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企业法人单位</w:t>
            </w:r>
          </w:p>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（个）</w:t>
            </w:r>
          </w:p>
        </w:tc>
        <w:tc>
          <w:tcPr>
            <w:tcW w:w="1583"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从业人员</w:t>
            </w:r>
          </w:p>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single" w:color="auto" w:sz="4" w:space="0"/>
              <w:left w:val="nil"/>
              <w:bottom w:val="nil"/>
              <w:right w:val="single" w:color="auto" w:sz="4" w:space="0"/>
            </w:tcBorders>
            <w:noWrap/>
            <w:vAlign w:val="center"/>
          </w:tcPr>
          <w:p>
            <w:pPr>
              <w:widowControl/>
              <w:spacing w:line="240" w:lineRule="exact"/>
              <w:ind w:left="57" w:right="57"/>
              <w:jc w:val="center"/>
              <w:rPr>
                <w:rFonts w:ascii="宋体" w:hAnsi="宋体" w:cs="宋体"/>
                <w:color w:val="auto"/>
                <w:kern w:val="0"/>
                <w:sz w:val="21"/>
                <w:szCs w:val="21"/>
              </w:rPr>
            </w:pPr>
            <w:r>
              <w:rPr>
                <w:rFonts w:hint="eastAsia" w:ascii="宋体" w:hAnsi="宋体" w:cs="宋体"/>
                <w:b/>
                <w:bCs/>
                <w:color w:val="auto"/>
                <w:kern w:val="0"/>
                <w:sz w:val="21"/>
                <w:szCs w:val="21"/>
              </w:rPr>
              <w:t>合  计</w:t>
            </w:r>
          </w:p>
        </w:tc>
        <w:tc>
          <w:tcPr>
            <w:tcW w:w="1713" w:type="dxa"/>
            <w:tcBorders>
              <w:top w:val="single" w:color="auto" w:sz="4" w:space="0"/>
              <w:left w:val="single" w:color="auto" w:sz="4" w:space="0"/>
              <w:bottom w:val="nil"/>
              <w:right w:val="single" w:color="auto" w:sz="4" w:space="0"/>
            </w:tcBorders>
            <w:noWrap/>
            <w:vAlign w:val="center"/>
          </w:tcPr>
          <w:p>
            <w:pPr>
              <w:widowControl/>
              <w:ind w:right="21" w:rightChars="10"/>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8203</w:t>
            </w:r>
          </w:p>
        </w:tc>
        <w:tc>
          <w:tcPr>
            <w:tcW w:w="1583" w:type="dxa"/>
            <w:tcBorders>
              <w:top w:val="single" w:color="auto" w:sz="4" w:space="0"/>
              <w:left w:val="single" w:color="auto" w:sz="4" w:space="0"/>
              <w:bottom w:val="nil"/>
              <w:right w:val="nil"/>
            </w:tcBorders>
            <w:noWrap/>
            <w:vAlign w:val="center"/>
          </w:tcPr>
          <w:p>
            <w:pPr>
              <w:ind w:right="96" w:rightChars="46"/>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58941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bCs w:val="0"/>
                <w:color w:val="auto"/>
                <w:kern w:val="0"/>
                <w:sz w:val="21"/>
                <w:szCs w:val="21"/>
              </w:rPr>
            </w:pPr>
            <w:r>
              <w:rPr>
                <w:rFonts w:hint="eastAsia" w:ascii="宋体" w:hAnsi="宋体" w:cs="宋体"/>
                <w:b/>
                <w:bCs w:val="0"/>
                <w:color w:val="auto"/>
                <w:kern w:val="0"/>
                <w:sz w:val="21"/>
                <w:szCs w:val="21"/>
              </w:rPr>
              <w:t>批发业</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3671</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28425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农、林、牧、</w:t>
            </w:r>
            <w:r>
              <w:rPr>
                <w:rFonts w:ascii="宋体" w:hAnsi="宋体" w:cs="宋体"/>
                <w:color w:val="auto"/>
                <w:kern w:val="0"/>
                <w:sz w:val="21"/>
                <w:szCs w:val="21"/>
              </w:rPr>
              <w:t>渔</w:t>
            </w:r>
            <w:r>
              <w:rPr>
                <w:rFonts w:hint="eastAsia" w:ascii="宋体" w:hAnsi="宋体" w:cs="宋体"/>
                <w:color w:val="auto"/>
                <w:kern w:val="0"/>
                <w:sz w:val="21"/>
                <w:szCs w:val="21"/>
              </w:rPr>
              <w:t>产品批发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127</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食品、饮料及烟草制品批发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493</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2668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纺织、服装及家庭用品批发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433</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1852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文化、体育用品及器材批发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118</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371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医药及医疗器材批发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564</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13074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矿产品、建材及化工产品批发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817</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3899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机械设备、五金产品及电子产品批发</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810</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4854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贸易经纪与代理</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56</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其他批发业</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253</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bCs w:val="0"/>
                <w:color w:val="auto"/>
                <w:kern w:val="0"/>
                <w:sz w:val="21"/>
                <w:szCs w:val="21"/>
              </w:rPr>
            </w:pPr>
            <w:r>
              <w:rPr>
                <w:rFonts w:hint="eastAsia" w:ascii="宋体" w:hAnsi="宋体" w:cs="宋体"/>
                <w:b/>
                <w:bCs w:val="0"/>
                <w:color w:val="auto"/>
                <w:kern w:val="0"/>
                <w:sz w:val="21"/>
                <w:szCs w:val="21"/>
              </w:rPr>
              <w:t>零售业</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4532</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30516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综合零售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420</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5460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食品、饮料及烟草制品专门零售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521</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纺织、服装及日用品专门零售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612</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4552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文化、体育用品及器材专门零售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287</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医药及医疗器材专门零售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246</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5550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汽车、摩托车、零配件和燃料及其他动力</w:t>
            </w:r>
            <w:r>
              <w:rPr>
                <w:rFonts w:ascii="宋体" w:hAnsi="宋体" w:cs="宋体"/>
                <w:color w:val="auto"/>
                <w:kern w:val="0"/>
                <w:sz w:val="21"/>
                <w:szCs w:val="21"/>
              </w:rPr>
              <w:t>销售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374</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5470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家用电器及电子产品专门零售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638</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五金、家具及室内装饰材料专门零售</w:t>
            </w:r>
          </w:p>
        </w:tc>
        <w:tc>
          <w:tcPr>
            <w:tcW w:w="1713" w:type="dxa"/>
            <w:tcBorders>
              <w:top w:val="nil"/>
              <w:left w:val="single" w:color="auto" w:sz="4" w:space="0"/>
              <w:bottom w:val="nil"/>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806</w:t>
            </w:r>
          </w:p>
        </w:tc>
        <w:tc>
          <w:tcPr>
            <w:tcW w:w="1583" w:type="dxa"/>
            <w:tcBorders>
              <w:top w:val="nil"/>
              <w:left w:val="single" w:color="auto" w:sz="4" w:space="0"/>
              <w:bottom w:val="nil"/>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010" w:type="dxa"/>
            <w:tcBorders>
              <w:top w:val="nil"/>
              <w:left w:val="nil"/>
              <w:bottom w:val="single" w:color="auto" w:sz="12" w:space="0"/>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货摊、无店铺及其他零售业</w:t>
            </w:r>
          </w:p>
        </w:tc>
        <w:tc>
          <w:tcPr>
            <w:tcW w:w="1713" w:type="dxa"/>
            <w:tcBorders>
              <w:top w:val="nil"/>
              <w:left w:val="single" w:color="auto" w:sz="4" w:space="0"/>
              <w:bottom w:val="single" w:color="auto" w:sz="12" w:space="0"/>
              <w:right w:val="single" w:color="auto" w:sz="4" w:space="0"/>
            </w:tcBorders>
            <w:noWrap/>
            <w:vAlign w:val="center"/>
          </w:tcPr>
          <w:p>
            <w:pPr>
              <w:ind w:right="21" w:rightChars="10"/>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628</w:t>
            </w:r>
          </w:p>
        </w:tc>
        <w:tc>
          <w:tcPr>
            <w:tcW w:w="1583" w:type="dxa"/>
            <w:tcBorders>
              <w:top w:val="nil"/>
              <w:left w:val="single" w:color="auto" w:sz="4" w:space="0"/>
              <w:bottom w:val="single" w:color="auto" w:sz="12" w:space="0"/>
              <w:right w:val="nil"/>
            </w:tcBorders>
            <w:noWrap/>
            <w:vAlign w:val="center"/>
          </w:tcPr>
          <w:p>
            <w:pPr>
              <w:ind w:right="96" w:rightChars="46"/>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2132</w:t>
            </w:r>
          </w:p>
        </w:tc>
      </w:tr>
    </w:tbl>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4-2</w:t>
      </w:r>
      <w:r>
        <w:rPr>
          <w:rFonts w:hint="eastAsia" w:ascii="方正小标宋_GBK" w:eastAsia="方正小标宋_GBK"/>
          <w:bCs/>
          <w:color w:val="auto"/>
          <w:kern w:val="0"/>
          <w:sz w:val="28"/>
        </w:rPr>
        <w:t>　按登记注册类型分组的批发和零售业企业法人单位和从业人员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60"/>
        <w:gridCol w:w="2568"/>
        <w:gridCol w:w="21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60" w:type="dxa"/>
            <w:tcBorders>
              <w:top w:val="single" w:color="auto" w:sz="12" w:space="0"/>
              <w:left w:val="nil"/>
              <w:bottom w:val="single" w:color="auto" w:sz="4" w:space="0"/>
              <w:right w:val="single" w:color="auto" w:sz="4" w:space="0"/>
            </w:tcBorders>
            <w:noWrap/>
            <w:vAlign w:val="center"/>
          </w:tcPr>
          <w:p>
            <w:pPr>
              <w:widowControl/>
              <w:spacing w:line="240" w:lineRule="exact"/>
              <w:ind w:left="57" w:right="57" w:firstLine="500"/>
              <w:jc w:val="center"/>
              <w:rPr>
                <w:rFonts w:ascii="宋体" w:hAnsi="宋体" w:cs="宋体"/>
                <w:b/>
                <w:color w:val="auto"/>
                <w:kern w:val="0"/>
                <w:sz w:val="21"/>
                <w:szCs w:val="21"/>
              </w:rPr>
            </w:pPr>
            <w:r>
              <w:rPr>
                <w:rFonts w:hint="eastAsia" w:ascii="宋体" w:hAnsi="宋体" w:cs="宋体"/>
                <w:b/>
                <w:color w:val="auto"/>
                <w:kern w:val="0"/>
                <w:sz w:val="21"/>
                <w:szCs w:val="21"/>
              </w:rPr>
              <w:t>　</w:t>
            </w:r>
          </w:p>
        </w:tc>
        <w:tc>
          <w:tcPr>
            <w:tcW w:w="2568"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企业法人单位</w:t>
            </w:r>
          </w:p>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（个）</w:t>
            </w:r>
          </w:p>
        </w:tc>
        <w:tc>
          <w:tcPr>
            <w:tcW w:w="2179"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从业人员</w:t>
            </w:r>
          </w:p>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single" w:color="auto" w:sz="4" w:space="0"/>
              <w:left w:val="nil"/>
              <w:bottom w:val="nil"/>
              <w:right w:val="single" w:color="auto" w:sz="4" w:space="0"/>
            </w:tcBorders>
            <w:noWrap/>
            <w:vAlign w:val="center"/>
          </w:tcPr>
          <w:p>
            <w:pPr>
              <w:widowControl/>
              <w:spacing w:line="240" w:lineRule="exact"/>
              <w:ind w:left="57" w:right="57"/>
              <w:jc w:val="center"/>
              <w:rPr>
                <w:rFonts w:ascii="宋体" w:hAnsi="宋体" w:cs="宋体"/>
                <w:color w:val="auto"/>
                <w:kern w:val="0"/>
                <w:sz w:val="21"/>
                <w:szCs w:val="21"/>
              </w:rPr>
            </w:pPr>
            <w:r>
              <w:rPr>
                <w:rFonts w:hint="eastAsia" w:ascii="宋体" w:hAnsi="宋体" w:cs="宋体"/>
                <w:b/>
                <w:bCs/>
                <w:color w:val="auto"/>
                <w:kern w:val="0"/>
                <w:sz w:val="21"/>
                <w:szCs w:val="21"/>
              </w:rPr>
              <w:t>合　计</w:t>
            </w:r>
          </w:p>
        </w:tc>
        <w:tc>
          <w:tcPr>
            <w:tcW w:w="2568" w:type="dxa"/>
            <w:tcBorders>
              <w:top w:val="single" w:color="auto" w:sz="4" w:space="0"/>
              <w:left w:val="single" w:color="auto" w:sz="4" w:space="0"/>
              <w:bottom w:val="nil"/>
              <w:right w:val="single" w:color="auto" w:sz="4" w:space="0"/>
            </w:tcBorders>
            <w:noWrap/>
            <w:vAlign w:val="bottom"/>
          </w:tcPr>
          <w:p>
            <w:pPr>
              <w:widowControl/>
              <w:ind w:right="37" w:rightChars="18"/>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8203</w:t>
            </w:r>
          </w:p>
        </w:tc>
        <w:tc>
          <w:tcPr>
            <w:tcW w:w="2179" w:type="dxa"/>
            <w:tcBorders>
              <w:top w:val="single" w:color="auto" w:sz="4" w:space="0"/>
              <w:left w:val="single" w:color="auto" w:sz="4" w:space="0"/>
              <w:bottom w:val="nil"/>
              <w:right w:val="nil"/>
            </w:tcBorders>
            <w:noWrap/>
            <w:vAlign w:val="bottom"/>
          </w:tcPr>
          <w:p>
            <w:pPr>
              <w:ind w:right="73" w:rightChars="35"/>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58941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color w:val="auto"/>
                <w:kern w:val="0"/>
                <w:sz w:val="21"/>
                <w:szCs w:val="21"/>
              </w:rPr>
            </w:pPr>
            <w:r>
              <w:rPr>
                <w:rFonts w:hint="eastAsia" w:ascii="宋体" w:hAnsi="宋体" w:cs="宋体"/>
                <w:b/>
                <w:color w:val="auto"/>
                <w:kern w:val="0"/>
                <w:sz w:val="21"/>
                <w:szCs w:val="21"/>
              </w:rPr>
              <w:t>内资企业</w:t>
            </w:r>
          </w:p>
        </w:tc>
        <w:tc>
          <w:tcPr>
            <w:tcW w:w="2568" w:type="dxa"/>
            <w:tcBorders>
              <w:top w:val="nil"/>
              <w:left w:val="single" w:color="auto" w:sz="4" w:space="0"/>
              <w:bottom w:val="nil"/>
              <w:right w:val="single" w:color="auto" w:sz="4" w:space="0"/>
            </w:tcBorders>
            <w:noWrap/>
            <w:vAlign w:val="bottom"/>
          </w:tcPr>
          <w:p>
            <w:pPr>
              <w:widowControl/>
              <w:ind w:right="37" w:rightChars="18"/>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8173</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55951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国有企业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集体企业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股份合作企业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联营企业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有限责任公司</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415</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7757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股份有限公司</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37</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1858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私营企业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7676</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45955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21"/>
                <w:szCs w:val="21"/>
              </w:rPr>
            </w:pPr>
            <w:r>
              <w:rPr>
                <w:rFonts w:hint="eastAsia" w:ascii="宋体" w:hAnsi="宋体" w:cs="宋体"/>
                <w:color w:val="auto"/>
                <w:kern w:val="0"/>
                <w:sz w:val="21"/>
                <w:szCs w:val="21"/>
              </w:rPr>
              <w:t>　其他企业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bCs w:val="0"/>
                <w:color w:val="auto"/>
                <w:kern w:val="0"/>
                <w:sz w:val="21"/>
                <w:szCs w:val="21"/>
              </w:rPr>
            </w:pPr>
            <w:r>
              <w:rPr>
                <w:rFonts w:hint="eastAsia" w:ascii="宋体" w:hAnsi="宋体" w:cs="宋体"/>
                <w:b/>
                <w:bCs w:val="0"/>
                <w:color w:val="auto"/>
                <w:kern w:val="0"/>
                <w:sz w:val="21"/>
                <w:szCs w:val="21"/>
              </w:rPr>
              <w:t>港、澳、台商投资企业</w:t>
            </w:r>
          </w:p>
        </w:tc>
        <w:tc>
          <w:tcPr>
            <w:tcW w:w="2568" w:type="dxa"/>
            <w:tcBorders>
              <w:top w:val="nil"/>
              <w:left w:val="single" w:color="auto" w:sz="4" w:space="0"/>
              <w:bottom w:val="nil"/>
              <w:right w:val="single" w:color="auto" w:sz="4" w:space="0"/>
            </w:tcBorders>
            <w:noWrap/>
            <w:vAlign w:val="bottom"/>
          </w:tcPr>
          <w:p>
            <w:pPr>
              <w:ind w:right="37" w:rightChars="18"/>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17</w:t>
            </w:r>
          </w:p>
        </w:tc>
        <w:tc>
          <w:tcPr>
            <w:tcW w:w="2179" w:type="dxa"/>
            <w:tcBorders>
              <w:top w:val="nil"/>
              <w:left w:val="single" w:color="auto" w:sz="4" w:space="0"/>
              <w:bottom w:val="nil"/>
              <w:right w:val="nil"/>
            </w:tcBorders>
            <w:noWrap/>
            <w:vAlign w:val="bottom"/>
          </w:tcPr>
          <w:p>
            <w:pPr>
              <w:ind w:right="73" w:rightChars="35"/>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1615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560" w:type="dxa"/>
            <w:tcBorders>
              <w:top w:val="nil"/>
              <w:left w:val="nil"/>
              <w:bottom w:val="single" w:color="auto" w:sz="12" w:space="0"/>
              <w:right w:val="single" w:color="auto" w:sz="4" w:space="0"/>
            </w:tcBorders>
            <w:noWrap/>
            <w:vAlign w:val="center"/>
          </w:tcPr>
          <w:p>
            <w:pPr>
              <w:widowControl/>
              <w:spacing w:line="240" w:lineRule="exact"/>
              <w:ind w:left="57" w:right="57"/>
              <w:rPr>
                <w:rFonts w:ascii="宋体" w:hAnsi="宋体" w:cs="宋体"/>
                <w:b/>
                <w:bCs w:val="0"/>
                <w:color w:val="auto"/>
                <w:kern w:val="0"/>
                <w:sz w:val="21"/>
                <w:szCs w:val="21"/>
              </w:rPr>
            </w:pPr>
            <w:r>
              <w:rPr>
                <w:rFonts w:hint="eastAsia" w:ascii="宋体" w:hAnsi="宋体" w:cs="宋体"/>
                <w:b/>
                <w:bCs w:val="0"/>
                <w:color w:val="auto"/>
                <w:kern w:val="0"/>
                <w:sz w:val="21"/>
                <w:szCs w:val="21"/>
              </w:rPr>
              <w:t>外商投资企业</w:t>
            </w:r>
          </w:p>
        </w:tc>
        <w:tc>
          <w:tcPr>
            <w:tcW w:w="2568" w:type="dxa"/>
            <w:tcBorders>
              <w:top w:val="nil"/>
              <w:left w:val="single" w:color="auto" w:sz="4" w:space="0"/>
              <w:bottom w:val="single" w:color="auto" w:sz="12" w:space="0"/>
              <w:right w:val="single" w:color="auto" w:sz="4" w:space="0"/>
            </w:tcBorders>
            <w:noWrap/>
            <w:vAlign w:val="bottom"/>
          </w:tcPr>
          <w:p>
            <w:pPr>
              <w:ind w:right="37" w:rightChars="18"/>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13</w:t>
            </w:r>
          </w:p>
        </w:tc>
        <w:tc>
          <w:tcPr>
            <w:tcW w:w="2179" w:type="dxa"/>
            <w:tcBorders>
              <w:top w:val="nil"/>
              <w:left w:val="single" w:color="auto" w:sz="4" w:space="0"/>
              <w:bottom w:val="single" w:color="auto" w:sz="12" w:space="0"/>
              <w:right w:val="nil"/>
            </w:tcBorders>
            <w:noWrap/>
            <w:vAlign w:val="bottom"/>
          </w:tcPr>
          <w:p>
            <w:pPr>
              <w:ind w:right="73" w:rightChars="35"/>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1375</w:t>
            </w:r>
          </w:p>
        </w:tc>
      </w:tr>
    </w:tbl>
    <w:p>
      <w:pPr>
        <w:snapToGrid w:val="0"/>
        <w:spacing w:line="600" w:lineRule="exact"/>
        <w:ind w:firstLine="640" w:firstLineChars="200"/>
        <w:rPr>
          <w:rFonts w:hint="eastAsia" w:ascii="方正楷体_GBK" w:eastAsia="方正楷体_GBK"/>
          <w:color w:val="auto"/>
          <w:sz w:val="32"/>
          <w:szCs w:val="32"/>
        </w:rPr>
      </w:pP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年末，批发和零售业企业法人单位资产总计</w:t>
      </w:r>
      <w:r>
        <w:rPr>
          <w:rFonts w:hint="default" w:ascii="Times New Roman" w:hAnsi="Times New Roman" w:eastAsia="方正仿宋_GBK" w:cs="Times New Roman"/>
          <w:color w:val="auto"/>
          <w:sz w:val="32"/>
          <w:szCs w:val="32"/>
        </w:rPr>
        <w:t>890.65</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190.3%</w:t>
      </w:r>
      <w:r>
        <w:rPr>
          <w:rFonts w:hint="eastAsia" w:eastAsia="方正仿宋_GBK"/>
          <w:color w:val="auto"/>
          <w:sz w:val="32"/>
          <w:szCs w:val="32"/>
        </w:rPr>
        <w:t>。其中，批发业企业法人单位资产总计</w:t>
      </w:r>
      <w:r>
        <w:rPr>
          <w:rFonts w:hint="default" w:ascii="Times New Roman" w:hAnsi="Times New Roman" w:eastAsia="方正仿宋_GBK" w:cs="Times New Roman"/>
          <w:color w:val="auto"/>
          <w:sz w:val="32"/>
          <w:szCs w:val="32"/>
        </w:rPr>
        <w:t>729.87</w:t>
      </w:r>
      <w:r>
        <w:rPr>
          <w:rFonts w:hint="eastAsia" w:eastAsia="方正仿宋_GBK"/>
          <w:color w:val="auto"/>
          <w:sz w:val="32"/>
          <w:szCs w:val="32"/>
        </w:rPr>
        <w:t>亿元，零售业企业法人单位资产总计</w:t>
      </w:r>
      <w:r>
        <w:rPr>
          <w:rFonts w:hint="default" w:ascii="Times New Roman" w:hAnsi="Times New Roman" w:eastAsia="方正仿宋_GBK" w:cs="Times New Roman"/>
          <w:color w:val="auto"/>
          <w:sz w:val="32"/>
          <w:szCs w:val="32"/>
        </w:rPr>
        <w:t>160.78</w:t>
      </w:r>
      <w:r>
        <w:rPr>
          <w:rFonts w:hint="eastAsia" w:eastAsia="方正仿宋_GBK"/>
          <w:color w:val="auto"/>
          <w:sz w:val="32"/>
          <w:szCs w:val="32"/>
        </w:rPr>
        <w:t>亿元，分别比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215.8%</w:t>
      </w:r>
      <w:r>
        <w:rPr>
          <w:rFonts w:hint="eastAsia" w:eastAsia="方正仿宋_GBK"/>
          <w:color w:val="auto"/>
          <w:sz w:val="32"/>
          <w:szCs w:val="32"/>
        </w:rPr>
        <w:t>和112.3%。负债合计</w:t>
      </w:r>
      <w:r>
        <w:rPr>
          <w:rFonts w:hint="default" w:ascii="Times New Roman" w:hAnsi="Times New Roman" w:eastAsia="方正仿宋_GBK" w:cs="Times New Roman"/>
          <w:color w:val="auto"/>
          <w:sz w:val="32"/>
          <w:szCs w:val="32"/>
        </w:rPr>
        <w:t>426.94</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986.91</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4-3</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kern w:val="0"/>
          <w:sz w:val="28"/>
        </w:rPr>
      </w:pPr>
      <w:r>
        <w:rPr>
          <w:rFonts w:hint="eastAsia" w:ascii="方正小标宋_GBK" w:eastAsia="方正小标宋_GBK"/>
          <w:bCs/>
          <w:color w:val="auto"/>
          <w:kern w:val="0"/>
          <w:sz w:val="28"/>
        </w:rPr>
        <w:t>表</w:t>
      </w:r>
      <w:r>
        <w:rPr>
          <w:rFonts w:ascii="方正小标宋_GBK" w:eastAsia="方正小标宋_GBK"/>
          <w:bCs/>
          <w:color w:val="auto"/>
          <w:kern w:val="0"/>
          <w:sz w:val="28"/>
        </w:rPr>
        <w:t>4-3</w:t>
      </w:r>
      <w:r>
        <w:rPr>
          <w:rFonts w:hint="eastAsia" w:ascii="方正小标宋_GBK" w:eastAsia="方正小标宋_GBK"/>
          <w:bCs/>
          <w:color w:val="auto"/>
          <w:kern w:val="0"/>
          <w:sz w:val="28"/>
        </w:rPr>
        <w:t>　按行业中类分组的批发和零售业企业法人单位主要经济</w:t>
      </w:r>
      <w:r>
        <w:rPr>
          <w:rFonts w:ascii="方正小标宋_GBK" w:eastAsia="方正小标宋_GBK"/>
          <w:bCs/>
          <w:color w:val="auto"/>
          <w:kern w:val="0"/>
          <w:sz w:val="28"/>
        </w:rPr>
        <w:t>指标</w:t>
      </w:r>
    </w:p>
    <w:tbl>
      <w:tblPr>
        <w:tblStyle w:val="4"/>
        <w:tblW w:w="834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21"/>
        <w:gridCol w:w="1405"/>
        <w:gridCol w:w="1227"/>
        <w:gridCol w:w="11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21"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1405"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227"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196"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1405" w:type="dxa"/>
            <w:tcBorders>
              <w:top w:val="single" w:color="auto" w:sz="4" w:space="0"/>
              <w:left w:val="single" w:color="auto" w:sz="4" w:space="0"/>
              <w:bottom w:val="nil"/>
              <w:right w:val="single" w:color="auto" w:sz="4" w:space="0"/>
            </w:tcBorders>
            <w:noWrap/>
            <w:vAlign w:val="center"/>
          </w:tcPr>
          <w:p>
            <w:pPr>
              <w:widowControl/>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sz w:val="21"/>
                <w:szCs w:val="21"/>
              </w:rPr>
              <w:t xml:space="preserve">890.65 </w:t>
            </w:r>
          </w:p>
        </w:tc>
        <w:tc>
          <w:tcPr>
            <w:tcW w:w="1227"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 xml:space="preserve">426.94 </w:t>
            </w:r>
          </w:p>
        </w:tc>
        <w:tc>
          <w:tcPr>
            <w:tcW w:w="1196"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 xml:space="preserve">986.92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b/>
                <w:bCs w:val="0"/>
                <w:color w:val="auto"/>
              </w:rPr>
            </w:pPr>
            <w:r>
              <w:rPr>
                <w:rFonts w:hint="eastAsia"/>
                <w:b/>
                <w:bCs w:val="0"/>
                <w:color w:val="auto"/>
              </w:rPr>
              <w:t>批发业</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729.87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314.31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735.86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ascii="宋体" w:hAnsi="宋体" w:cs="宋体"/>
                <w:color w:val="auto"/>
                <w:kern w:val="0"/>
                <w:szCs w:val="21"/>
              </w:rPr>
              <w:t>　农、林、牧、渔产品批发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7.47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4.51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1.36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食品、饮料及烟草制品批发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11.94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8.17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35.11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纺织、服装及家庭用品批发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4.89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2.83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5.66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文化、体育用品及器材批发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3.37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4.59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1.85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医药及医疗器材批发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141.50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103.31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213.07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矿产品、建材及化工产品批发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145.48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120.09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177.85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机械设备、五金产品及电子产品批发</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107.63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66.10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287.50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贸易经纪与代理</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301.86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1.37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1.06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其他批发业</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5.74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3.35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12.39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b/>
                <w:bCs w:val="0"/>
                <w:color w:val="auto"/>
              </w:rPr>
            </w:pPr>
            <w:r>
              <w:rPr>
                <w:rFonts w:hint="eastAsia"/>
                <w:b/>
                <w:bCs w:val="0"/>
                <w:color w:val="auto"/>
              </w:rPr>
              <w:t>零售业</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160.78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112.63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251.06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综合零售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8.85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7.16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18.51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食品、饮料及烟草制品专门零售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5.01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2.12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6.19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纺织、服装及日用品专门零售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10.27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7.44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15.79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文化、体育用品及器材专门零售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1.34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0.70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1.80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医药及医疗器材专门零售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14.72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9.63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21.18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ascii="宋体" w:hAnsi="宋体" w:cs="宋体"/>
                <w:color w:val="auto"/>
                <w:kern w:val="0"/>
                <w:szCs w:val="21"/>
              </w:rPr>
              <w:t>　汽车、摩托车、零配件和燃料及其他动力销售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75.39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52.06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149.20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家用电器及电子产品专门零售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13.06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9.81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26.24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nil"/>
              <w:right w:val="single" w:color="auto" w:sz="4" w:space="0"/>
            </w:tcBorders>
            <w:noWrap/>
          </w:tcPr>
          <w:p>
            <w:pPr>
              <w:rPr>
                <w:color w:val="auto"/>
              </w:rPr>
            </w:pPr>
            <w:r>
              <w:rPr>
                <w:rFonts w:hint="eastAsia"/>
                <w:color w:val="auto"/>
              </w:rPr>
              <w:t>　五金、家具及室内装饰材料专门零售</w:t>
            </w:r>
          </w:p>
        </w:tc>
        <w:tc>
          <w:tcPr>
            <w:tcW w:w="1405"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23.81 </w:t>
            </w:r>
          </w:p>
        </w:tc>
        <w:tc>
          <w:tcPr>
            <w:tcW w:w="1227"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20.14 </w:t>
            </w:r>
          </w:p>
        </w:tc>
        <w:tc>
          <w:tcPr>
            <w:tcW w:w="1196"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6.42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4521" w:type="dxa"/>
            <w:tcBorders>
              <w:top w:val="nil"/>
              <w:left w:val="nil"/>
              <w:bottom w:val="single" w:color="auto" w:sz="12" w:space="0"/>
              <w:right w:val="single" w:color="auto" w:sz="4" w:space="0"/>
            </w:tcBorders>
            <w:noWrap/>
          </w:tcPr>
          <w:p>
            <w:pPr>
              <w:rPr>
                <w:color w:val="auto"/>
              </w:rPr>
            </w:pPr>
            <w:r>
              <w:rPr>
                <w:rFonts w:hint="eastAsia"/>
                <w:color w:val="auto"/>
              </w:rPr>
              <w:t>　货摊、无店铺及其他零售业</w:t>
            </w:r>
          </w:p>
        </w:tc>
        <w:tc>
          <w:tcPr>
            <w:tcW w:w="1405"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8.32 </w:t>
            </w:r>
          </w:p>
        </w:tc>
        <w:tc>
          <w:tcPr>
            <w:tcW w:w="1227"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3.57 </w:t>
            </w:r>
          </w:p>
        </w:tc>
        <w:tc>
          <w:tcPr>
            <w:tcW w:w="1196"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5.72 </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二、交通运输、仓储和邮政业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年末，全区共有交通运输、仓储和邮政业企业法人单位</w:t>
      </w:r>
      <w:r>
        <w:rPr>
          <w:rFonts w:hint="default" w:ascii="Times New Roman" w:hAnsi="Times New Roman" w:eastAsia="方正仿宋_GBK" w:cs="Times New Roman"/>
          <w:color w:val="auto"/>
          <w:sz w:val="32"/>
          <w:szCs w:val="32"/>
        </w:rPr>
        <w:t>392</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166.7%</w:t>
      </w:r>
      <w:r>
        <w:rPr>
          <w:rFonts w:hint="eastAsia" w:eastAsia="方正仿宋_GBK"/>
          <w:color w:val="auto"/>
          <w:sz w:val="32"/>
          <w:szCs w:val="32"/>
        </w:rPr>
        <w:t>；从业人员</w:t>
      </w:r>
      <w:r>
        <w:rPr>
          <w:rFonts w:hint="default" w:ascii="Times New Roman" w:hAnsi="Times New Roman" w:eastAsia="方正小标宋_GBK" w:cs="Times New Roman"/>
          <w:color w:val="auto"/>
          <w:sz w:val="32"/>
          <w:szCs w:val="32"/>
        </w:rPr>
        <w:t>1.52</w:t>
      </w:r>
      <w:r>
        <w:rPr>
          <w:rFonts w:hint="eastAsia" w:eastAsia="方正仿宋_GBK"/>
          <w:color w:val="auto"/>
          <w:sz w:val="32"/>
          <w:szCs w:val="32"/>
        </w:rPr>
        <w:t>万人，比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年末下降</w:t>
      </w:r>
      <w:r>
        <w:rPr>
          <w:rFonts w:hint="default" w:ascii="Times New Roman" w:hAnsi="Times New Roman" w:eastAsia="方正仿宋_GBK" w:cs="Times New Roman"/>
          <w:color w:val="auto"/>
          <w:sz w:val="32"/>
          <w:szCs w:val="32"/>
        </w:rPr>
        <w:t>24.0%</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4-4</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w w:val="93"/>
          <w:kern w:val="0"/>
          <w:sz w:val="28"/>
          <w:szCs w:val="28"/>
        </w:rPr>
      </w:pPr>
      <w:r>
        <w:rPr>
          <w:rFonts w:hint="eastAsia" w:ascii="方正小标宋_GBK" w:eastAsia="方正小标宋_GBK"/>
          <w:bCs/>
          <w:color w:val="auto"/>
          <w:w w:val="93"/>
          <w:kern w:val="0"/>
          <w:sz w:val="28"/>
          <w:szCs w:val="28"/>
        </w:rPr>
        <w:t>表</w:t>
      </w:r>
      <w:r>
        <w:rPr>
          <w:rFonts w:ascii="方正小标宋_GBK" w:eastAsia="方正小标宋_GBK"/>
          <w:bCs/>
          <w:color w:val="auto"/>
          <w:w w:val="93"/>
          <w:kern w:val="0"/>
          <w:sz w:val="28"/>
          <w:szCs w:val="28"/>
        </w:rPr>
        <w:t>4-4</w:t>
      </w:r>
      <w:r>
        <w:rPr>
          <w:rFonts w:hint="eastAsia" w:ascii="方正小标宋_GBK" w:eastAsia="方正小标宋_GBK"/>
          <w:bCs/>
          <w:color w:val="auto"/>
          <w:w w:val="93"/>
          <w:kern w:val="0"/>
          <w:sz w:val="28"/>
          <w:szCs w:val="28"/>
        </w:rPr>
        <w:t>　按行业大类分组的交通运输、仓储和邮政业企业法人单位和从业人员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20"/>
        <w:gridCol w:w="2426"/>
        <w:gridCol w:w="22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3520"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2426"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2247"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2426"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392</w:t>
            </w:r>
          </w:p>
        </w:tc>
        <w:tc>
          <w:tcPr>
            <w:tcW w:w="2247"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15249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铁路运输业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rPr>
              <w:t>—</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道路运输业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274</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11648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水上运输业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10</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1990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rFonts w:ascii="宋体" w:hAnsi="宋体" w:cs="宋体"/>
                <w:color w:val="auto"/>
                <w:kern w:val="0"/>
                <w:szCs w:val="21"/>
              </w:rPr>
            </w:pPr>
            <w:r>
              <w:rPr>
                <w:rFonts w:hint="eastAsia" w:ascii="宋体" w:hAnsi="宋体" w:cs="宋体"/>
                <w:color w:val="auto"/>
                <w:kern w:val="0"/>
                <w:szCs w:val="21"/>
              </w:rPr>
              <w:t>　航空运输业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rFonts w:ascii="宋体" w:hAnsi="宋体" w:cs="宋体"/>
                <w:color w:val="auto"/>
                <w:kern w:val="0"/>
                <w:szCs w:val="21"/>
              </w:rPr>
            </w:pPr>
            <w:r>
              <w:rPr>
                <w:rFonts w:hint="eastAsia" w:ascii="宋体" w:hAnsi="宋体" w:cs="宋体"/>
                <w:color w:val="auto"/>
                <w:kern w:val="0"/>
                <w:szCs w:val="21"/>
              </w:rPr>
              <w:t>　管道运输业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多式</w:t>
            </w:r>
            <w:r>
              <w:rPr>
                <w:rFonts w:ascii="宋体" w:hAnsi="宋体" w:cs="宋体"/>
                <w:color w:val="auto"/>
                <w:kern w:val="0"/>
                <w:szCs w:val="21"/>
              </w:rPr>
              <w:t>联运和</w:t>
            </w:r>
            <w:r>
              <w:rPr>
                <w:rFonts w:hint="eastAsia" w:ascii="宋体" w:hAnsi="宋体" w:cs="宋体"/>
                <w:color w:val="auto"/>
                <w:kern w:val="0"/>
                <w:szCs w:val="21"/>
              </w:rPr>
              <w:t>运输代理业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44</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装卸搬运和仓储业</w:t>
            </w:r>
          </w:p>
        </w:tc>
        <w:tc>
          <w:tcPr>
            <w:tcW w:w="242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39</w:t>
            </w:r>
          </w:p>
        </w:tc>
        <w:tc>
          <w:tcPr>
            <w:tcW w:w="2247"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665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20" w:type="dxa"/>
            <w:tcBorders>
              <w:top w:val="nil"/>
              <w:left w:val="nil"/>
              <w:bottom w:val="single" w:color="auto" w:sz="12" w:space="0"/>
              <w:right w:val="single" w:color="auto" w:sz="4" w:space="0"/>
            </w:tcBorders>
            <w:noWrap/>
            <w:vAlign w:val="center"/>
          </w:tcPr>
          <w:p>
            <w:pPr>
              <w:rPr>
                <w:color w:val="auto"/>
              </w:rPr>
            </w:pPr>
            <w:r>
              <w:rPr>
                <w:rFonts w:hint="eastAsia" w:ascii="宋体" w:hAnsi="宋体" w:cs="宋体"/>
                <w:color w:val="auto"/>
                <w:kern w:val="0"/>
                <w:szCs w:val="21"/>
              </w:rPr>
              <w:t>　邮政业</w:t>
            </w:r>
          </w:p>
        </w:tc>
        <w:tc>
          <w:tcPr>
            <w:tcW w:w="2426"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25</w:t>
            </w:r>
          </w:p>
        </w:tc>
        <w:tc>
          <w:tcPr>
            <w:tcW w:w="2247"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645</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年末，交通运输、仓储和邮政业企业法人单位资产总计</w:t>
      </w:r>
      <w:r>
        <w:rPr>
          <w:rFonts w:hint="default" w:ascii="Times New Roman" w:hAnsi="Times New Roman" w:eastAsia="方正仿宋_GBK" w:cs="Times New Roman"/>
          <w:color w:val="auto"/>
          <w:sz w:val="32"/>
          <w:szCs w:val="32"/>
        </w:rPr>
        <w:t>252.11</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116.6%</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164.72</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41.71</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4-5</w:t>
      </w:r>
      <w:r>
        <w:rPr>
          <w:rFonts w:hint="eastAsia" w:eastAsia="方正仿宋_GBK"/>
          <w:color w:val="auto"/>
          <w:sz w:val="32"/>
          <w:szCs w:val="32"/>
        </w:rPr>
        <w:t>）。</w:t>
      </w:r>
    </w:p>
    <w:p>
      <w:pPr>
        <w:snapToGrid w:val="0"/>
        <w:spacing w:line="600" w:lineRule="exact"/>
        <w:jc w:val="center"/>
        <w:rPr>
          <w:rFonts w:ascii="方正小标宋_GBK" w:eastAsia="方正小标宋_GBK"/>
          <w:bCs/>
          <w:color w:val="auto"/>
          <w:w w:val="92"/>
          <w:kern w:val="0"/>
          <w:sz w:val="28"/>
          <w:szCs w:val="28"/>
        </w:rPr>
      </w:pPr>
      <w:r>
        <w:rPr>
          <w:rFonts w:hint="eastAsia" w:ascii="方正小标宋_GBK" w:eastAsia="方正小标宋_GBK"/>
          <w:bCs/>
          <w:color w:val="auto"/>
          <w:w w:val="92"/>
          <w:kern w:val="0"/>
          <w:sz w:val="28"/>
          <w:szCs w:val="28"/>
        </w:rPr>
        <w:t>表</w:t>
      </w:r>
      <w:r>
        <w:rPr>
          <w:rFonts w:ascii="方正小标宋_GBK" w:eastAsia="方正小标宋_GBK"/>
          <w:bCs/>
          <w:color w:val="auto"/>
          <w:w w:val="92"/>
          <w:kern w:val="0"/>
          <w:sz w:val="28"/>
          <w:szCs w:val="28"/>
        </w:rPr>
        <w:t>4-5</w:t>
      </w:r>
      <w:r>
        <w:rPr>
          <w:rFonts w:hint="eastAsia" w:ascii="方正小标宋_GBK" w:eastAsia="方正小标宋_GBK"/>
          <w:bCs/>
          <w:color w:val="auto"/>
          <w:w w:val="92"/>
          <w:kern w:val="0"/>
          <w:sz w:val="28"/>
          <w:szCs w:val="28"/>
        </w:rPr>
        <w:t>　按行业大类分组的交通运输、仓储和邮政业企业法人单位主要经济</w:t>
      </w:r>
      <w:r>
        <w:rPr>
          <w:rFonts w:ascii="方正小标宋_GBK" w:eastAsia="方正小标宋_GBK"/>
          <w:bCs/>
          <w:color w:val="auto"/>
          <w:w w:val="92"/>
          <w:kern w:val="0"/>
          <w:sz w:val="28"/>
          <w:szCs w:val="28"/>
        </w:rPr>
        <w:t>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52"/>
        <w:gridCol w:w="1540"/>
        <w:gridCol w:w="1540"/>
        <w:gridCol w:w="1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52" w:type="dxa"/>
            <w:tcBorders>
              <w:top w:val="single" w:color="auto" w:sz="12" w:space="0"/>
              <w:left w:val="nil"/>
              <w:bottom w:val="single" w:color="auto" w:sz="4" w:space="0"/>
              <w:right w:val="single" w:color="auto" w:sz="4" w:space="0"/>
            </w:tcBorders>
            <w:noWrap/>
            <w:vAlign w:val="center"/>
          </w:tcPr>
          <w:p>
            <w:pPr>
              <w:widowControl/>
              <w:spacing w:line="240" w:lineRule="atLeast"/>
              <w:ind w:right="57"/>
              <w:rPr>
                <w:rFonts w:ascii="宋体" w:hAnsi="宋体" w:cs="宋体"/>
                <w:b/>
                <w:color w:val="auto"/>
                <w:kern w:val="0"/>
                <w:sz w:val="18"/>
                <w:szCs w:val="18"/>
              </w:rPr>
            </w:pP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669"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252.11 </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164.72 </w:t>
            </w:r>
          </w:p>
        </w:tc>
        <w:tc>
          <w:tcPr>
            <w:tcW w:w="1669"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41.71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rFonts w:ascii="宋体" w:hAnsi="宋体" w:cs="宋体"/>
                <w:color w:val="auto"/>
                <w:kern w:val="0"/>
                <w:szCs w:val="21"/>
              </w:rPr>
            </w:pPr>
            <w:r>
              <w:rPr>
                <w:rFonts w:hint="eastAsia" w:ascii="宋体" w:hAnsi="宋体" w:cs="宋体"/>
                <w:color w:val="auto"/>
                <w:kern w:val="0"/>
                <w:szCs w:val="21"/>
              </w:rPr>
              <w:t>　铁路运输业</w:t>
            </w:r>
          </w:p>
        </w:tc>
        <w:tc>
          <w:tcPr>
            <w:tcW w:w="1540"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道路运输业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203.81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138.33 </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31.48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水上运输业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40.59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22.71 </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6.11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rFonts w:ascii="宋体" w:hAnsi="宋体" w:cs="宋体"/>
                <w:color w:val="auto"/>
                <w:kern w:val="0"/>
                <w:szCs w:val="21"/>
              </w:rPr>
            </w:pPr>
            <w:r>
              <w:rPr>
                <w:rFonts w:hint="eastAsia" w:ascii="宋体" w:hAnsi="宋体" w:cs="宋体"/>
                <w:color w:val="auto"/>
                <w:kern w:val="0"/>
                <w:szCs w:val="21"/>
              </w:rPr>
              <w:t>　航空运输业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rFonts w:ascii="宋体" w:hAnsi="宋体" w:cs="宋体"/>
                <w:color w:val="auto"/>
                <w:kern w:val="0"/>
                <w:szCs w:val="21"/>
              </w:rPr>
            </w:pPr>
            <w:r>
              <w:rPr>
                <w:rFonts w:hint="eastAsia" w:ascii="宋体" w:hAnsi="宋体" w:cs="宋体"/>
                <w:color w:val="auto"/>
                <w:kern w:val="0"/>
                <w:szCs w:val="21"/>
              </w:rPr>
              <w:t>　管道运输业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多式</w:t>
            </w:r>
            <w:r>
              <w:rPr>
                <w:rFonts w:ascii="宋体" w:hAnsi="宋体" w:cs="宋体"/>
                <w:color w:val="auto"/>
                <w:kern w:val="0"/>
                <w:szCs w:val="21"/>
              </w:rPr>
              <w:t>联运和</w:t>
            </w:r>
            <w:r>
              <w:rPr>
                <w:rFonts w:hint="eastAsia" w:ascii="宋体" w:hAnsi="宋体" w:cs="宋体"/>
                <w:color w:val="auto"/>
                <w:kern w:val="0"/>
                <w:szCs w:val="21"/>
              </w:rPr>
              <w:t>运输代理业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0.48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0.42 </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1.41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装卸搬运和仓储业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6.85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3.09 </w:t>
            </w:r>
          </w:p>
        </w:tc>
        <w:tc>
          <w:tcPr>
            <w:tcW w:w="1669"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0.79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3552" w:type="dxa"/>
            <w:tcBorders>
              <w:top w:val="nil"/>
              <w:left w:val="nil"/>
              <w:bottom w:val="single" w:color="auto" w:sz="12" w:space="0"/>
              <w:right w:val="single" w:color="auto" w:sz="4" w:space="0"/>
            </w:tcBorders>
            <w:noWrap/>
            <w:vAlign w:val="center"/>
          </w:tcPr>
          <w:p>
            <w:pPr>
              <w:rPr>
                <w:color w:val="auto"/>
              </w:rPr>
            </w:pPr>
            <w:r>
              <w:rPr>
                <w:rFonts w:hint="eastAsia" w:ascii="宋体" w:hAnsi="宋体" w:cs="宋体"/>
                <w:color w:val="auto"/>
                <w:kern w:val="0"/>
                <w:szCs w:val="21"/>
              </w:rPr>
              <w:t>　邮政业</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0.38 </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0.18 </w:t>
            </w:r>
          </w:p>
        </w:tc>
        <w:tc>
          <w:tcPr>
            <w:tcW w:w="1669"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1.92 </w:t>
            </w:r>
          </w:p>
        </w:tc>
      </w:tr>
    </w:tbl>
    <w:p>
      <w:pPr>
        <w:snapToGrid w:val="0"/>
        <w:spacing w:line="600" w:lineRule="exact"/>
        <w:ind w:firstLine="640" w:firstLineChars="200"/>
        <w:rPr>
          <w:rFonts w:hint="eastAsia" w:ascii="方正黑体_GBK" w:eastAsia="方正黑体_GBK"/>
          <w:color w:val="auto"/>
          <w:sz w:val="32"/>
          <w:szCs w:val="32"/>
        </w:rPr>
      </w:pP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三、住宿和餐饮业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年末，全市共有住宿和餐饮业企业法人单位</w:t>
      </w:r>
      <w:r>
        <w:rPr>
          <w:rFonts w:hint="default" w:ascii="Times New Roman" w:hAnsi="Times New Roman" w:eastAsia="方正仿宋_GBK" w:cs="Times New Roman"/>
          <w:color w:val="auto"/>
          <w:sz w:val="32"/>
          <w:szCs w:val="32"/>
        </w:rPr>
        <w:t>899</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9278</w:t>
      </w:r>
      <w:r>
        <w:rPr>
          <w:rFonts w:hint="eastAsia" w:eastAsia="方正仿宋_GBK"/>
          <w:color w:val="auto"/>
          <w:sz w:val="32"/>
          <w:szCs w:val="32"/>
        </w:rPr>
        <w:t>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97.1%</w:t>
      </w:r>
      <w:r>
        <w:rPr>
          <w:rFonts w:hint="eastAsia" w:eastAsia="方正仿宋_GBK"/>
          <w:color w:val="auto"/>
          <w:sz w:val="32"/>
          <w:szCs w:val="32"/>
        </w:rPr>
        <w:t>和</w:t>
      </w:r>
      <w:r>
        <w:rPr>
          <w:rFonts w:hint="eastAsia" w:ascii="Times New Roman" w:hAnsi="Times New Roman" w:eastAsia="方正仿宋_GBK" w:cs="Times New Roman"/>
          <w:color w:val="auto"/>
          <w:sz w:val="32"/>
          <w:szCs w:val="32"/>
        </w:rPr>
        <w:t>下降</w:t>
      </w:r>
      <w:r>
        <w:rPr>
          <w:rFonts w:ascii="Times New Roman" w:hAnsi="Times New Roman" w:eastAsia="方正仿宋_GBK" w:cs="Times New Roman"/>
          <w:color w:val="auto"/>
          <w:sz w:val="32"/>
          <w:szCs w:val="32"/>
        </w:rPr>
        <w:t>14.9%</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在住宿和餐饮业企业法人单位中，住宿业占</w:t>
      </w:r>
      <w:r>
        <w:rPr>
          <w:rFonts w:hint="default" w:ascii="Times New Roman" w:hAnsi="Times New Roman" w:eastAsia="方正仿宋_GBK" w:cs="Times New Roman"/>
          <w:color w:val="auto"/>
          <w:sz w:val="32"/>
          <w:szCs w:val="32"/>
        </w:rPr>
        <w:t>30.5%</w:t>
      </w:r>
      <w:r>
        <w:rPr>
          <w:rFonts w:hint="eastAsia" w:eastAsia="方正仿宋_GBK"/>
          <w:color w:val="auto"/>
          <w:sz w:val="32"/>
          <w:szCs w:val="32"/>
        </w:rPr>
        <w:t>，餐饮业占</w:t>
      </w:r>
      <w:r>
        <w:rPr>
          <w:rFonts w:hint="default" w:ascii="Times New Roman" w:hAnsi="Times New Roman" w:eastAsia="方正仿宋_GBK" w:cs="Times New Roman"/>
          <w:color w:val="auto"/>
          <w:sz w:val="32"/>
          <w:szCs w:val="32"/>
        </w:rPr>
        <w:t>69.5%</w:t>
      </w:r>
      <w:r>
        <w:rPr>
          <w:rFonts w:hint="eastAsia" w:eastAsia="方正仿宋_GBK"/>
          <w:color w:val="auto"/>
          <w:sz w:val="32"/>
          <w:szCs w:val="32"/>
        </w:rPr>
        <w:t>。在住宿和餐饮业企业法人单位从业人员中，住宿业占</w:t>
      </w:r>
      <w:r>
        <w:rPr>
          <w:rFonts w:hint="default" w:ascii="Times New Roman" w:hAnsi="Times New Roman" w:eastAsia="方正仿宋_GBK" w:cs="Times New Roman"/>
          <w:color w:val="auto"/>
          <w:sz w:val="32"/>
          <w:szCs w:val="32"/>
        </w:rPr>
        <w:t>37.5%</w:t>
      </w:r>
      <w:r>
        <w:rPr>
          <w:rFonts w:hint="eastAsia" w:eastAsia="方正仿宋_GBK"/>
          <w:color w:val="auto"/>
          <w:sz w:val="32"/>
          <w:szCs w:val="32"/>
        </w:rPr>
        <w:t>，餐饮业占</w:t>
      </w:r>
      <w:r>
        <w:rPr>
          <w:rFonts w:hint="default" w:ascii="Times New Roman" w:hAnsi="Times New Roman" w:eastAsia="方正仿宋_GBK" w:cs="Times New Roman"/>
          <w:color w:val="auto"/>
          <w:sz w:val="32"/>
          <w:szCs w:val="32"/>
        </w:rPr>
        <w:t>62.5%</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4-6</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在住宿和餐饮业企业法人单位中，内资企业占</w:t>
      </w:r>
      <w:r>
        <w:rPr>
          <w:rFonts w:hint="default" w:ascii="Times New Roman" w:hAnsi="Times New Roman" w:eastAsia="方正仿宋_GBK" w:cs="Times New Roman"/>
          <w:color w:val="auto"/>
          <w:sz w:val="32"/>
          <w:szCs w:val="32"/>
        </w:rPr>
        <w:t>99.8%</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在住宿和餐饮业企业法人单位从业人员中，内资企业占</w:t>
      </w:r>
      <w:r>
        <w:rPr>
          <w:rFonts w:hint="default" w:ascii="Times New Roman" w:hAnsi="Times New Roman" w:eastAsia="方正仿宋_GBK" w:cs="Times New Roman"/>
          <w:color w:val="auto"/>
          <w:sz w:val="32"/>
          <w:szCs w:val="32"/>
        </w:rPr>
        <w:t>98.8%</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1.2%</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4-7</w:t>
      </w:r>
      <w:r>
        <w:rPr>
          <w:rFonts w:hint="eastAsia" w:eastAsia="方正仿宋_GBK"/>
          <w:color w:val="auto"/>
          <w:sz w:val="32"/>
          <w:szCs w:val="32"/>
        </w:rPr>
        <w:t>）。</w:t>
      </w:r>
    </w:p>
    <w:p>
      <w:pPr>
        <w:snapToGrid w:val="0"/>
        <w:spacing w:line="600" w:lineRule="exact"/>
        <w:jc w:val="center"/>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表4-</w:t>
      </w:r>
      <w:r>
        <w:rPr>
          <w:rFonts w:ascii="方正小标宋_GBK" w:hAnsi="宋体" w:eastAsia="方正小标宋_GBK" w:cs="宋体"/>
          <w:bCs/>
          <w:color w:val="auto"/>
          <w:kern w:val="0"/>
          <w:sz w:val="28"/>
          <w:szCs w:val="28"/>
        </w:rPr>
        <w:t>6</w:t>
      </w:r>
      <w:r>
        <w:rPr>
          <w:rFonts w:hint="eastAsia" w:ascii="方正小标宋_GBK" w:hAnsi="宋体" w:eastAsia="方正小标宋_GBK" w:cs="宋体"/>
          <w:bCs/>
          <w:color w:val="auto"/>
          <w:kern w:val="0"/>
          <w:sz w:val="28"/>
          <w:szCs w:val="28"/>
        </w:rPr>
        <w:t>　按行业中类分组的住宿和餐饮业企业法人单位和从业人员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3" w:type="dxa"/>
            <w:gridSpan w:val="2"/>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b/>
                <w:color w:val="auto"/>
                <w:kern w:val="0"/>
                <w:sz w:val="18"/>
                <w:szCs w:val="18"/>
              </w:rPr>
            </w:pPr>
          </w:p>
        </w:tc>
        <w:tc>
          <w:tcPr>
            <w:tcW w:w="2661"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（个）</w:t>
            </w:r>
          </w:p>
        </w:tc>
        <w:tc>
          <w:tcPr>
            <w:tcW w:w="1932"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3713" w:type="dxa"/>
            <w:gridSpan w:val="2"/>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661" w:type="dxa"/>
            <w:tcBorders>
              <w:top w:val="single" w:color="auto" w:sz="4" w:space="0"/>
              <w:left w:val="single" w:color="auto" w:sz="4" w:space="0"/>
              <w:bottom w:val="nil"/>
              <w:right w:val="single" w:color="auto" w:sz="4" w:space="0"/>
            </w:tcBorders>
            <w:noWrap/>
            <w:vAlign w:val="center"/>
          </w:tcPr>
          <w:p>
            <w:pPr>
              <w:widowControl/>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899</w:t>
            </w:r>
          </w:p>
        </w:tc>
        <w:tc>
          <w:tcPr>
            <w:tcW w:w="1932"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9278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3713"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住宿业</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274</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3477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3713"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旅游饭店</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38</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3713"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一般旅馆</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185</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3713"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Cs w:val="21"/>
              </w:rPr>
            </w:pPr>
            <w:r>
              <w:rPr>
                <w:rFonts w:hint="eastAsia" w:ascii="宋体" w:hAnsi="宋体" w:cs="宋体"/>
                <w:color w:val="auto"/>
                <w:kern w:val="0"/>
                <w:szCs w:val="21"/>
              </w:rPr>
              <w:t>民宿</w:t>
            </w:r>
            <w:r>
              <w:rPr>
                <w:rFonts w:ascii="宋体" w:hAnsi="宋体" w:cs="宋体"/>
                <w:color w:val="auto"/>
                <w:kern w:val="0"/>
                <w:szCs w:val="21"/>
              </w:rPr>
              <w:t>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38</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Cs w:val="21"/>
              </w:rPr>
            </w:pPr>
            <w:r>
              <w:rPr>
                <w:rFonts w:hint="eastAsia" w:ascii="宋体" w:hAnsi="宋体" w:cs="宋体"/>
                <w:color w:val="auto"/>
                <w:kern w:val="0"/>
                <w:szCs w:val="21"/>
              </w:rPr>
              <w:t xml:space="preserve">  露营</w:t>
            </w:r>
            <w:r>
              <w:rPr>
                <w:rFonts w:ascii="宋体" w:hAnsi="宋体" w:cs="宋体"/>
                <w:color w:val="auto"/>
                <w:kern w:val="0"/>
                <w:szCs w:val="21"/>
              </w:rPr>
              <w:t>地服务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其他住宿业</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bCs w:val="0"/>
                <w:color w:val="auto"/>
                <w:kern w:val="0"/>
                <w:sz w:val="18"/>
                <w:szCs w:val="18"/>
              </w:rPr>
            </w:pPr>
            <w:r>
              <w:rPr>
                <w:rFonts w:hint="eastAsia" w:ascii="宋体" w:hAnsi="宋体" w:cs="宋体"/>
                <w:b/>
                <w:bCs w:val="0"/>
                <w:color w:val="auto"/>
                <w:kern w:val="0"/>
                <w:szCs w:val="21"/>
              </w:rPr>
              <w:t>餐饮业</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625</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5801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正餐服务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538</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5305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快餐服务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23</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饮料及冷饮服务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Cs w:val="21"/>
              </w:rPr>
            </w:pPr>
            <w:r>
              <w:rPr>
                <w:rFonts w:hint="eastAsia" w:ascii="宋体" w:hAnsi="宋体" w:cs="宋体"/>
                <w:color w:val="auto"/>
                <w:kern w:val="0"/>
                <w:szCs w:val="21"/>
              </w:rPr>
              <w:t xml:space="preserve">  餐饮</w:t>
            </w:r>
            <w:r>
              <w:rPr>
                <w:rFonts w:ascii="宋体" w:hAnsi="宋体" w:cs="宋体"/>
                <w:color w:val="auto"/>
                <w:kern w:val="0"/>
                <w:szCs w:val="21"/>
              </w:rPr>
              <w:t>配送及外卖送餐服务</w:t>
            </w:r>
          </w:p>
        </w:tc>
        <w:tc>
          <w:tcPr>
            <w:tcW w:w="2661"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193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5" w:type="dxa"/>
          <w:trHeight w:val="385" w:hRule="atLeast"/>
          <w:jc w:val="center"/>
        </w:trPr>
        <w:tc>
          <w:tcPr>
            <w:tcW w:w="3713"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其他餐饮业</w:t>
            </w:r>
          </w:p>
        </w:tc>
        <w:tc>
          <w:tcPr>
            <w:tcW w:w="2661"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35</w:t>
            </w:r>
          </w:p>
        </w:tc>
        <w:tc>
          <w:tcPr>
            <w:tcW w:w="1932"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156</w:t>
            </w:r>
          </w:p>
        </w:tc>
      </w:tr>
    </w:tbl>
    <w:p>
      <w:pPr>
        <w:spacing w:line="20" w:lineRule="exact"/>
        <w:ind w:firstLine="200" w:firstLineChars="200"/>
        <w:rPr>
          <w:rFonts w:ascii="仿宋_GB2312" w:hAnsi="宋体" w:eastAsia="仿宋_GB2312" w:cs="宋体"/>
          <w:color w:val="auto"/>
          <w:kern w:val="0"/>
          <w:sz w:val="10"/>
          <w:szCs w:val="10"/>
        </w:rPr>
      </w:pPr>
    </w:p>
    <w:p>
      <w:pPr>
        <w:snapToGrid w:val="0"/>
        <w:spacing w:line="600" w:lineRule="exact"/>
        <w:jc w:val="both"/>
        <w:rPr>
          <w:rFonts w:hint="eastAsia" w:ascii="方正小标宋_GBK" w:hAnsi="宋体" w:eastAsia="方正小标宋_GBK" w:cs="宋体"/>
          <w:bCs/>
          <w:color w:val="auto"/>
          <w:kern w:val="0"/>
          <w:sz w:val="26"/>
          <w:szCs w:val="26"/>
        </w:rPr>
      </w:pPr>
    </w:p>
    <w:p>
      <w:pPr>
        <w:snapToGrid w:val="0"/>
        <w:spacing w:line="600" w:lineRule="exact"/>
        <w:jc w:val="center"/>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4-7</w:t>
      </w:r>
      <w:r>
        <w:rPr>
          <w:rFonts w:hint="eastAsia" w:ascii="方正小标宋_GBK" w:hAnsi="宋体" w:eastAsia="方正小标宋_GBK" w:cs="宋体"/>
          <w:bCs/>
          <w:color w:val="auto"/>
          <w:kern w:val="0"/>
          <w:sz w:val="28"/>
          <w:szCs w:val="28"/>
        </w:rPr>
        <w:t>　按登记注册类型分组的住宿和餐饮业企业法人单位和从业</w:t>
      </w:r>
      <w:r>
        <w:rPr>
          <w:rFonts w:hint="eastAsia" w:ascii="方正小标宋_GBK" w:eastAsia="方正小标宋_GBK"/>
          <w:bCs/>
          <w:color w:val="auto"/>
          <w:kern w:val="0"/>
          <w:sz w:val="28"/>
          <w:szCs w:val="28"/>
        </w:rPr>
        <w:t>人员</w:t>
      </w:r>
    </w:p>
    <w:p>
      <w:pPr>
        <w:spacing w:line="20" w:lineRule="exact"/>
        <w:ind w:firstLine="200" w:firstLineChars="200"/>
        <w:rPr>
          <w:rFonts w:ascii="仿宋_GB2312" w:hAnsi="宋体" w:eastAsia="仿宋_GB2312" w:cs="宋体"/>
          <w:color w:val="auto"/>
          <w:kern w:val="0"/>
          <w:sz w:val="10"/>
          <w:szCs w:val="10"/>
        </w:rPr>
      </w:pPr>
    </w:p>
    <w:p>
      <w:pPr>
        <w:spacing w:line="20" w:lineRule="exact"/>
        <w:ind w:firstLine="200" w:firstLineChars="200"/>
        <w:rPr>
          <w:rFonts w:ascii="仿宋_GB2312" w:hAnsi="宋体" w:eastAsia="仿宋_GB2312" w:cs="宋体"/>
          <w:color w:val="auto"/>
          <w:kern w:val="0"/>
          <w:sz w:val="10"/>
          <w:szCs w:val="10"/>
        </w:rPr>
      </w:pP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713"/>
        <w:gridCol w:w="2296"/>
        <w:gridCol w:w="22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7" w:hRule="atLeast"/>
          <w:jc w:val="center"/>
        </w:trPr>
        <w:tc>
          <w:tcPr>
            <w:tcW w:w="3713"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b/>
                <w:color w:val="auto"/>
                <w:kern w:val="0"/>
                <w:sz w:val="18"/>
                <w:szCs w:val="18"/>
              </w:rPr>
            </w:pPr>
          </w:p>
        </w:tc>
        <w:tc>
          <w:tcPr>
            <w:tcW w:w="2296"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2297"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296" w:type="dxa"/>
            <w:tcBorders>
              <w:top w:val="single" w:color="auto" w:sz="4" w:space="0"/>
              <w:left w:val="single" w:color="auto" w:sz="4" w:space="0"/>
              <w:bottom w:val="nil"/>
              <w:right w:val="single" w:color="auto" w:sz="4" w:space="0"/>
            </w:tcBorders>
            <w:noWrap/>
            <w:vAlign w:val="bottom"/>
          </w:tcPr>
          <w:p>
            <w:pPr>
              <w:widowControl/>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899</w:t>
            </w:r>
          </w:p>
        </w:tc>
        <w:tc>
          <w:tcPr>
            <w:tcW w:w="2297" w:type="dxa"/>
            <w:tcBorders>
              <w:top w:val="single" w:color="auto" w:sz="4" w:space="0"/>
              <w:left w:val="single" w:color="auto" w:sz="4" w:space="0"/>
              <w:bottom w:val="nil"/>
              <w:right w:val="nil"/>
            </w:tcBorders>
            <w:noWrap/>
            <w:vAlign w:val="bottom"/>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9278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bCs w:val="0"/>
                <w:color w:val="auto"/>
                <w:kern w:val="0"/>
                <w:sz w:val="18"/>
                <w:szCs w:val="18"/>
              </w:rPr>
            </w:pPr>
            <w:r>
              <w:rPr>
                <w:rFonts w:hint="eastAsia" w:ascii="宋体" w:hAnsi="宋体" w:cs="宋体"/>
                <w:b/>
                <w:bCs w:val="0"/>
                <w:color w:val="auto"/>
                <w:kern w:val="0"/>
                <w:szCs w:val="21"/>
              </w:rPr>
              <w:t>内资企业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897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9165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国有企业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集体企业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股份合作企业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联营企业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有限责任公司</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47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1831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股份有限公司</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9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195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私营企业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838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7026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296"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tc>
        <w:tc>
          <w:tcPr>
            <w:tcW w:w="2297"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3713"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b/>
                <w:bCs w:val="0"/>
                <w:color w:val="auto"/>
                <w:kern w:val="0"/>
                <w:sz w:val="18"/>
                <w:szCs w:val="18"/>
              </w:rPr>
            </w:pPr>
            <w:r>
              <w:rPr>
                <w:rFonts w:hint="eastAsia" w:ascii="宋体" w:hAnsi="宋体" w:cs="宋体"/>
                <w:b/>
                <w:bCs w:val="0"/>
                <w:color w:val="auto"/>
                <w:kern w:val="0"/>
                <w:szCs w:val="21"/>
              </w:rPr>
              <w:t>外商投资企业</w:t>
            </w:r>
          </w:p>
        </w:tc>
        <w:tc>
          <w:tcPr>
            <w:tcW w:w="2296" w:type="dxa"/>
            <w:tcBorders>
              <w:top w:val="nil"/>
              <w:left w:val="single" w:color="auto" w:sz="4" w:space="0"/>
              <w:bottom w:val="single" w:color="auto" w:sz="12" w:space="0"/>
              <w:right w:val="single" w:color="auto" w:sz="4" w:space="0"/>
            </w:tcBorders>
            <w:noWrap/>
            <w:vAlign w:val="bottom"/>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2 </w:t>
            </w:r>
          </w:p>
        </w:tc>
        <w:tc>
          <w:tcPr>
            <w:tcW w:w="2297" w:type="dxa"/>
            <w:tcBorders>
              <w:top w:val="nil"/>
              <w:left w:val="single" w:color="auto" w:sz="4" w:space="0"/>
              <w:bottom w:val="single" w:color="auto" w:sz="12" w:space="0"/>
              <w:right w:val="nil"/>
            </w:tcBorders>
            <w:noWrap/>
            <w:vAlign w:val="bottom"/>
          </w:tcPr>
          <w:p>
            <w:pPr>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 xml:space="preserve">113 </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年末，住宿和餐饮业企业法人单位资产总计</w:t>
      </w:r>
      <w:r>
        <w:rPr>
          <w:rFonts w:hint="default" w:ascii="Times New Roman" w:hAnsi="Times New Roman" w:eastAsia="方正仿宋_GBK" w:cs="Times New Roman"/>
          <w:color w:val="auto"/>
          <w:sz w:val="32"/>
          <w:szCs w:val="32"/>
        </w:rPr>
        <w:t>27.99</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rPr>
        <w:t>7</w:t>
      </w:r>
      <w:r>
        <w:rPr>
          <w:rFonts w:ascii="Times New Roman" w:hAnsi="Times New Roman" w:eastAsia="方正仿宋_GBK" w:cs="Times New Roman"/>
          <w:color w:val="auto"/>
          <w:sz w:val="32"/>
          <w:szCs w:val="32"/>
        </w:rPr>
        <w:t>%</w:t>
      </w:r>
      <w:r>
        <w:rPr>
          <w:rFonts w:hint="eastAsia" w:eastAsia="方正仿宋_GBK"/>
          <w:color w:val="auto"/>
          <w:sz w:val="32"/>
          <w:szCs w:val="32"/>
        </w:rPr>
        <w:t>。其中，住宿业企业法人单位资产总计</w:t>
      </w:r>
      <w:r>
        <w:rPr>
          <w:rFonts w:hint="default" w:ascii="Times New Roman" w:hAnsi="Times New Roman" w:eastAsia="方正仿宋_GBK" w:cs="Times New Roman"/>
          <w:color w:val="auto"/>
          <w:sz w:val="32"/>
          <w:szCs w:val="32"/>
        </w:rPr>
        <w:t>20.73</w:t>
      </w:r>
      <w:r>
        <w:rPr>
          <w:rFonts w:hint="eastAsia" w:eastAsia="方正仿宋_GBK"/>
          <w:color w:val="auto"/>
          <w:sz w:val="32"/>
          <w:szCs w:val="32"/>
        </w:rPr>
        <w:t>亿元，餐饮业企业法人单位资产总计</w:t>
      </w:r>
      <w:r>
        <w:rPr>
          <w:rFonts w:hint="default" w:ascii="Times New Roman" w:hAnsi="Times New Roman" w:eastAsia="方正仿宋_GBK" w:cs="Times New Roman"/>
          <w:color w:val="auto"/>
          <w:sz w:val="32"/>
          <w:szCs w:val="32"/>
        </w:rPr>
        <w:t>7.26</w:t>
      </w:r>
      <w:r>
        <w:rPr>
          <w:rFonts w:hint="eastAsia" w:eastAsia="方正仿宋_GBK"/>
          <w:color w:val="auto"/>
          <w:sz w:val="32"/>
          <w:szCs w:val="32"/>
        </w:rPr>
        <w:t>亿元，分别比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2</w:t>
      </w:r>
      <w:r>
        <w:rPr>
          <w:rFonts w:ascii="Times New Roman" w:hAnsi="Times New Roman" w:eastAsia="方正仿宋_GBK" w:cs="Times New Roman"/>
          <w:color w:val="auto"/>
          <w:sz w:val="32"/>
          <w:szCs w:val="32"/>
        </w:rPr>
        <w:t>%</w:t>
      </w:r>
      <w:r>
        <w:rPr>
          <w:rFonts w:hint="eastAsia" w:eastAsia="方正仿宋_GBK"/>
          <w:color w:val="auto"/>
          <w:sz w:val="32"/>
          <w:szCs w:val="32"/>
        </w:rPr>
        <w:t>和</w:t>
      </w:r>
      <w:r>
        <w:rPr>
          <w:rFonts w:hint="eastAsia" w:ascii="Times New Roman" w:hAnsi="Times New Roman" w:eastAsia="方正仿宋_GBK" w:cs="Times New Roman"/>
          <w:color w:val="auto"/>
          <w:sz w:val="32"/>
          <w:szCs w:val="32"/>
        </w:rPr>
        <w:t>下降</w:t>
      </w:r>
      <w:r>
        <w:rPr>
          <w:rFonts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rPr>
        <w:t>2</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5</w:t>
      </w:r>
      <w:r>
        <w:rPr>
          <w:rFonts w:ascii="Times New Roman" w:hAnsi="Times New Roman" w:eastAsia="方正仿宋_GBK" w:cs="Times New Roman"/>
          <w:color w:val="auto"/>
          <w:sz w:val="32"/>
          <w:szCs w:val="32"/>
        </w:rPr>
        <w:t>%</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19.16</w:t>
      </w:r>
      <w:r>
        <w:rPr>
          <w:rFonts w:hint="eastAsia" w:eastAsia="方正仿宋_GBK"/>
          <w:color w:val="auto"/>
          <w:sz w:val="32"/>
          <w:szCs w:val="32"/>
        </w:rPr>
        <w:t>亿元。全年实现年营业收入</w:t>
      </w:r>
      <w:r>
        <w:rPr>
          <w:rFonts w:hint="default" w:ascii="Times New Roman" w:hAnsi="Times New Roman" w:eastAsia="方正仿宋_GBK" w:cs="Times New Roman"/>
          <w:color w:val="auto"/>
          <w:sz w:val="32"/>
          <w:szCs w:val="32"/>
        </w:rPr>
        <w:t>13.34</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4-8</w:t>
      </w:r>
      <w:r>
        <w:rPr>
          <w:rFonts w:hint="eastAsia" w:eastAsia="方正仿宋_GBK"/>
          <w:color w:val="auto"/>
          <w:sz w:val="32"/>
          <w:szCs w:val="32"/>
        </w:rPr>
        <w:t>）。</w:t>
      </w:r>
    </w:p>
    <w:p>
      <w:pPr>
        <w:snapToGrid w:val="0"/>
        <w:spacing w:line="600" w:lineRule="exact"/>
        <w:jc w:val="center"/>
        <w:rPr>
          <w:rFonts w:eastAsia="仿宋_GB2312"/>
          <w:color w:val="auto"/>
          <w:sz w:val="32"/>
          <w:szCs w:val="32"/>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4-8</w:t>
      </w:r>
      <w:r>
        <w:rPr>
          <w:rFonts w:hint="eastAsia" w:ascii="方正小标宋_GBK" w:hAnsi="宋体" w:eastAsia="方正小标宋_GBK" w:cs="宋体"/>
          <w:bCs/>
          <w:color w:val="auto"/>
          <w:kern w:val="0"/>
          <w:sz w:val="28"/>
          <w:szCs w:val="28"/>
        </w:rPr>
        <w:t>　按行业中类分组的住宿和餐饮业企业法人单位主要经济</w:t>
      </w:r>
      <w:r>
        <w:rPr>
          <w:rFonts w:ascii="方正小标宋_GBK" w:hAnsi="宋体" w:eastAsia="方正小标宋_GBK" w:cs="宋体"/>
          <w:bCs/>
          <w:color w:val="auto"/>
          <w:kern w:val="0"/>
          <w:sz w:val="28"/>
          <w:szCs w:val="28"/>
        </w:rPr>
        <w:t>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3686"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21"/>
                <w:szCs w:val="21"/>
              </w:rPr>
            </w:pPr>
            <w:r>
              <w:rPr>
                <w:rFonts w:hint="eastAsia" w:ascii="宋体" w:hAnsi="宋体" w:cs="宋体"/>
                <w:b/>
                <w:color w:val="auto"/>
                <w:kern w:val="0"/>
                <w:sz w:val="21"/>
                <w:szCs w:val="21"/>
              </w:rPr>
              <w:t>　</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资产</w:t>
            </w:r>
            <w:r>
              <w:rPr>
                <w:rFonts w:ascii="黑体" w:hAnsi="黑体" w:eastAsia="黑体" w:cs="宋体"/>
                <w:color w:val="auto"/>
                <w:kern w:val="0"/>
                <w:sz w:val="21"/>
                <w:szCs w:val="21"/>
              </w:rPr>
              <w:t>总计</w:t>
            </w:r>
          </w:p>
          <w:p>
            <w:pPr>
              <w:widowControl/>
              <w:spacing w:line="240" w:lineRule="atLeast"/>
              <w:ind w:left="57" w:right="57"/>
              <w:jc w:val="center"/>
              <w:rPr>
                <w:rFonts w:ascii="黑体" w:hAnsi="黑体" w:eastAsia="黑体" w:cs="宋体"/>
                <w:color w:val="auto"/>
                <w:kern w:val="0"/>
                <w:sz w:val="21"/>
                <w:szCs w:val="21"/>
              </w:rPr>
            </w:pPr>
            <w:r>
              <w:rPr>
                <w:rFonts w:ascii="黑体" w:hAnsi="黑体" w:eastAsia="黑体" w:cs="宋体"/>
                <w:color w:val="auto"/>
                <w:kern w:val="0"/>
                <w:sz w:val="21"/>
                <w:szCs w:val="21"/>
              </w:rPr>
              <w:t>（</w:t>
            </w:r>
            <w:r>
              <w:rPr>
                <w:rFonts w:hint="eastAsia" w:ascii="黑体" w:hAnsi="黑体" w:eastAsia="黑体" w:cs="宋体"/>
                <w:color w:val="auto"/>
                <w:kern w:val="0"/>
                <w:sz w:val="21"/>
                <w:szCs w:val="21"/>
              </w:rPr>
              <w:t>亿元</w:t>
            </w:r>
            <w:r>
              <w:rPr>
                <w:rFonts w:ascii="黑体" w:hAnsi="黑体" w:eastAsia="黑体" w:cs="宋体"/>
                <w:color w:val="auto"/>
                <w:kern w:val="0"/>
                <w:sz w:val="21"/>
                <w:szCs w:val="21"/>
              </w:rPr>
              <w:t>）</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负债合计</w:t>
            </w:r>
          </w:p>
          <w:p>
            <w:pPr>
              <w:widowControl/>
              <w:spacing w:line="240" w:lineRule="atLeast"/>
              <w:ind w:left="57" w:right="57"/>
              <w:jc w:val="center"/>
              <w:rPr>
                <w:rFonts w:ascii="黑体" w:hAnsi="黑体" w:eastAsia="黑体" w:cs="宋体"/>
                <w:color w:val="auto"/>
                <w:kern w:val="0"/>
                <w:sz w:val="21"/>
                <w:szCs w:val="21"/>
              </w:rPr>
            </w:pPr>
            <w:r>
              <w:rPr>
                <w:rFonts w:ascii="黑体" w:hAnsi="黑体" w:eastAsia="黑体" w:cs="宋体"/>
                <w:color w:val="auto"/>
                <w:kern w:val="0"/>
                <w:sz w:val="21"/>
                <w:szCs w:val="21"/>
              </w:rPr>
              <w:t>（</w:t>
            </w:r>
            <w:r>
              <w:rPr>
                <w:rFonts w:hint="eastAsia" w:ascii="黑体" w:hAnsi="黑体" w:eastAsia="黑体" w:cs="宋体"/>
                <w:color w:val="auto"/>
                <w:kern w:val="0"/>
                <w:sz w:val="21"/>
                <w:szCs w:val="21"/>
              </w:rPr>
              <w:t>亿元</w:t>
            </w:r>
            <w:r>
              <w:rPr>
                <w:rFonts w:ascii="黑体" w:hAnsi="黑体" w:eastAsia="黑体" w:cs="宋体"/>
                <w:color w:val="auto"/>
                <w:kern w:val="0"/>
                <w:sz w:val="21"/>
                <w:szCs w:val="21"/>
              </w:rPr>
              <w:t>）</w:t>
            </w:r>
          </w:p>
        </w:tc>
        <w:tc>
          <w:tcPr>
            <w:tcW w:w="1540"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营业收入</w:t>
            </w:r>
          </w:p>
          <w:p>
            <w:pPr>
              <w:widowControl/>
              <w:spacing w:line="240" w:lineRule="atLeas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21"/>
                <w:szCs w:val="21"/>
              </w:rPr>
            </w:pPr>
            <w:r>
              <w:rPr>
                <w:rFonts w:hint="eastAsia" w:ascii="宋体" w:hAnsi="宋体" w:cs="宋体"/>
                <w:b/>
                <w:bCs/>
                <w:color w:val="auto"/>
                <w:kern w:val="0"/>
                <w:sz w:val="21"/>
                <w:szCs w:val="21"/>
              </w:rPr>
              <w:t>合　计</w:t>
            </w:r>
          </w:p>
        </w:tc>
        <w:tc>
          <w:tcPr>
            <w:tcW w:w="1540" w:type="dxa"/>
            <w:tcBorders>
              <w:top w:val="single" w:color="auto" w:sz="4" w:space="0"/>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27.99 </w:t>
            </w:r>
          </w:p>
        </w:tc>
        <w:tc>
          <w:tcPr>
            <w:tcW w:w="1540" w:type="dxa"/>
            <w:tcBorders>
              <w:top w:val="single" w:color="auto" w:sz="4" w:space="0"/>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19.16 </w:t>
            </w:r>
          </w:p>
        </w:tc>
        <w:tc>
          <w:tcPr>
            <w:tcW w:w="1540" w:type="dxa"/>
            <w:tcBorders>
              <w:top w:val="single" w:color="auto" w:sz="4" w:space="0"/>
              <w:left w:val="single" w:color="auto" w:sz="4" w:space="0"/>
              <w:bottom w:val="nil"/>
              <w:right w:val="nil"/>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13.34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nil"/>
              <w:right w:val="single" w:color="auto" w:sz="4" w:space="0"/>
            </w:tcBorders>
            <w:noWrap/>
            <w:vAlign w:val="center"/>
          </w:tcPr>
          <w:p>
            <w:pPr>
              <w:rPr>
                <w:b/>
                <w:color w:val="auto"/>
                <w:sz w:val="21"/>
                <w:szCs w:val="21"/>
              </w:rPr>
            </w:pPr>
            <w:r>
              <w:rPr>
                <w:rFonts w:hint="eastAsia" w:ascii="宋体" w:hAnsi="宋体" w:cs="宋体"/>
                <w:b/>
                <w:color w:val="auto"/>
                <w:kern w:val="0"/>
                <w:sz w:val="21"/>
                <w:szCs w:val="21"/>
              </w:rPr>
              <w:t>住宿业</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20.73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14.93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5.93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旅游饭店</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11.87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6.78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3.52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一般旅馆</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8.56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8.07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2.18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xml:space="preserve">    民宿</w:t>
            </w:r>
            <w:r>
              <w:rPr>
                <w:rFonts w:ascii="宋体" w:hAnsi="宋体" w:cs="宋体"/>
                <w:color w:val="auto"/>
                <w:kern w:val="0"/>
                <w:sz w:val="21"/>
                <w:szCs w:val="21"/>
              </w:rPr>
              <w:t>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0.17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0.04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xml:space="preserve">    露营地</w:t>
            </w:r>
            <w:r>
              <w:rPr>
                <w:rFonts w:ascii="宋体" w:hAnsi="宋体" w:cs="宋体"/>
                <w:color w:val="auto"/>
                <w:kern w:val="0"/>
                <w:sz w:val="21"/>
                <w:szCs w:val="21"/>
              </w:rPr>
              <w:t>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686" w:type="dxa"/>
            <w:tcBorders>
              <w:top w:val="nil"/>
              <w:left w:val="nil"/>
              <w:bottom w:val="single" w:color="auto" w:sz="4" w:space="0"/>
              <w:right w:val="single" w:color="auto" w:sz="4" w:space="0"/>
            </w:tcBorders>
            <w:noWrap/>
            <w:vAlign w:val="center"/>
          </w:tcPr>
          <w:p>
            <w:pPr>
              <w:rPr>
                <w:color w:val="auto"/>
                <w:sz w:val="21"/>
                <w:szCs w:val="21"/>
              </w:rPr>
            </w:pPr>
            <w:r>
              <w:rPr>
                <w:rFonts w:hint="eastAsia" w:ascii="宋体" w:hAnsi="宋体" w:cs="宋体"/>
                <w:color w:val="auto"/>
                <w:kern w:val="0"/>
                <w:sz w:val="21"/>
                <w:szCs w:val="21"/>
              </w:rPr>
              <w:t>　　其他住宿业</w:t>
            </w:r>
          </w:p>
        </w:tc>
        <w:tc>
          <w:tcPr>
            <w:tcW w:w="1540" w:type="dxa"/>
            <w:tcBorders>
              <w:top w:val="nil"/>
              <w:left w:val="single" w:color="auto" w:sz="4" w:space="0"/>
              <w:bottom w:val="single" w:color="auto" w:sz="4" w:space="0"/>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0.13 </w:t>
            </w:r>
          </w:p>
        </w:tc>
        <w:tc>
          <w:tcPr>
            <w:tcW w:w="1540" w:type="dxa"/>
            <w:tcBorders>
              <w:top w:val="nil"/>
              <w:left w:val="single" w:color="auto" w:sz="4" w:space="0"/>
              <w:bottom w:val="single" w:color="auto" w:sz="4" w:space="0"/>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0.04 </w:t>
            </w:r>
          </w:p>
        </w:tc>
        <w:tc>
          <w:tcPr>
            <w:tcW w:w="1540" w:type="dxa"/>
            <w:tcBorders>
              <w:top w:val="nil"/>
              <w:left w:val="single" w:color="auto" w:sz="4" w:space="0"/>
              <w:bottom w:val="single" w:color="auto" w:sz="4" w:space="0"/>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0.16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single" w:color="auto" w:sz="4" w:space="0"/>
              <w:left w:val="nil"/>
              <w:bottom w:val="nil"/>
              <w:right w:val="single" w:color="auto" w:sz="4" w:space="0"/>
            </w:tcBorders>
            <w:noWrap/>
            <w:vAlign w:val="center"/>
          </w:tcPr>
          <w:p>
            <w:pPr>
              <w:rPr>
                <w:b/>
                <w:color w:val="auto"/>
                <w:sz w:val="21"/>
                <w:szCs w:val="21"/>
              </w:rPr>
            </w:pPr>
            <w:r>
              <w:rPr>
                <w:rFonts w:hint="eastAsia" w:ascii="宋体" w:hAnsi="宋体" w:cs="宋体"/>
                <w:b/>
                <w:color w:val="auto"/>
                <w:kern w:val="0"/>
                <w:sz w:val="21"/>
                <w:szCs w:val="21"/>
              </w:rPr>
              <w:t>餐饮业</w:t>
            </w:r>
          </w:p>
        </w:tc>
        <w:tc>
          <w:tcPr>
            <w:tcW w:w="1540" w:type="dxa"/>
            <w:tcBorders>
              <w:top w:val="single" w:color="auto" w:sz="4" w:space="0"/>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7.26 </w:t>
            </w:r>
          </w:p>
        </w:tc>
        <w:tc>
          <w:tcPr>
            <w:tcW w:w="1540" w:type="dxa"/>
            <w:tcBorders>
              <w:top w:val="single" w:color="auto" w:sz="4" w:space="0"/>
              <w:left w:val="single" w:color="auto" w:sz="4" w:space="0"/>
              <w:bottom w:val="nil"/>
              <w:right w:val="single" w:color="auto" w:sz="4" w:space="0"/>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4.23 </w:t>
            </w:r>
          </w:p>
        </w:tc>
        <w:tc>
          <w:tcPr>
            <w:tcW w:w="1540" w:type="dxa"/>
            <w:tcBorders>
              <w:top w:val="single" w:color="auto" w:sz="4" w:space="0"/>
              <w:left w:val="single" w:color="auto" w:sz="4" w:space="0"/>
              <w:bottom w:val="nil"/>
              <w:right w:val="nil"/>
            </w:tcBorders>
            <w:noWrap/>
            <w:vAlign w:val="bottom"/>
          </w:tcPr>
          <w:p>
            <w:pPr>
              <w:jc w:val="righ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7.41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正餐服务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6.44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3.66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6.64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快餐服务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0.33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0.26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0.45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饮料及冷饮服务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0.08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0.04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nil"/>
              <w:left w:val="nil"/>
              <w:bottom w:val="nil"/>
              <w:right w:val="single" w:color="auto" w:sz="4" w:space="0"/>
            </w:tcBorders>
            <w:noWrap/>
            <w:vAlign w:val="center"/>
          </w:tcPr>
          <w:p>
            <w:pPr>
              <w:rPr>
                <w:color w:val="auto"/>
                <w:sz w:val="21"/>
                <w:szCs w:val="21"/>
              </w:rPr>
            </w:pPr>
            <w:r>
              <w:rPr>
                <w:rFonts w:hint="eastAsia" w:ascii="宋体" w:hAnsi="宋体" w:cs="宋体"/>
                <w:color w:val="auto"/>
                <w:kern w:val="0"/>
                <w:sz w:val="21"/>
                <w:szCs w:val="21"/>
              </w:rPr>
              <w:t xml:space="preserve">    餐饮</w:t>
            </w:r>
            <w:r>
              <w:rPr>
                <w:rFonts w:ascii="宋体" w:hAnsi="宋体" w:cs="宋体"/>
                <w:color w:val="auto"/>
                <w:kern w:val="0"/>
                <w:sz w:val="21"/>
                <w:szCs w:val="21"/>
              </w:rPr>
              <w:t>配送及外卖送餐服务</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0.02 </w:t>
            </w:r>
          </w:p>
        </w:tc>
        <w:tc>
          <w:tcPr>
            <w:tcW w:w="1540" w:type="dxa"/>
            <w:tcBorders>
              <w:top w:val="nil"/>
              <w:left w:val="single" w:color="auto" w:sz="4" w:space="0"/>
              <w:bottom w:val="nil"/>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0.02 </w:t>
            </w:r>
          </w:p>
        </w:tc>
        <w:tc>
          <w:tcPr>
            <w:tcW w:w="1540" w:type="dxa"/>
            <w:tcBorders>
              <w:top w:val="nil"/>
              <w:left w:val="single" w:color="auto" w:sz="4" w:space="0"/>
              <w:bottom w:val="nil"/>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0.01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86" w:type="dxa"/>
            <w:tcBorders>
              <w:top w:val="nil"/>
              <w:left w:val="nil"/>
              <w:bottom w:val="single" w:color="auto" w:sz="12" w:space="0"/>
              <w:right w:val="single" w:color="auto" w:sz="4" w:space="0"/>
            </w:tcBorders>
            <w:noWrap/>
          </w:tcPr>
          <w:p>
            <w:pPr>
              <w:rPr>
                <w:color w:val="auto"/>
                <w:sz w:val="21"/>
                <w:szCs w:val="21"/>
              </w:rPr>
            </w:pPr>
            <w:r>
              <w:rPr>
                <w:rFonts w:hint="eastAsia"/>
                <w:color w:val="auto"/>
                <w:sz w:val="21"/>
                <w:szCs w:val="21"/>
              </w:rPr>
              <w:t xml:space="preserve">　  </w:t>
            </w:r>
            <w:r>
              <w:rPr>
                <w:rFonts w:hint="eastAsia" w:ascii="宋体" w:hAnsi="宋体" w:cs="宋体"/>
                <w:color w:val="auto"/>
                <w:kern w:val="0"/>
                <w:sz w:val="21"/>
                <w:szCs w:val="21"/>
              </w:rPr>
              <w:t>其他餐饮业</w:t>
            </w:r>
          </w:p>
        </w:tc>
        <w:tc>
          <w:tcPr>
            <w:tcW w:w="1540" w:type="dxa"/>
            <w:tcBorders>
              <w:top w:val="nil"/>
              <w:left w:val="single" w:color="auto" w:sz="4" w:space="0"/>
              <w:bottom w:val="single" w:color="auto" w:sz="12" w:space="0"/>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0.40 </w:t>
            </w:r>
          </w:p>
        </w:tc>
        <w:tc>
          <w:tcPr>
            <w:tcW w:w="1540" w:type="dxa"/>
            <w:tcBorders>
              <w:top w:val="nil"/>
              <w:left w:val="single" w:color="auto" w:sz="4" w:space="0"/>
              <w:bottom w:val="single" w:color="auto" w:sz="12" w:space="0"/>
              <w:right w:val="single" w:color="auto" w:sz="4" w:space="0"/>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0.26 </w:t>
            </w:r>
          </w:p>
        </w:tc>
        <w:tc>
          <w:tcPr>
            <w:tcW w:w="1540" w:type="dxa"/>
            <w:tcBorders>
              <w:top w:val="nil"/>
              <w:left w:val="single" w:color="auto" w:sz="4" w:space="0"/>
              <w:bottom w:val="single" w:color="auto" w:sz="12" w:space="0"/>
              <w:right w:val="nil"/>
            </w:tcBorders>
            <w:noWrap/>
            <w:vAlign w:val="bottom"/>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0.22 </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四、信息传输、软件和信息技术服务业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年末，全区共有信息传输、软件和信息技术服务业企业法人单位</w:t>
      </w:r>
      <w:r>
        <w:rPr>
          <w:rFonts w:hint="default" w:ascii="Times New Roman" w:hAnsi="Times New Roman" w:eastAsia="方正仿宋_GBK" w:cs="Times New Roman"/>
          <w:color w:val="auto"/>
          <w:sz w:val="32"/>
          <w:szCs w:val="32"/>
        </w:rPr>
        <w:t>2180</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1.88</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352.3%</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361.9%</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4-9</w:t>
      </w:r>
      <w:r>
        <w:rPr>
          <w:rFonts w:hint="eastAsia" w:eastAsia="方正仿宋_GBK"/>
          <w:color w:val="auto"/>
          <w:sz w:val="32"/>
          <w:szCs w:val="32"/>
        </w:rPr>
        <w:t>）。</w:t>
      </w:r>
    </w:p>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4-9</w:t>
      </w:r>
      <w:r>
        <w:rPr>
          <w:rFonts w:hint="eastAsia" w:ascii="方正小标宋_GBK" w:hAnsi="宋体" w:eastAsia="方正小标宋_GBK" w:cs="宋体"/>
          <w:bCs/>
          <w:color w:val="auto"/>
          <w:kern w:val="0"/>
          <w:sz w:val="28"/>
          <w:szCs w:val="28"/>
        </w:rPr>
        <w:t>　按行业大类分组的信息传输、软件和信息技术服务业</w:t>
      </w:r>
    </w:p>
    <w:p>
      <w:pPr>
        <w:keepNext w:val="0"/>
        <w:keepLines w:val="0"/>
        <w:pageBreakBefore w:val="0"/>
        <w:widowControl/>
        <w:kinsoku/>
        <w:wordWrap/>
        <w:overflowPunct/>
        <w:topLinePunct w:val="0"/>
        <w:autoSpaceDE/>
        <w:autoSpaceDN/>
        <w:bidi w:val="0"/>
        <w:adjustRightInd/>
        <w:spacing w:line="440" w:lineRule="exact"/>
        <w:ind w:firstLine="560" w:firstLineChars="200"/>
        <w:jc w:val="center"/>
        <w:textAlignment w:val="auto"/>
        <w:rPr>
          <w:rFonts w:ascii="仿宋_GB2312" w:hAnsi="宋体" w:eastAsia="仿宋_GB2312" w:cs="宋体"/>
          <w:color w:val="auto"/>
          <w:kern w:val="0"/>
          <w:sz w:val="28"/>
          <w:szCs w:val="28"/>
        </w:rPr>
      </w:pPr>
      <w:r>
        <w:rPr>
          <w:rFonts w:hint="eastAsia" w:ascii="方正小标宋_GBK" w:hAnsi="宋体" w:eastAsia="方正小标宋_GBK" w:cs="宋体"/>
          <w:bCs/>
          <w:color w:val="auto"/>
          <w:kern w:val="0"/>
          <w:sz w:val="28"/>
          <w:szCs w:val="28"/>
        </w:rPr>
        <w:t>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7" w:hRule="atLeast"/>
          <w:jc w:val="center"/>
        </w:trPr>
        <w:tc>
          <w:tcPr>
            <w:tcW w:w="3713"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　</w:t>
            </w:r>
          </w:p>
        </w:tc>
        <w:tc>
          <w:tcPr>
            <w:tcW w:w="2661"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1932"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713"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2661"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2180</w:t>
            </w:r>
          </w:p>
        </w:tc>
        <w:tc>
          <w:tcPr>
            <w:tcW w:w="1932"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18750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713"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电信、广播电视和卫星传输服务</w:t>
            </w:r>
          </w:p>
        </w:tc>
        <w:tc>
          <w:tcPr>
            <w:tcW w:w="2661"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30</w:t>
            </w:r>
          </w:p>
        </w:tc>
        <w:tc>
          <w:tcPr>
            <w:tcW w:w="1932"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713"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互联网和相关服务</w:t>
            </w:r>
          </w:p>
        </w:tc>
        <w:tc>
          <w:tcPr>
            <w:tcW w:w="2661"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238</w:t>
            </w:r>
          </w:p>
        </w:tc>
        <w:tc>
          <w:tcPr>
            <w:tcW w:w="1932"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6224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713" w:type="dxa"/>
            <w:tcBorders>
              <w:top w:val="nil"/>
              <w:left w:val="nil"/>
              <w:bottom w:val="single" w:color="auto" w:sz="12" w:space="0"/>
              <w:right w:val="single" w:color="auto" w:sz="4" w:space="0"/>
            </w:tcBorders>
            <w:noWrap/>
            <w:vAlign w:val="center"/>
          </w:tcPr>
          <w:p>
            <w:pPr>
              <w:widowControl/>
              <w:spacing w:line="240" w:lineRule="atLeast"/>
              <w:ind w:right="57" w:firstLine="210" w:firstLineChars="100"/>
              <w:rPr>
                <w:rFonts w:ascii="宋体" w:hAnsi="宋体" w:cs="宋体"/>
                <w:color w:val="auto"/>
                <w:kern w:val="0"/>
                <w:sz w:val="18"/>
                <w:szCs w:val="18"/>
              </w:rPr>
            </w:pPr>
            <w:r>
              <w:rPr>
                <w:rFonts w:hint="eastAsia" w:ascii="宋体" w:hAnsi="宋体" w:cs="宋体"/>
                <w:color w:val="auto"/>
                <w:kern w:val="0"/>
                <w:szCs w:val="21"/>
              </w:rPr>
              <w:t>软件和信息技术服务业</w:t>
            </w:r>
          </w:p>
        </w:tc>
        <w:tc>
          <w:tcPr>
            <w:tcW w:w="2661"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1912</w:t>
            </w:r>
          </w:p>
        </w:tc>
        <w:tc>
          <w:tcPr>
            <w:tcW w:w="1932"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12350</w:t>
            </w:r>
          </w:p>
        </w:tc>
      </w:tr>
    </w:tbl>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在信息传输、软件和信息技术服务业企业法人单位中，内资企业占99.95%，外商投资企业占0.05%。</w:t>
      </w:r>
    </w:p>
    <w:p>
      <w:pPr>
        <w:snapToGrid w:val="0"/>
        <w:spacing w:line="600" w:lineRule="exact"/>
        <w:ind w:firstLine="640" w:firstLineChars="200"/>
        <w:rPr>
          <w:rFonts w:hint="eastAsia" w:eastAsia="方正仿宋_GBK"/>
          <w:color w:val="auto"/>
          <w:sz w:val="32"/>
          <w:szCs w:val="32"/>
        </w:rPr>
      </w:pPr>
      <w:r>
        <w:rPr>
          <w:rFonts w:hint="eastAsia" w:eastAsia="方正仿宋_GBK"/>
          <w:color w:val="auto"/>
          <w:sz w:val="32"/>
          <w:szCs w:val="32"/>
        </w:rPr>
        <w:t>在信息传输、软件和信息技术服务业企业法人单位从业人员中，内资企业占100.0%（详见表</w:t>
      </w:r>
      <w:r>
        <w:rPr>
          <w:rFonts w:eastAsia="方正仿宋_GBK"/>
          <w:color w:val="auto"/>
          <w:sz w:val="32"/>
          <w:szCs w:val="32"/>
        </w:rPr>
        <w:t>4</w:t>
      </w:r>
      <w:r>
        <w:rPr>
          <w:rFonts w:hint="eastAsia" w:eastAsia="方正仿宋_GBK"/>
          <w:color w:val="auto"/>
          <w:sz w:val="32"/>
          <w:szCs w:val="32"/>
        </w:rPr>
        <w:t>-</w:t>
      </w:r>
      <w:r>
        <w:rPr>
          <w:rFonts w:eastAsia="方正仿宋_GBK"/>
          <w:color w:val="auto"/>
          <w:sz w:val="32"/>
          <w:szCs w:val="32"/>
        </w:rPr>
        <w:t>10</w:t>
      </w:r>
      <w:r>
        <w:rPr>
          <w:rFonts w:hint="eastAsia" w:eastAsia="方正仿宋_GBK"/>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方正小标宋_GBK" w:hAnsi="宋体" w:eastAsia="方正小标宋_GBK" w:cs="宋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方正小标宋_GBK" w:hAnsi="宋体" w:eastAsia="方正小标宋_GBK" w:cs="宋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方正小标宋_GBK" w:hAnsi="宋体" w:eastAsia="方正小标宋_GBK" w:cs="宋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4-10</w:t>
      </w:r>
      <w:r>
        <w:rPr>
          <w:rFonts w:hint="eastAsia" w:ascii="方正小标宋_GBK" w:hAnsi="宋体" w:eastAsia="方正小标宋_GBK" w:cs="宋体"/>
          <w:bCs/>
          <w:color w:val="auto"/>
          <w:kern w:val="0"/>
          <w:sz w:val="28"/>
          <w:szCs w:val="28"/>
        </w:rPr>
        <w:t>　按登记注册类型分组的信息传输、软件和信息技术服务业</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eastAsia="仿宋_GB2312"/>
          <w:color w:val="auto"/>
          <w:sz w:val="28"/>
          <w:szCs w:val="28"/>
        </w:rPr>
      </w:pPr>
      <w:r>
        <w:rPr>
          <w:rFonts w:hint="eastAsia" w:ascii="方正小标宋_GBK" w:hAnsi="宋体" w:eastAsia="方正小标宋_GBK" w:cs="宋体"/>
          <w:bCs/>
          <w:color w:val="auto"/>
          <w:kern w:val="0"/>
          <w:sz w:val="28"/>
          <w:szCs w:val="28"/>
        </w:rPr>
        <w:t>企业法人单位和从业人员</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713"/>
        <w:gridCol w:w="2659"/>
        <w:gridCol w:w="19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3" w:type="dxa"/>
            <w:tcBorders>
              <w:top w:val="single" w:color="auto" w:sz="12" w:space="0"/>
              <w:left w:val="nil"/>
              <w:bottom w:val="single" w:color="auto" w:sz="4" w:space="0"/>
              <w:right w:val="single" w:color="auto" w:sz="4" w:space="0"/>
            </w:tcBorders>
            <w:noWrap/>
            <w:vAlign w:val="center"/>
          </w:tcPr>
          <w:p>
            <w:pPr>
              <w:widowControl/>
              <w:jc w:val="left"/>
              <w:rPr>
                <w:rFonts w:ascii="宋体" w:hAnsi="宋体" w:cs="宋体"/>
                <w:b/>
                <w:color w:val="auto"/>
                <w:kern w:val="0"/>
                <w:sz w:val="24"/>
              </w:rPr>
            </w:pPr>
          </w:p>
        </w:tc>
        <w:tc>
          <w:tcPr>
            <w:tcW w:w="2659"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个</w:t>
            </w:r>
            <w:r>
              <w:rPr>
                <w:rFonts w:ascii="黑体" w:hAnsi="黑体" w:eastAsia="黑体" w:cs="宋体"/>
                <w:color w:val="auto"/>
                <w:kern w:val="0"/>
                <w:szCs w:val="21"/>
              </w:rPr>
              <w:t>)</w:t>
            </w:r>
          </w:p>
        </w:tc>
        <w:tc>
          <w:tcPr>
            <w:tcW w:w="1934"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人</w:t>
            </w:r>
            <w:r>
              <w:rPr>
                <w:rFonts w:ascii="黑体" w:hAnsi="黑体" w:eastAsia="黑体" w:cs="宋体"/>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single" w:color="auto" w:sz="4" w:space="0"/>
              <w:left w:val="nil"/>
              <w:bottom w:val="nil"/>
              <w:right w:val="single" w:color="auto" w:sz="4" w:space="0"/>
            </w:tcBorders>
            <w:noWrap/>
            <w:vAlign w:val="center"/>
          </w:tcPr>
          <w:p>
            <w:pPr>
              <w:widowControl/>
              <w:jc w:val="center"/>
              <w:rPr>
                <w:b/>
                <w:color w:val="auto"/>
                <w:kern w:val="0"/>
                <w:sz w:val="21"/>
                <w:szCs w:val="21"/>
              </w:rPr>
            </w:pPr>
            <w:r>
              <w:rPr>
                <w:rFonts w:hint="eastAsia"/>
                <w:b/>
                <w:color w:val="auto"/>
                <w:sz w:val="21"/>
                <w:szCs w:val="21"/>
              </w:rPr>
              <w:t>合　计</w:t>
            </w:r>
          </w:p>
        </w:tc>
        <w:tc>
          <w:tcPr>
            <w:tcW w:w="2659"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2180</w:t>
            </w:r>
          </w:p>
        </w:tc>
        <w:tc>
          <w:tcPr>
            <w:tcW w:w="1934"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18750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58" w:hRule="atLeast"/>
          <w:jc w:val="center"/>
        </w:trPr>
        <w:tc>
          <w:tcPr>
            <w:tcW w:w="3713" w:type="dxa"/>
            <w:tcBorders>
              <w:top w:val="nil"/>
              <w:left w:val="nil"/>
              <w:bottom w:val="nil"/>
              <w:right w:val="single" w:color="auto" w:sz="4" w:space="0"/>
            </w:tcBorders>
            <w:noWrap/>
            <w:vAlign w:val="center"/>
          </w:tcPr>
          <w:p>
            <w:pPr>
              <w:rPr>
                <w:b/>
                <w:color w:val="auto"/>
                <w:sz w:val="21"/>
                <w:szCs w:val="21"/>
              </w:rPr>
            </w:pPr>
            <w:r>
              <w:rPr>
                <w:rFonts w:hint="eastAsia"/>
                <w:b/>
                <w:color w:val="auto"/>
                <w:sz w:val="21"/>
                <w:szCs w:val="21"/>
              </w:rPr>
              <w:t>内资企业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2179</w:t>
            </w: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18750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国有企业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集体企业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股份合作企业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有限责任公司</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93</w:t>
            </w: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3744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股份有限公司</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ind w:firstLine="420" w:firstLineChars="200"/>
              <w:rPr>
                <w:color w:val="auto"/>
                <w:sz w:val="21"/>
                <w:szCs w:val="21"/>
              </w:rPr>
            </w:pPr>
            <w:r>
              <w:rPr>
                <w:rFonts w:hint="eastAsia"/>
                <w:color w:val="auto"/>
                <w:sz w:val="21"/>
                <w:szCs w:val="21"/>
              </w:rPr>
              <w:t>私营企业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2076</w:t>
            </w: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Cs w:val="21"/>
              </w:rPr>
            </w:pPr>
            <w:r>
              <w:rPr>
                <w:rFonts w:hint="default" w:ascii="Times New Roman" w:hAnsi="Times New Roman" w:cs="Times New Roman"/>
                <w:color w:val="auto"/>
                <w:szCs w:val="21"/>
              </w:rPr>
              <w:t>14721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nil"/>
              <w:right w:val="single" w:color="auto" w:sz="4" w:space="0"/>
            </w:tcBorders>
            <w:noWrap/>
            <w:vAlign w:val="center"/>
          </w:tcPr>
          <w:p>
            <w:pPr>
              <w:widowControl/>
              <w:rPr>
                <w:b/>
                <w:color w:val="auto"/>
                <w:kern w:val="0"/>
                <w:sz w:val="21"/>
                <w:szCs w:val="21"/>
              </w:rPr>
            </w:pPr>
            <w:r>
              <w:rPr>
                <w:rFonts w:hint="eastAsia"/>
                <w:b/>
                <w:color w:val="auto"/>
                <w:sz w:val="21"/>
                <w:szCs w:val="21"/>
              </w:rPr>
              <w:t>港、澳、台商投资企业</w:t>
            </w:r>
          </w:p>
        </w:tc>
        <w:tc>
          <w:tcPr>
            <w:tcW w:w="2659"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color w:val="auto"/>
                <w:szCs w:val="21"/>
              </w:rPr>
            </w:pPr>
          </w:p>
        </w:tc>
        <w:tc>
          <w:tcPr>
            <w:tcW w:w="1934" w:type="dxa"/>
            <w:tcBorders>
              <w:top w:val="nil"/>
              <w:left w:val="single" w:color="auto" w:sz="4" w:space="0"/>
              <w:bottom w:val="nil"/>
              <w:right w:val="nil"/>
            </w:tcBorders>
            <w:noWrap/>
            <w:vAlign w:val="center"/>
          </w:tcPr>
          <w:p>
            <w:pPr>
              <w:jc w:val="right"/>
              <w:rPr>
                <w:rFonts w:hint="default" w:ascii="Times New Roman" w:hAnsi="Times New Roman" w:cs="Times New Roman"/>
                <w:b/>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3713" w:type="dxa"/>
            <w:tcBorders>
              <w:top w:val="nil"/>
              <w:left w:val="nil"/>
              <w:bottom w:val="single" w:color="auto" w:sz="12" w:space="0"/>
              <w:right w:val="single" w:color="auto" w:sz="4" w:space="0"/>
            </w:tcBorders>
            <w:noWrap/>
            <w:vAlign w:val="center"/>
          </w:tcPr>
          <w:p>
            <w:pPr>
              <w:rPr>
                <w:b/>
                <w:color w:val="auto"/>
                <w:sz w:val="21"/>
                <w:szCs w:val="21"/>
              </w:rPr>
            </w:pPr>
            <w:r>
              <w:rPr>
                <w:rFonts w:hint="eastAsia"/>
                <w:b/>
                <w:color w:val="auto"/>
                <w:sz w:val="21"/>
                <w:szCs w:val="21"/>
              </w:rPr>
              <w:t>外商投资企业</w:t>
            </w:r>
          </w:p>
        </w:tc>
        <w:tc>
          <w:tcPr>
            <w:tcW w:w="2659"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1934"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b/>
                <w:color w:val="auto"/>
                <w:szCs w:val="21"/>
              </w:rPr>
            </w:pP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年末，信息传输、软件和信息技术服务业企业法人单位资产总计</w:t>
      </w: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rPr>
        <w:t>73.17</w:t>
      </w:r>
      <w:r>
        <w:rPr>
          <w:rFonts w:hint="eastAsia" w:eastAsia="方正仿宋_GBK"/>
          <w:color w:val="auto"/>
          <w:sz w:val="32"/>
          <w:szCs w:val="32"/>
        </w:rPr>
        <w:t>亿元，比</w:t>
      </w:r>
      <w:r>
        <w:rPr>
          <w:rFonts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eastAsia" w:ascii="Times New Roman" w:hAnsi="Times New Roman" w:eastAsia="方正仿宋_GBK" w:cs="Times New Roman"/>
          <w:color w:val="auto"/>
          <w:sz w:val="32"/>
          <w:szCs w:val="32"/>
        </w:rPr>
        <w:t>728.6</w:t>
      </w:r>
      <w:r>
        <w:rPr>
          <w:rFonts w:ascii="Times New Roman" w:hAnsi="Times New Roman" w:eastAsia="方正仿宋_GBK" w:cs="Times New Roman"/>
          <w:color w:val="auto"/>
          <w:sz w:val="32"/>
          <w:szCs w:val="32"/>
        </w:rPr>
        <w:t>%</w:t>
      </w:r>
      <w:r>
        <w:rPr>
          <w:rFonts w:hint="eastAsia" w:eastAsia="方正仿宋_GBK"/>
          <w:color w:val="auto"/>
          <w:sz w:val="32"/>
          <w:szCs w:val="32"/>
        </w:rPr>
        <w:t>。负债合计</w:t>
      </w:r>
      <w:r>
        <w:rPr>
          <w:rFonts w:hint="eastAsia" w:ascii="Times New Roman" w:hAnsi="Times New Roman" w:eastAsia="方正仿宋_GBK" w:cs="Times New Roman"/>
          <w:color w:val="auto"/>
          <w:sz w:val="32"/>
          <w:szCs w:val="32"/>
        </w:rPr>
        <w:t>96.6</w:t>
      </w:r>
      <w:r>
        <w:rPr>
          <w:rFonts w:hint="eastAsia" w:eastAsia="方正仿宋_GBK"/>
          <w:color w:val="auto"/>
          <w:sz w:val="32"/>
          <w:szCs w:val="32"/>
        </w:rPr>
        <w:t>亿元。全年实现营业收入</w:t>
      </w:r>
      <w:r>
        <w:rPr>
          <w:rFonts w:hint="eastAsia" w:ascii="Times New Roman" w:hAnsi="Times New Roman" w:eastAsia="方正仿宋_GBK" w:cs="Times New Roman"/>
          <w:color w:val="auto"/>
          <w:sz w:val="32"/>
          <w:szCs w:val="32"/>
        </w:rPr>
        <w:t>121.6</w:t>
      </w:r>
      <w:r>
        <w:rPr>
          <w:rFonts w:hint="eastAsia" w:eastAsia="方正仿宋_GBK"/>
          <w:color w:val="auto"/>
          <w:sz w:val="32"/>
          <w:szCs w:val="32"/>
        </w:rPr>
        <w:t>亿元（详见表</w:t>
      </w:r>
      <w:r>
        <w:rPr>
          <w:rFonts w:ascii="Times New Roman" w:hAnsi="Times New Roman" w:eastAsia="方正仿宋_GBK" w:cs="Times New Roman"/>
          <w:color w:val="auto"/>
          <w:sz w:val="32"/>
          <w:szCs w:val="32"/>
        </w:rPr>
        <w:t>4-11</w:t>
      </w:r>
      <w:r>
        <w:rPr>
          <w:rFonts w:hint="eastAsia" w:eastAsia="方正仿宋_GBK"/>
          <w:color w:val="auto"/>
          <w:sz w:val="32"/>
          <w:szCs w:val="32"/>
        </w:rPr>
        <w:t>）。</w:t>
      </w:r>
    </w:p>
    <w:p>
      <w:pPr>
        <w:snapToGrid w:val="0"/>
        <w:spacing w:line="400" w:lineRule="exact"/>
        <w:jc w:val="center"/>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4-11</w:t>
      </w:r>
      <w:r>
        <w:rPr>
          <w:rFonts w:hint="eastAsia" w:ascii="方正小标宋_GBK" w:hAnsi="宋体" w:eastAsia="方正小标宋_GBK" w:cs="宋体"/>
          <w:bCs/>
          <w:color w:val="auto"/>
          <w:kern w:val="0"/>
          <w:sz w:val="28"/>
          <w:szCs w:val="28"/>
        </w:rPr>
        <w:t>　按行业大类分组的信息传输、软件和信息技术服务业</w:t>
      </w:r>
    </w:p>
    <w:p>
      <w:pPr>
        <w:snapToGrid w:val="0"/>
        <w:spacing w:line="400" w:lineRule="exact"/>
        <w:jc w:val="center"/>
        <w:rPr>
          <w:rFonts w:eastAsia="仿宋_GB2312"/>
          <w:color w:val="auto"/>
          <w:sz w:val="28"/>
          <w:szCs w:val="28"/>
        </w:rPr>
      </w:pPr>
      <w:r>
        <w:rPr>
          <w:rFonts w:hint="eastAsia" w:ascii="方正小标宋_GBK" w:hAnsi="宋体" w:eastAsia="方正小标宋_GBK" w:cs="宋体"/>
          <w:bCs/>
          <w:color w:val="auto"/>
          <w:kern w:val="0"/>
          <w:sz w:val="28"/>
          <w:szCs w:val="28"/>
        </w:rPr>
        <w:t>企业法人单位主要经济</w:t>
      </w:r>
      <w:r>
        <w:rPr>
          <w:rFonts w:ascii="方正小标宋_GBK" w:hAnsi="宋体" w:eastAsia="方正小标宋_GBK" w:cs="宋体"/>
          <w:bCs/>
          <w:color w:val="auto"/>
          <w:kern w:val="0"/>
          <w:sz w:val="28"/>
          <w:szCs w:val="28"/>
        </w:rPr>
        <w:t>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
        <w:gridCol w:w="3694"/>
        <w:gridCol w:w="1548"/>
        <w:gridCol w:w="1548"/>
        <w:gridCol w:w="15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01" w:type="dxa"/>
            <w:gridSpan w:val="2"/>
            <w:tcBorders>
              <w:top w:val="single" w:color="auto" w:sz="12" w:space="0"/>
              <w:left w:val="nil"/>
              <w:bottom w:val="single" w:color="auto" w:sz="4" w:space="0"/>
              <w:right w:val="single" w:color="auto" w:sz="4" w:space="0"/>
            </w:tcBorders>
            <w:noWrap/>
            <w:vAlign w:val="center"/>
          </w:tcPr>
          <w:p>
            <w:pPr>
              <w:widowControl/>
              <w:spacing w:line="320" w:lineRule="exac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1548"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8"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8"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3701" w:type="dxa"/>
            <w:gridSpan w:val="2"/>
            <w:tcBorders>
              <w:top w:val="single" w:color="auto" w:sz="4" w:space="0"/>
              <w:left w:val="nil"/>
              <w:bottom w:val="nil"/>
              <w:right w:val="single" w:color="auto" w:sz="4" w:space="0"/>
            </w:tcBorders>
            <w:noWrap/>
            <w:vAlign w:val="center"/>
          </w:tcPr>
          <w:p>
            <w:pPr>
              <w:widowControl/>
              <w:spacing w:line="320" w:lineRule="exac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1548" w:type="dxa"/>
            <w:tcBorders>
              <w:top w:val="single" w:color="auto" w:sz="4" w:space="0"/>
              <w:left w:val="single" w:color="auto" w:sz="4" w:space="0"/>
              <w:bottom w:val="nil"/>
              <w:right w:val="single" w:color="auto" w:sz="4" w:space="0"/>
            </w:tcBorders>
            <w:noWrap/>
            <w:vAlign w:val="center"/>
          </w:tcPr>
          <w:p>
            <w:pPr>
              <w:jc w:val="right"/>
              <w:rPr>
                <w:rFonts w:ascii="Times New Roman" w:hAnsi="Times New Roman" w:cs="Times New Roman"/>
                <w:b/>
                <w:color w:val="auto"/>
                <w:szCs w:val="21"/>
              </w:rPr>
            </w:pPr>
            <w:r>
              <w:rPr>
                <w:rFonts w:hint="eastAsia" w:ascii="Times New Roman" w:hAnsi="Times New Roman" w:cs="Times New Roman"/>
                <w:b/>
                <w:color w:val="auto"/>
                <w:szCs w:val="21"/>
              </w:rPr>
              <w:t xml:space="preserve">173.17 </w:t>
            </w:r>
          </w:p>
        </w:tc>
        <w:tc>
          <w:tcPr>
            <w:tcW w:w="1548" w:type="dxa"/>
            <w:tcBorders>
              <w:top w:val="single" w:color="auto" w:sz="4" w:space="0"/>
              <w:left w:val="single" w:color="auto" w:sz="4" w:space="0"/>
              <w:bottom w:val="nil"/>
              <w:right w:val="single" w:color="auto" w:sz="4" w:space="0"/>
            </w:tcBorders>
            <w:noWrap/>
            <w:vAlign w:val="center"/>
          </w:tcPr>
          <w:p>
            <w:pPr>
              <w:jc w:val="right"/>
              <w:rPr>
                <w:rFonts w:ascii="Times New Roman" w:hAnsi="Times New Roman" w:cs="Times New Roman"/>
                <w:b/>
                <w:color w:val="auto"/>
                <w:szCs w:val="21"/>
              </w:rPr>
            </w:pPr>
            <w:r>
              <w:rPr>
                <w:rFonts w:hint="eastAsia" w:ascii="Times New Roman" w:hAnsi="Times New Roman" w:cs="Times New Roman"/>
                <w:b/>
                <w:color w:val="auto"/>
                <w:szCs w:val="21"/>
              </w:rPr>
              <w:t xml:space="preserve">96.60 </w:t>
            </w:r>
          </w:p>
        </w:tc>
        <w:tc>
          <w:tcPr>
            <w:tcW w:w="1548" w:type="dxa"/>
            <w:tcBorders>
              <w:top w:val="single" w:color="auto" w:sz="4" w:space="0"/>
              <w:left w:val="single" w:color="auto" w:sz="4" w:space="0"/>
              <w:bottom w:val="nil"/>
              <w:right w:val="nil"/>
            </w:tcBorders>
            <w:noWrap/>
            <w:vAlign w:val="center"/>
          </w:tcPr>
          <w:p>
            <w:pPr>
              <w:jc w:val="right"/>
              <w:rPr>
                <w:rFonts w:ascii="Times New Roman" w:hAnsi="Times New Roman" w:cs="Times New Roman"/>
                <w:b/>
                <w:color w:val="auto"/>
                <w:szCs w:val="21"/>
              </w:rPr>
            </w:pPr>
            <w:r>
              <w:rPr>
                <w:rFonts w:hint="eastAsia" w:ascii="Times New Roman" w:hAnsi="Times New Roman" w:cs="Times New Roman"/>
                <w:b/>
                <w:color w:val="auto"/>
                <w:szCs w:val="21"/>
              </w:rPr>
              <w:t xml:space="preserve">121.60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97" w:hRule="atLeast"/>
          <w:jc w:val="center"/>
        </w:trPr>
        <w:tc>
          <w:tcPr>
            <w:tcW w:w="3694" w:type="dxa"/>
            <w:tcBorders>
              <w:top w:val="nil"/>
              <w:left w:val="nil"/>
              <w:bottom w:val="nil"/>
              <w:right w:val="single" w:color="auto" w:sz="4" w:space="0"/>
            </w:tcBorders>
            <w:noWrap/>
            <w:vAlign w:val="center"/>
          </w:tcPr>
          <w:p>
            <w:pPr>
              <w:spacing w:line="320" w:lineRule="exact"/>
              <w:rPr>
                <w:color w:val="auto"/>
              </w:rPr>
            </w:pPr>
            <w:r>
              <w:rPr>
                <w:rFonts w:hint="eastAsia" w:ascii="宋体" w:hAnsi="宋体" w:cs="宋体"/>
                <w:color w:val="auto"/>
                <w:kern w:val="0"/>
                <w:szCs w:val="21"/>
              </w:rPr>
              <w:t>　电信、广播电视和卫星传输服务</w:t>
            </w:r>
          </w:p>
        </w:tc>
        <w:tc>
          <w:tcPr>
            <w:tcW w:w="1548" w:type="dxa"/>
            <w:tcBorders>
              <w:top w:val="nil"/>
              <w:left w:val="single" w:color="auto" w:sz="4" w:space="0"/>
              <w:bottom w:val="nil"/>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 xml:space="preserve">32.81 </w:t>
            </w:r>
          </w:p>
        </w:tc>
        <w:tc>
          <w:tcPr>
            <w:tcW w:w="1548" w:type="dxa"/>
            <w:tcBorders>
              <w:top w:val="nil"/>
              <w:left w:val="single" w:color="auto" w:sz="4" w:space="0"/>
              <w:bottom w:val="nil"/>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 xml:space="preserve">17.08 </w:t>
            </w:r>
          </w:p>
        </w:tc>
        <w:tc>
          <w:tcPr>
            <w:tcW w:w="1548" w:type="dxa"/>
            <w:tcBorders>
              <w:top w:val="nil"/>
              <w:left w:val="single" w:color="auto" w:sz="4" w:space="0"/>
              <w:bottom w:val="nil"/>
              <w:right w:val="nil"/>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 xml:space="preserve">16.27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97" w:hRule="atLeast"/>
          <w:jc w:val="center"/>
        </w:trPr>
        <w:tc>
          <w:tcPr>
            <w:tcW w:w="3694" w:type="dxa"/>
            <w:tcBorders>
              <w:top w:val="nil"/>
              <w:left w:val="nil"/>
              <w:bottom w:val="nil"/>
              <w:right w:val="single" w:color="auto" w:sz="4" w:space="0"/>
            </w:tcBorders>
            <w:noWrap/>
            <w:vAlign w:val="center"/>
          </w:tcPr>
          <w:p>
            <w:pPr>
              <w:spacing w:line="320" w:lineRule="exact"/>
              <w:rPr>
                <w:color w:val="auto"/>
              </w:rPr>
            </w:pPr>
            <w:r>
              <w:rPr>
                <w:rFonts w:hint="eastAsia" w:ascii="宋体" w:hAnsi="宋体" w:cs="宋体"/>
                <w:color w:val="auto"/>
                <w:kern w:val="0"/>
                <w:szCs w:val="21"/>
              </w:rPr>
              <w:t>　互联网和相关服务</w:t>
            </w:r>
          </w:p>
        </w:tc>
        <w:tc>
          <w:tcPr>
            <w:tcW w:w="1548" w:type="dxa"/>
            <w:tcBorders>
              <w:top w:val="nil"/>
              <w:left w:val="single" w:color="auto" w:sz="4" w:space="0"/>
              <w:bottom w:val="nil"/>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18.21</w:t>
            </w:r>
          </w:p>
        </w:tc>
        <w:tc>
          <w:tcPr>
            <w:tcW w:w="1548" w:type="dxa"/>
            <w:tcBorders>
              <w:top w:val="nil"/>
              <w:left w:val="single" w:color="auto" w:sz="4" w:space="0"/>
              <w:bottom w:val="nil"/>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6.13</w:t>
            </w:r>
          </w:p>
        </w:tc>
        <w:tc>
          <w:tcPr>
            <w:tcW w:w="1548" w:type="dxa"/>
            <w:tcBorders>
              <w:top w:val="nil"/>
              <w:left w:val="single" w:color="auto" w:sz="4" w:space="0"/>
              <w:bottom w:val="nil"/>
              <w:right w:val="nil"/>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11.94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97" w:hRule="atLeast"/>
          <w:jc w:val="center"/>
        </w:trPr>
        <w:tc>
          <w:tcPr>
            <w:tcW w:w="3694" w:type="dxa"/>
            <w:tcBorders>
              <w:top w:val="nil"/>
              <w:left w:val="nil"/>
              <w:bottom w:val="single" w:color="auto" w:sz="12" w:space="0"/>
              <w:right w:val="single" w:color="auto" w:sz="4" w:space="0"/>
            </w:tcBorders>
            <w:noWrap/>
          </w:tcPr>
          <w:p>
            <w:pPr>
              <w:spacing w:line="320" w:lineRule="exact"/>
              <w:rPr>
                <w:color w:val="auto"/>
              </w:rPr>
            </w:pPr>
            <w:r>
              <w:rPr>
                <w:rFonts w:hint="eastAsia"/>
                <w:color w:val="auto"/>
              </w:rPr>
              <w:t>　</w:t>
            </w:r>
            <w:r>
              <w:rPr>
                <w:rFonts w:hint="eastAsia" w:ascii="宋体" w:hAnsi="宋体" w:cs="宋体"/>
                <w:color w:val="auto"/>
                <w:kern w:val="0"/>
                <w:szCs w:val="21"/>
              </w:rPr>
              <w:t>软件和信息技术服务业</w:t>
            </w:r>
          </w:p>
        </w:tc>
        <w:tc>
          <w:tcPr>
            <w:tcW w:w="1548" w:type="dxa"/>
            <w:tcBorders>
              <w:top w:val="nil"/>
              <w:left w:val="single" w:color="auto" w:sz="4" w:space="0"/>
              <w:bottom w:val="single" w:color="auto" w:sz="12" w:space="0"/>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122.15</w:t>
            </w:r>
          </w:p>
        </w:tc>
        <w:tc>
          <w:tcPr>
            <w:tcW w:w="1548" w:type="dxa"/>
            <w:tcBorders>
              <w:top w:val="nil"/>
              <w:left w:val="single" w:color="auto" w:sz="4" w:space="0"/>
              <w:bottom w:val="single" w:color="auto" w:sz="12" w:space="0"/>
              <w:right w:val="single" w:color="auto" w:sz="4" w:space="0"/>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73.39</w:t>
            </w:r>
          </w:p>
        </w:tc>
        <w:tc>
          <w:tcPr>
            <w:tcW w:w="1548" w:type="dxa"/>
            <w:tcBorders>
              <w:top w:val="nil"/>
              <w:left w:val="single" w:color="auto" w:sz="4" w:space="0"/>
              <w:bottom w:val="single" w:color="auto" w:sz="12" w:space="0"/>
              <w:right w:val="nil"/>
            </w:tcBorders>
            <w:noWrap/>
            <w:vAlign w:val="center"/>
          </w:tcPr>
          <w:p>
            <w:pPr>
              <w:jc w:val="right"/>
              <w:rPr>
                <w:rFonts w:ascii="Times New Roman" w:hAnsi="Times New Roman" w:cs="Times New Roman"/>
                <w:color w:val="auto"/>
                <w:szCs w:val="21"/>
              </w:rPr>
            </w:pPr>
            <w:r>
              <w:rPr>
                <w:rFonts w:hint="eastAsia" w:ascii="Times New Roman" w:hAnsi="Times New Roman" w:cs="Times New Roman"/>
                <w:color w:val="auto"/>
                <w:szCs w:val="21"/>
              </w:rPr>
              <w:t>93.39</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五、房地产业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年末，全区共有房地产业企业法人单位</w:t>
      </w:r>
      <w:r>
        <w:rPr>
          <w:rFonts w:hint="default" w:ascii="Times New Roman" w:hAnsi="Times New Roman" w:eastAsia="方正仿宋_GBK" w:cs="Times New Roman"/>
          <w:color w:val="auto"/>
          <w:sz w:val="32"/>
          <w:szCs w:val="32"/>
        </w:rPr>
        <w:t>1272</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140.0%</w:t>
      </w:r>
      <w:r>
        <w:rPr>
          <w:rFonts w:hint="eastAsia" w:eastAsia="方正仿宋_GBK"/>
          <w:color w:val="auto"/>
          <w:sz w:val="32"/>
          <w:szCs w:val="32"/>
        </w:rPr>
        <w:t>。其中，房地产开发经营企业</w:t>
      </w:r>
      <w:r>
        <w:rPr>
          <w:rFonts w:hint="default" w:ascii="Times New Roman" w:hAnsi="Times New Roman" w:eastAsia="方正仿宋_GBK" w:cs="Times New Roman"/>
          <w:color w:val="auto"/>
          <w:sz w:val="32"/>
          <w:szCs w:val="32"/>
        </w:rPr>
        <w:t>169</w:t>
      </w:r>
      <w:r>
        <w:rPr>
          <w:rFonts w:hint="eastAsia" w:eastAsia="方正仿宋_GBK"/>
          <w:color w:val="auto"/>
          <w:sz w:val="32"/>
          <w:szCs w:val="32"/>
        </w:rPr>
        <w:t>个，物业管理企业</w:t>
      </w:r>
      <w:r>
        <w:rPr>
          <w:rFonts w:hint="default" w:ascii="Times New Roman" w:hAnsi="Times New Roman" w:eastAsia="方正仿宋_GBK" w:cs="Times New Roman"/>
          <w:color w:val="auto"/>
          <w:sz w:val="32"/>
          <w:szCs w:val="32"/>
        </w:rPr>
        <w:t>259</w:t>
      </w:r>
      <w:r>
        <w:rPr>
          <w:rFonts w:hint="eastAsia" w:eastAsia="方正仿宋_GBK"/>
          <w:color w:val="auto"/>
          <w:sz w:val="32"/>
          <w:szCs w:val="32"/>
        </w:rPr>
        <w:t>个，房地产中介服务企业</w:t>
      </w:r>
      <w:r>
        <w:rPr>
          <w:rFonts w:hint="default" w:ascii="Times New Roman" w:hAnsi="Times New Roman" w:eastAsia="方正仿宋_GBK" w:cs="Times New Roman"/>
          <w:color w:val="auto"/>
          <w:sz w:val="32"/>
          <w:szCs w:val="32"/>
        </w:rPr>
        <w:t>680</w:t>
      </w:r>
      <w:r>
        <w:rPr>
          <w:rFonts w:hint="eastAsia" w:eastAsia="方正仿宋_GBK"/>
          <w:color w:val="auto"/>
          <w:sz w:val="32"/>
          <w:szCs w:val="32"/>
        </w:rPr>
        <w:t>个，分别比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-18.4%、69.3%</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396.4%</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年末，全区房地产业企业法人单位的从业人员为</w:t>
      </w:r>
      <w:r>
        <w:rPr>
          <w:rFonts w:hint="default" w:ascii="Times New Roman" w:hAnsi="Times New Roman" w:eastAsia="方正仿宋_GBK" w:cs="Times New Roman"/>
          <w:color w:val="auto"/>
          <w:sz w:val="32"/>
          <w:szCs w:val="32"/>
        </w:rPr>
        <w:t>2.34</w:t>
      </w:r>
      <w:r>
        <w:rPr>
          <w:rFonts w:hint="eastAsia" w:eastAsia="方正仿宋_GBK"/>
          <w:color w:val="auto"/>
          <w:sz w:val="32"/>
          <w:szCs w:val="32"/>
        </w:rPr>
        <w:t>万人，比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3.7%</w:t>
      </w:r>
      <w:r>
        <w:rPr>
          <w:rFonts w:hint="eastAsia" w:eastAsia="方正仿宋_GBK"/>
          <w:color w:val="auto"/>
          <w:sz w:val="32"/>
          <w:szCs w:val="32"/>
        </w:rPr>
        <w:t>。其中，房地产开发经营企业</w:t>
      </w:r>
      <w:r>
        <w:rPr>
          <w:rFonts w:hint="default" w:ascii="Times New Roman" w:hAnsi="Times New Roman" w:eastAsia="方正仿宋_GBK" w:cs="Times New Roman"/>
          <w:color w:val="auto"/>
          <w:sz w:val="32"/>
          <w:szCs w:val="32"/>
        </w:rPr>
        <w:t>0.48</w:t>
      </w:r>
      <w:r>
        <w:rPr>
          <w:rFonts w:hint="eastAsia" w:eastAsia="方正仿宋_GBK"/>
          <w:color w:val="auto"/>
          <w:sz w:val="32"/>
          <w:szCs w:val="32"/>
        </w:rPr>
        <w:t>万人，物业管理企业</w:t>
      </w:r>
      <w:r>
        <w:rPr>
          <w:rFonts w:hint="default" w:ascii="Times New Roman" w:hAnsi="Times New Roman" w:eastAsia="方正仿宋_GBK" w:cs="Times New Roman"/>
          <w:color w:val="auto"/>
          <w:sz w:val="32"/>
          <w:szCs w:val="32"/>
        </w:rPr>
        <w:t>1.38</w:t>
      </w:r>
      <w:r>
        <w:rPr>
          <w:rFonts w:hint="eastAsia" w:eastAsia="方正仿宋_GBK"/>
          <w:color w:val="auto"/>
          <w:sz w:val="32"/>
          <w:szCs w:val="32"/>
        </w:rPr>
        <w:t>万人，房地产中介服务企业</w:t>
      </w:r>
      <w:r>
        <w:rPr>
          <w:rFonts w:hint="default" w:ascii="Times New Roman" w:hAnsi="Times New Roman" w:eastAsia="方正仿宋_GBK" w:cs="Times New Roman"/>
          <w:color w:val="auto"/>
          <w:sz w:val="32"/>
          <w:szCs w:val="32"/>
        </w:rPr>
        <w:t>0.37</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-32.9%、0.2%</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228.7%</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4-14</w:t>
      </w:r>
      <w:r>
        <w:rPr>
          <w:rFonts w:hint="eastAsia" w:eastAsia="方正仿宋_GBK"/>
          <w:color w:val="auto"/>
          <w:sz w:val="32"/>
          <w:szCs w:val="32"/>
        </w:rPr>
        <w:t>）。</w:t>
      </w:r>
    </w:p>
    <w:p>
      <w:pPr>
        <w:spacing w:line="600" w:lineRule="exact"/>
        <w:jc w:val="center"/>
        <w:rPr>
          <w:rFonts w:ascii="仿宋_GB2312" w:hAnsi="宋体" w:eastAsia="仿宋_GB2312" w:cs="宋体"/>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4-1</w:t>
      </w:r>
      <w:r>
        <w:rPr>
          <w:rFonts w:hint="eastAsia" w:ascii="方正小标宋_GBK" w:hAnsi="宋体" w:eastAsia="方正小标宋_GBK" w:cs="宋体"/>
          <w:bCs/>
          <w:color w:val="auto"/>
          <w:kern w:val="0"/>
          <w:sz w:val="28"/>
          <w:szCs w:val="28"/>
          <w:lang w:val="en-US" w:eastAsia="zh-CN"/>
        </w:rPr>
        <w:t>2</w:t>
      </w:r>
      <w:r>
        <w:rPr>
          <w:rFonts w:hint="eastAsia" w:ascii="方正小标宋_GBK" w:hAnsi="宋体" w:eastAsia="方正小标宋_GBK" w:cs="宋体"/>
          <w:bCs/>
          <w:color w:val="auto"/>
          <w:kern w:val="0"/>
          <w:sz w:val="28"/>
          <w:szCs w:val="28"/>
        </w:rPr>
        <w:t>　按行业中类分组的房地产业企业法人单位和从业人员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078"/>
        <w:gridCol w:w="2676"/>
        <w:gridCol w:w="25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92" w:hRule="atLeast"/>
          <w:jc w:val="center"/>
        </w:trPr>
        <w:tc>
          <w:tcPr>
            <w:tcW w:w="3078"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2676"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2552"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676"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1272</w:t>
            </w:r>
          </w:p>
        </w:tc>
        <w:tc>
          <w:tcPr>
            <w:tcW w:w="2552" w:type="dxa"/>
            <w:tcBorders>
              <w:top w:val="single" w:color="auto" w:sz="4" w:space="0"/>
              <w:left w:val="single" w:color="auto" w:sz="4" w:space="0"/>
              <w:bottom w:val="nil"/>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23406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房地产开发经营</w:t>
            </w:r>
          </w:p>
        </w:tc>
        <w:tc>
          <w:tcPr>
            <w:tcW w:w="2676"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169</w:t>
            </w:r>
          </w:p>
        </w:tc>
        <w:tc>
          <w:tcPr>
            <w:tcW w:w="255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4805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物业管理</w:t>
            </w:r>
          </w:p>
        </w:tc>
        <w:tc>
          <w:tcPr>
            <w:tcW w:w="267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259</w:t>
            </w:r>
          </w:p>
        </w:tc>
        <w:tc>
          <w:tcPr>
            <w:tcW w:w="2552"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13783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房地产中介服务</w:t>
            </w:r>
          </w:p>
        </w:tc>
        <w:tc>
          <w:tcPr>
            <w:tcW w:w="267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680</w:t>
            </w:r>
          </w:p>
        </w:tc>
        <w:tc>
          <w:tcPr>
            <w:tcW w:w="2552"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3729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nil"/>
              <w:left w:val="nil"/>
              <w:bottom w:val="nil"/>
              <w:right w:val="single" w:color="auto" w:sz="4" w:space="0"/>
            </w:tcBorders>
            <w:noWrap/>
            <w:vAlign w:val="center"/>
          </w:tcPr>
          <w:p>
            <w:pPr>
              <w:widowControl/>
              <w:spacing w:line="240" w:lineRule="atLeast"/>
              <w:ind w:left="57" w:right="57" w:firstLine="210" w:firstLineChars="100"/>
              <w:rPr>
                <w:rFonts w:ascii="宋体" w:hAnsi="宋体" w:cs="宋体"/>
                <w:color w:val="auto"/>
                <w:kern w:val="0"/>
                <w:sz w:val="18"/>
                <w:szCs w:val="18"/>
              </w:rPr>
            </w:pPr>
            <w:r>
              <w:rPr>
                <w:rFonts w:hint="eastAsia" w:ascii="宋体" w:hAnsi="宋体" w:cs="宋体"/>
                <w:color w:val="auto"/>
                <w:kern w:val="0"/>
                <w:szCs w:val="21"/>
              </w:rPr>
              <w:t>房地产租赁</w:t>
            </w:r>
            <w:r>
              <w:rPr>
                <w:rFonts w:ascii="宋体" w:hAnsi="宋体" w:cs="宋体"/>
                <w:color w:val="auto"/>
                <w:kern w:val="0"/>
                <w:szCs w:val="21"/>
              </w:rPr>
              <w:t>经营</w:t>
            </w:r>
          </w:p>
        </w:tc>
        <w:tc>
          <w:tcPr>
            <w:tcW w:w="2676"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121</w:t>
            </w:r>
          </w:p>
        </w:tc>
        <w:tc>
          <w:tcPr>
            <w:tcW w:w="2552"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3078"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其他房地产业</w:t>
            </w:r>
          </w:p>
        </w:tc>
        <w:tc>
          <w:tcPr>
            <w:tcW w:w="2676"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43</w:t>
            </w:r>
          </w:p>
        </w:tc>
        <w:tc>
          <w:tcPr>
            <w:tcW w:w="2552"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189</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w:t>
      </w:r>
      <w:r>
        <w:rPr>
          <w:rFonts w:ascii="方正楷体_GBK" w:eastAsia="方正楷体_GBK"/>
          <w:color w:val="auto"/>
          <w:sz w:val="32"/>
          <w:szCs w:val="32"/>
        </w:rPr>
        <w:t>经济指标</w:t>
      </w:r>
      <w:r>
        <w:rPr>
          <w:rFonts w:hint="eastAsia" w:ascii="方正楷体_GBK" w:eastAsia="方正楷体_GBK"/>
          <w:color w:val="auto"/>
          <w:sz w:val="32"/>
          <w:szCs w:val="32"/>
        </w:rPr>
        <w:t>。</w:t>
      </w:r>
    </w:p>
    <w:p>
      <w:pPr>
        <w:snapToGrid w:val="0"/>
        <w:spacing w:line="600" w:lineRule="exact"/>
        <w:ind w:firstLine="640" w:firstLineChars="200"/>
        <w:rPr>
          <w:rFonts w:hint="eastAsia"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年末，全区房地产业企业法人单位的资产总计为</w:t>
      </w:r>
      <w:r>
        <w:rPr>
          <w:rFonts w:hint="default" w:ascii="Times New Roman" w:hAnsi="Times New Roman" w:eastAsia="方正仿宋_GBK" w:cs="Times New Roman"/>
          <w:color w:val="auto"/>
          <w:sz w:val="32"/>
          <w:szCs w:val="32"/>
        </w:rPr>
        <w:t>2744.51</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76.6%</w:t>
      </w:r>
      <w:r>
        <w:rPr>
          <w:rFonts w:hint="eastAsia" w:eastAsia="方正仿宋_GBK"/>
          <w:color w:val="auto"/>
          <w:sz w:val="32"/>
          <w:szCs w:val="32"/>
        </w:rPr>
        <w:t>。其中，房地产开发经营企业</w:t>
      </w:r>
      <w:r>
        <w:rPr>
          <w:rFonts w:hint="default" w:ascii="Times New Roman" w:hAnsi="Times New Roman" w:eastAsia="方正仿宋_GBK" w:cs="Times New Roman"/>
          <w:color w:val="auto"/>
          <w:sz w:val="32"/>
          <w:szCs w:val="32"/>
        </w:rPr>
        <w:t>2328.63</w:t>
      </w:r>
      <w:r>
        <w:rPr>
          <w:rFonts w:hint="eastAsia" w:eastAsia="方正仿宋_GBK"/>
          <w:color w:val="auto"/>
          <w:sz w:val="32"/>
          <w:szCs w:val="32"/>
        </w:rPr>
        <w:t>亿元，物业管理企业</w:t>
      </w:r>
      <w:r>
        <w:rPr>
          <w:rFonts w:hint="default" w:ascii="Times New Roman" w:hAnsi="Times New Roman" w:eastAsia="方正仿宋_GBK" w:cs="Times New Roman"/>
          <w:color w:val="auto"/>
          <w:sz w:val="32"/>
          <w:szCs w:val="32"/>
        </w:rPr>
        <w:t>38.64</w:t>
      </w:r>
      <w:r>
        <w:rPr>
          <w:rFonts w:hint="eastAsia" w:eastAsia="方正仿宋_GBK"/>
          <w:color w:val="auto"/>
          <w:sz w:val="32"/>
          <w:szCs w:val="32"/>
        </w:rPr>
        <w:t>亿元，房地产中介服务企业</w:t>
      </w:r>
      <w:r>
        <w:rPr>
          <w:rFonts w:hint="default" w:ascii="Times New Roman" w:hAnsi="Times New Roman" w:eastAsia="方正仿宋_GBK" w:cs="Times New Roman"/>
          <w:color w:val="auto"/>
          <w:sz w:val="32"/>
          <w:szCs w:val="32"/>
        </w:rPr>
        <w:t>25.24</w:t>
      </w:r>
      <w:r>
        <w:rPr>
          <w:rFonts w:hint="eastAsia" w:eastAsia="方正仿宋_GBK"/>
          <w:color w:val="auto"/>
          <w:sz w:val="32"/>
          <w:szCs w:val="32"/>
        </w:rPr>
        <w:t>亿元，分别比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63.1%，186.2%</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834.8%</w:t>
      </w:r>
      <w:r>
        <w:rPr>
          <w:rFonts w:hint="eastAsia" w:eastAsia="方正仿宋_GBK"/>
          <w:color w:val="auto"/>
          <w:sz w:val="32"/>
          <w:szCs w:val="32"/>
        </w:rPr>
        <w:t>。负债</w:t>
      </w:r>
      <w:r>
        <w:rPr>
          <w:rFonts w:eastAsia="方正仿宋_GBK"/>
          <w:color w:val="auto"/>
          <w:sz w:val="32"/>
          <w:szCs w:val="32"/>
        </w:rPr>
        <w:t>合计</w:t>
      </w:r>
      <w:r>
        <w:rPr>
          <w:rFonts w:hint="default" w:ascii="Times New Roman" w:hAnsi="Times New Roman" w:eastAsia="方正仿宋_GBK" w:cs="Times New Roman"/>
          <w:color w:val="auto"/>
          <w:sz w:val="32"/>
          <w:szCs w:val="32"/>
        </w:rPr>
        <w:t>1783.47</w:t>
      </w:r>
      <w:r>
        <w:rPr>
          <w:rFonts w:eastAsia="方正仿宋_GBK"/>
          <w:color w:val="auto"/>
          <w:sz w:val="32"/>
          <w:szCs w:val="32"/>
        </w:rPr>
        <w:t>亿元</w:t>
      </w:r>
      <w:r>
        <w:rPr>
          <w:rFonts w:hint="eastAsia" w:eastAsia="方正仿宋_GBK"/>
          <w:color w:val="auto"/>
          <w:sz w:val="32"/>
          <w:szCs w:val="32"/>
        </w:rPr>
        <w:t>。全年实现</w:t>
      </w:r>
      <w:r>
        <w:rPr>
          <w:rFonts w:eastAsia="方正仿宋_GBK"/>
          <w:color w:val="auto"/>
          <w:sz w:val="32"/>
          <w:szCs w:val="32"/>
        </w:rPr>
        <w:t>营业收入</w:t>
      </w:r>
      <w:r>
        <w:rPr>
          <w:rFonts w:hint="default" w:ascii="Times New Roman" w:hAnsi="Times New Roman" w:eastAsia="方正仿宋_GBK" w:cs="Times New Roman"/>
          <w:color w:val="auto"/>
          <w:sz w:val="32"/>
          <w:szCs w:val="32"/>
        </w:rPr>
        <w:t>287.50</w:t>
      </w:r>
      <w:r>
        <w:rPr>
          <w:rFonts w:eastAsia="方正仿宋_GBK"/>
          <w:color w:val="auto"/>
          <w:sz w:val="32"/>
          <w:szCs w:val="32"/>
        </w:rPr>
        <w:t>亿元</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4-15</w:t>
      </w:r>
      <w:r>
        <w:rPr>
          <w:rFonts w:hint="eastAsia" w:eastAsia="方正仿宋_GBK"/>
          <w:color w:val="auto"/>
          <w:sz w:val="32"/>
          <w:szCs w:val="32"/>
        </w:rPr>
        <w:t>）。</w:t>
      </w:r>
    </w:p>
    <w:p>
      <w:pPr>
        <w:snapToGrid w:val="0"/>
        <w:spacing w:line="600" w:lineRule="exact"/>
        <w:ind w:firstLine="640" w:firstLineChars="200"/>
        <w:rPr>
          <w:rFonts w:hint="eastAsia" w:eastAsia="方正仿宋_GBK"/>
          <w:color w:val="auto"/>
          <w:sz w:val="32"/>
          <w:szCs w:val="32"/>
        </w:rPr>
      </w:pPr>
    </w:p>
    <w:p>
      <w:pPr>
        <w:snapToGrid w:val="0"/>
        <w:spacing w:line="600" w:lineRule="exact"/>
        <w:ind w:firstLine="640" w:firstLineChars="200"/>
        <w:rPr>
          <w:rFonts w:hint="eastAsia" w:eastAsia="方正仿宋_GBK"/>
          <w:color w:val="auto"/>
          <w:sz w:val="32"/>
          <w:szCs w:val="32"/>
        </w:rPr>
      </w:pPr>
    </w:p>
    <w:p>
      <w:pPr>
        <w:snapToGrid w:val="0"/>
        <w:spacing w:line="600" w:lineRule="exact"/>
        <w:jc w:val="center"/>
        <w:rPr>
          <w:rFonts w:hint="eastAsia" w:ascii="方正小标宋_GBK" w:hAnsi="宋体" w:eastAsia="方正小标宋_GBK" w:cs="宋体"/>
          <w:bCs/>
          <w:color w:val="auto"/>
          <w:kern w:val="0"/>
          <w:sz w:val="28"/>
          <w:szCs w:val="28"/>
        </w:rPr>
      </w:pPr>
    </w:p>
    <w:p>
      <w:pPr>
        <w:snapToGrid w:val="0"/>
        <w:spacing w:line="600" w:lineRule="exact"/>
        <w:jc w:val="center"/>
        <w:rPr>
          <w:rFonts w:eastAsia="仿宋_GB2312"/>
          <w:color w:val="auto"/>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4-1</w:t>
      </w:r>
      <w:r>
        <w:rPr>
          <w:rFonts w:hint="eastAsia" w:ascii="方正小标宋_GBK" w:hAnsi="宋体" w:eastAsia="方正小标宋_GBK" w:cs="宋体"/>
          <w:bCs/>
          <w:color w:val="auto"/>
          <w:kern w:val="0"/>
          <w:sz w:val="28"/>
          <w:szCs w:val="28"/>
          <w:lang w:val="en-US" w:eastAsia="zh-CN"/>
        </w:rPr>
        <w:t>3</w:t>
      </w:r>
      <w:r>
        <w:rPr>
          <w:rFonts w:hint="eastAsia" w:ascii="方正小标宋_GBK" w:hAnsi="宋体" w:eastAsia="方正小标宋_GBK" w:cs="宋体"/>
          <w:bCs/>
          <w:color w:val="auto"/>
          <w:kern w:val="0"/>
          <w:sz w:val="28"/>
          <w:szCs w:val="28"/>
        </w:rPr>
        <w:t>　按行业中类分组的房地产业企业法人单位主要经济</w:t>
      </w:r>
      <w:r>
        <w:rPr>
          <w:rFonts w:ascii="方正小标宋_GBK" w:hAnsi="宋体" w:eastAsia="方正小标宋_GBK" w:cs="宋体"/>
          <w:bCs/>
          <w:color w:val="auto"/>
          <w:kern w:val="0"/>
          <w:sz w:val="28"/>
          <w:szCs w:val="28"/>
        </w:rPr>
        <w:t>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gridSpan w:val="2"/>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1" w:hRule="atLeast"/>
          <w:jc w:val="center"/>
        </w:trPr>
        <w:tc>
          <w:tcPr>
            <w:tcW w:w="3686" w:type="dxa"/>
            <w:gridSpan w:val="2"/>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color w:val="auto"/>
                <w:sz w:val="21"/>
                <w:szCs w:val="21"/>
              </w:rPr>
            </w:pPr>
            <w:r>
              <w:rPr>
                <w:rFonts w:hint="default" w:ascii="Times New Roman" w:hAnsi="Times New Roman" w:cs="Times New Roman"/>
                <w:b/>
                <w:color w:val="auto"/>
                <w:kern w:val="0"/>
                <w:sz w:val="21"/>
                <w:szCs w:val="21"/>
              </w:rPr>
              <w:t>2744.51</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color w:val="auto"/>
                <w:sz w:val="21"/>
                <w:szCs w:val="21"/>
              </w:rPr>
            </w:pPr>
            <w:r>
              <w:rPr>
                <w:rFonts w:hint="default" w:ascii="Times New Roman" w:hAnsi="Times New Roman" w:cs="Times New Roman"/>
                <w:b/>
                <w:color w:val="auto"/>
                <w:kern w:val="0"/>
                <w:sz w:val="21"/>
                <w:szCs w:val="21"/>
              </w:rPr>
              <w:t>1941.56</w:t>
            </w:r>
          </w:p>
        </w:tc>
        <w:tc>
          <w:tcPr>
            <w:tcW w:w="1540"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color w:val="auto"/>
                <w:sz w:val="21"/>
                <w:szCs w:val="21"/>
              </w:rPr>
            </w:pPr>
            <w:r>
              <w:rPr>
                <w:rFonts w:hint="default" w:ascii="Times New Roman" w:hAnsi="Times New Roman" w:cs="Times New Roman"/>
                <w:b/>
                <w:color w:val="auto"/>
                <w:kern w:val="0"/>
                <w:sz w:val="21"/>
                <w:szCs w:val="21"/>
              </w:rPr>
              <w:t>302.08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61" w:hRule="atLeast"/>
          <w:jc w:val="center"/>
        </w:trPr>
        <w:tc>
          <w:tcPr>
            <w:tcW w:w="3686"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房地产开发经营</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2328.63</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1725.53</w:t>
            </w:r>
          </w:p>
        </w:tc>
        <w:tc>
          <w:tcPr>
            <w:tcW w:w="154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275.95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61" w:hRule="atLeast"/>
          <w:jc w:val="center"/>
        </w:trPr>
        <w:tc>
          <w:tcPr>
            <w:tcW w:w="3686"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物业管理</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38.64</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24.19</w:t>
            </w:r>
          </w:p>
        </w:tc>
        <w:tc>
          <w:tcPr>
            <w:tcW w:w="154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15.37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61" w:hRule="atLeast"/>
          <w:jc w:val="center"/>
        </w:trPr>
        <w:tc>
          <w:tcPr>
            <w:tcW w:w="3686"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房地产中介服务</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25.24</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11.51</w:t>
            </w:r>
          </w:p>
        </w:tc>
        <w:tc>
          <w:tcPr>
            <w:tcW w:w="154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61" w:hRule="atLeast"/>
          <w:jc w:val="center"/>
        </w:trPr>
        <w:tc>
          <w:tcPr>
            <w:tcW w:w="3686"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房地产租赁经营</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318.64</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158.54</w:t>
            </w:r>
          </w:p>
        </w:tc>
        <w:tc>
          <w:tcPr>
            <w:tcW w:w="154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5.59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61" w:hRule="atLeast"/>
          <w:jc w:val="center"/>
        </w:trPr>
        <w:tc>
          <w:tcPr>
            <w:tcW w:w="3686" w:type="dxa"/>
            <w:tcBorders>
              <w:top w:val="nil"/>
              <w:left w:val="nil"/>
              <w:bottom w:val="single" w:color="auto" w:sz="12" w:space="0"/>
              <w:right w:val="single" w:color="auto" w:sz="4" w:space="0"/>
            </w:tcBorders>
            <w:noWrap/>
            <w:vAlign w:val="center"/>
          </w:tcPr>
          <w:p>
            <w:pPr>
              <w:rPr>
                <w:color w:val="auto"/>
              </w:rPr>
            </w:pPr>
            <w:r>
              <w:rPr>
                <w:rFonts w:hint="eastAsia"/>
                <w:color w:val="auto"/>
              </w:rPr>
              <w:t>　</w:t>
            </w:r>
            <w:r>
              <w:rPr>
                <w:rFonts w:hint="eastAsia" w:ascii="宋体" w:hAnsi="宋体" w:cs="宋体"/>
                <w:color w:val="auto"/>
                <w:kern w:val="0"/>
                <w:szCs w:val="21"/>
              </w:rPr>
              <w:t>其他房地产业</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33.36</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21.79</w:t>
            </w:r>
          </w:p>
        </w:tc>
        <w:tc>
          <w:tcPr>
            <w:tcW w:w="1540"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0.32</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六、租赁和商务服务业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pacing w:val="-6"/>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pacing w:val="-6"/>
          <w:sz w:val="32"/>
          <w:szCs w:val="32"/>
        </w:rPr>
        <w:t>018</w:t>
      </w:r>
      <w:r>
        <w:rPr>
          <w:rFonts w:hint="eastAsia" w:eastAsia="方正仿宋_GBK"/>
          <w:color w:val="auto"/>
          <w:spacing w:val="-6"/>
          <w:sz w:val="32"/>
          <w:szCs w:val="32"/>
        </w:rPr>
        <w:t>年末，全区共有租赁和商务服务业企业法人单位</w:t>
      </w:r>
      <w:r>
        <w:rPr>
          <w:rFonts w:hint="default" w:ascii="Times New Roman" w:hAnsi="Times New Roman" w:eastAsia="方正仿宋_GBK" w:cs="Times New Roman"/>
          <w:color w:val="auto"/>
          <w:spacing w:val="-6"/>
          <w:sz w:val="32"/>
          <w:szCs w:val="32"/>
        </w:rPr>
        <w:t>4653</w:t>
      </w:r>
      <w:r>
        <w:rPr>
          <w:rFonts w:hint="eastAsia" w:eastAsia="方正仿宋_GBK"/>
          <w:color w:val="auto"/>
          <w:spacing w:val="-6"/>
          <w:sz w:val="32"/>
          <w:szCs w:val="32"/>
        </w:rPr>
        <w:t>个，从业人员</w:t>
      </w:r>
      <w:r>
        <w:rPr>
          <w:rFonts w:hint="default" w:ascii="Times New Roman" w:hAnsi="Times New Roman" w:eastAsia="方正仿宋_GBK" w:cs="Times New Roman"/>
          <w:color w:val="auto"/>
          <w:spacing w:val="-6"/>
          <w:sz w:val="32"/>
          <w:szCs w:val="32"/>
        </w:rPr>
        <w:t>3.37</w:t>
      </w:r>
      <w:r>
        <w:rPr>
          <w:rFonts w:hint="eastAsia" w:eastAsia="方正仿宋_GBK"/>
          <w:color w:val="auto"/>
          <w:spacing w:val="-6"/>
          <w:sz w:val="32"/>
          <w:szCs w:val="32"/>
        </w:rPr>
        <w:t>万人，分别比</w:t>
      </w:r>
      <w:r>
        <w:rPr>
          <w:rFonts w:hint="default" w:ascii="Times New Roman" w:hAnsi="Times New Roman" w:eastAsia="方正仿宋_GBK" w:cs="Times New Roman"/>
          <w:color w:val="auto"/>
          <w:spacing w:val="-6"/>
          <w:sz w:val="32"/>
          <w:szCs w:val="32"/>
        </w:rPr>
        <w:t>2013</w:t>
      </w:r>
      <w:r>
        <w:rPr>
          <w:rFonts w:hint="eastAsia" w:eastAsia="方正仿宋_GBK"/>
          <w:color w:val="auto"/>
          <w:spacing w:val="-6"/>
          <w:sz w:val="32"/>
          <w:szCs w:val="32"/>
        </w:rPr>
        <w:t>年末增长</w:t>
      </w:r>
      <w:r>
        <w:rPr>
          <w:rFonts w:hint="default" w:ascii="Times New Roman" w:hAnsi="Times New Roman" w:eastAsia="方正仿宋_GBK" w:cs="Times New Roman"/>
          <w:color w:val="auto"/>
          <w:spacing w:val="-6"/>
          <w:sz w:val="32"/>
          <w:szCs w:val="32"/>
        </w:rPr>
        <w:t>252.0%</w:t>
      </w:r>
      <w:r>
        <w:rPr>
          <w:rFonts w:hint="eastAsia" w:eastAsia="方正仿宋_GBK"/>
          <w:color w:val="auto"/>
          <w:spacing w:val="-6"/>
          <w:sz w:val="32"/>
          <w:szCs w:val="32"/>
        </w:rPr>
        <w:t>和</w:t>
      </w:r>
      <w:r>
        <w:rPr>
          <w:rFonts w:hint="default" w:ascii="Times New Roman" w:hAnsi="Times New Roman" w:eastAsia="方正仿宋_GBK" w:cs="Times New Roman"/>
          <w:color w:val="auto"/>
          <w:spacing w:val="-6"/>
          <w:sz w:val="32"/>
          <w:szCs w:val="32"/>
        </w:rPr>
        <w:t>106.7%</w:t>
      </w:r>
      <w:r>
        <w:rPr>
          <w:rFonts w:hint="eastAsia" w:eastAsia="方正仿宋_GBK"/>
          <w:color w:val="auto"/>
          <w:spacing w:val="-6"/>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在租赁和商务服务业企业法人单位中，租赁业占</w:t>
      </w:r>
      <w:r>
        <w:rPr>
          <w:rFonts w:hint="default" w:ascii="Times New Roman" w:hAnsi="Times New Roman" w:eastAsia="方正仿宋_GBK" w:cs="Times New Roman"/>
          <w:color w:val="auto"/>
          <w:sz w:val="32"/>
          <w:szCs w:val="32"/>
        </w:rPr>
        <w:t>10.0%</w:t>
      </w:r>
      <w:r>
        <w:rPr>
          <w:rFonts w:hint="eastAsia" w:eastAsia="方正仿宋_GBK"/>
          <w:color w:val="auto"/>
          <w:sz w:val="32"/>
          <w:szCs w:val="32"/>
        </w:rPr>
        <w:t>，商务服务业占</w:t>
      </w:r>
      <w:r>
        <w:rPr>
          <w:rFonts w:hint="default" w:ascii="Times New Roman" w:hAnsi="Times New Roman" w:eastAsia="方正仿宋_GBK" w:cs="Times New Roman"/>
          <w:color w:val="auto"/>
          <w:sz w:val="32"/>
          <w:szCs w:val="32"/>
        </w:rPr>
        <w:t>90.0%</w:t>
      </w:r>
      <w:r>
        <w:rPr>
          <w:rFonts w:hint="eastAsia" w:eastAsia="方正仿宋_GBK"/>
          <w:color w:val="auto"/>
          <w:sz w:val="32"/>
          <w:szCs w:val="32"/>
        </w:rPr>
        <w:t>。在租赁和商务服务业企业法人单位从业人员中，租赁业占</w:t>
      </w:r>
      <w:r>
        <w:rPr>
          <w:rFonts w:hint="default" w:ascii="Times New Roman" w:hAnsi="Times New Roman" w:eastAsia="方正仿宋_GBK" w:cs="Times New Roman"/>
          <w:color w:val="auto"/>
          <w:sz w:val="32"/>
          <w:szCs w:val="32"/>
        </w:rPr>
        <w:t>7.9%</w:t>
      </w:r>
      <w:r>
        <w:rPr>
          <w:rFonts w:hint="eastAsia" w:eastAsia="方正仿宋_GBK"/>
          <w:color w:val="auto"/>
          <w:sz w:val="32"/>
          <w:szCs w:val="32"/>
        </w:rPr>
        <w:t>，商务服务业占</w:t>
      </w:r>
      <w:r>
        <w:rPr>
          <w:rFonts w:hint="default" w:ascii="Times New Roman" w:hAnsi="Times New Roman" w:eastAsia="方正仿宋_GBK" w:cs="Times New Roman"/>
          <w:color w:val="auto"/>
          <w:sz w:val="32"/>
          <w:szCs w:val="32"/>
        </w:rPr>
        <w:t>92.1%</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4-16</w:t>
      </w:r>
      <w:r>
        <w:rPr>
          <w:rFonts w:hint="eastAsia" w:eastAsia="方正仿宋_GBK"/>
          <w:color w:val="auto"/>
          <w:sz w:val="32"/>
          <w:szCs w:val="32"/>
        </w:rPr>
        <w:t>）。</w:t>
      </w:r>
    </w:p>
    <w:p>
      <w:pPr>
        <w:snapToGrid w:val="0"/>
        <w:spacing w:line="600" w:lineRule="exact"/>
        <w:jc w:val="center"/>
        <w:rPr>
          <w:rFonts w:eastAsia="仿宋_GB2312"/>
          <w:color w:val="auto"/>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4-1</w:t>
      </w:r>
      <w:r>
        <w:rPr>
          <w:rFonts w:hint="eastAsia" w:ascii="方正小标宋_GBK" w:hAnsi="宋体" w:eastAsia="方正小标宋_GBK" w:cs="宋体"/>
          <w:bCs/>
          <w:color w:val="auto"/>
          <w:kern w:val="0"/>
          <w:sz w:val="28"/>
          <w:szCs w:val="28"/>
          <w:lang w:val="en-US" w:eastAsia="zh-CN"/>
        </w:rPr>
        <w:t>4</w:t>
      </w:r>
      <w:r>
        <w:rPr>
          <w:rFonts w:hint="eastAsia" w:ascii="方正小标宋_GBK" w:hAnsi="宋体" w:eastAsia="方正小标宋_GBK" w:cs="宋体"/>
          <w:bCs/>
          <w:color w:val="auto"/>
          <w:kern w:val="0"/>
          <w:sz w:val="28"/>
          <w:szCs w:val="28"/>
        </w:rPr>
        <w:t>　按行业大类分组的租赁和商务服务业企业法人单位和从业人员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385"/>
        <w:gridCol w:w="2563"/>
        <w:gridCol w:w="23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3385"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2563"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2370"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3385"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2563"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4653</w:t>
            </w:r>
          </w:p>
        </w:tc>
        <w:tc>
          <w:tcPr>
            <w:tcW w:w="2370"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33695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3385"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租赁业</w:t>
            </w:r>
          </w:p>
        </w:tc>
        <w:tc>
          <w:tcPr>
            <w:tcW w:w="2563"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467</w:t>
            </w:r>
          </w:p>
        </w:tc>
        <w:tc>
          <w:tcPr>
            <w:tcW w:w="237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2656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3385"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商务服务业</w:t>
            </w:r>
          </w:p>
        </w:tc>
        <w:tc>
          <w:tcPr>
            <w:tcW w:w="2563"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4186</w:t>
            </w:r>
          </w:p>
        </w:tc>
        <w:tc>
          <w:tcPr>
            <w:tcW w:w="2370"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31039</w:t>
            </w:r>
          </w:p>
        </w:tc>
      </w:tr>
    </w:tbl>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在租赁和商务服务业企业法人单位中，内资企业占</w:t>
      </w:r>
      <w:r>
        <w:rPr>
          <w:rFonts w:hint="default" w:ascii="Times New Roman" w:hAnsi="Times New Roman" w:eastAsia="方正仿宋_GBK" w:cs="Times New Roman"/>
          <w:color w:val="auto"/>
          <w:sz w:val="32"/>
          <w:szCs w:val="32"/>
        </w:rPr>
        <w:t>99.8%，</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0.1%，</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0.1%</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在租赁和商务服务业企业法人单位从业人员中，内资企业占</w:t>
      </w:r>
      <w:r>
        <w:rPr>
          <w:rFonts w:hint="default" w:ascii="Times New Roman" w:hAnsi="Times New Roman" w:eastAsia="方正仿宋_GBK" w:cs="Times New Roman"/>
          <w:color w:val="auto"/>
          <w:sz w:val="32"/>
          <w:szCs w:val="32"/>
        </w:rPr>
        <w:t>99.68%</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0.01%</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0.31%</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4-17</w:t>
      </w:r>
      <w:r>
        <w:rPr>
          <w:rFonts w:hint="eastAsia" w:eastAsia="方正仿宋_GBK"/>
          <w:color w:val="auto"/>
          <w:sz w:val="32"/>
          <w:szCs w:val="32"/>
        </w:rPr>
        <w:t>）。</w:t>
      </w:r>
    </w:p>
    <w:p>
      <w:pPr>
        <w:snapToGrid w:val="0"/>
        <w:spacing w:line="600" w:lineRule="exact"/>
        <w:rPr>
          <w:rFonts w:eastAsia="仿宋_GB2312"/>
          <w:color w:val="auto"/>
          <w:w w:val="95"/>
          <w:sz w:val="28"/>
          <w:szCs w:val="28"/>
        </w:rPr>
      </w:pPr>
      <w:r>
        <w:rPr>
          <w:rFonts w:hint="eastAsia" w:ascii="方正小标宋_GBK" w:hAnsi="宋体" w:eastAsia="方正小标宋_GBK" w:cs="宋体"/>
          <w:bCs/>
          <w:color w:val="auto"/>
          <w:w w:val="95"/>
          <w:kern w:val="0"/>
          <w:sz w:val="28"/>
          <w:szCs w:val="28"/>
        </w:rPr>
        <w:t>表</w:t>
      </w:r>
      <w:r>
        <w:rPr>
          <w:rFonts w:ascii="方正小标宋_GBK" w:hAnsi="宋体" w:eastAsia="方正小标宋_GBK" w:cs="宋体"/>
          <w:bCs/>
          <w:color w:val="auto"/>
          <w:w w:val="95"/>
          <w:kern w:val="0"/>
          <w:sz w:val="28"/>
          <w:szCs w:val="28"/>
        </w:rPr>
        <w:t>4-1</w:t>
      </w:r>
      <w:r>
        <w:rPr>
          <w:rFonts w:hint="eastAsia" w:ascii="方正小标宋_GBK" w:hAnsi="宋体" w:eastAsia="方正小标宋_GBK" w:cs="宋体"/>
          <w:bCs/>
          <w:color w:val="auto"/>
          <w:w w:val="95"/>
          <w:kern w:val="0"/>
          <w:sz w:val="28"/>
          <w:szCs w:val="28"/>
          <w:lang w:val="en-US" w:eastAsia="zh-CN"/>
        </w:rPr>
        <w:t>5</w:t>
      </w:r>
      <w:r>
        <w:rPr>
          <w:rFonts w:hint="eastAsia" w:ascii="方正小标宋_GBK" w:hAnsi="宋体" w:eastAsia="方正小标宋_GBK" w:cs="宋体"/>
          <w:bCs/>
          <w:color w:val="auto"/>
          <w:w w:val="95"/>
          <w:kern w:val="0"/>
          <w:sz w:val="28"/>
          <w:szCs w:val="28"/>
        </w:rPr>
        <w:t>　按登记注册类型分组的租赁和商务服务业企业法人单位和从业人员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
        <w:gridCol w:w="3386"/>
        <w:gridCol w:w="2563"/>
        <w:gridCol w:w="2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6" w:hRule="atLeast"/>
          <w:jc w:val="center"/>
        </w:trPr>
        <w:tc>
          <w:tcPr>
            <w:tcW w:w="3386" w:type="dxa"/>
            <w:gridSpan w:val="2"/>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b/>
                <w:color w:val="auto"/>
                <w:kern w:val="0"/>
                <w:sz w:val="18"/>
                <w:szCs w:val="18"/>
              </w:rPr>
            </w:pPr>
            <w:r>
              <w:rPr>
                <w:b/>
                <w:color w:val="auto"/>
                <w:kern w:val="0"/>
                <w:szCs w:val="21"/>
              </w:rPr>
              <w:t> </w:t>
            </w:r>
          </w:p>
        </w:tc>
        <w:tc>
          <w:tcPr>
            <w:tcW w:w="2563"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个</w:t>
            </w:r>
            <w:r>
              <w:rPr>
                <w:rFonts w:ascii="黑体" w:hAnsi="黑体" w:eastAsia="黑体" w:cs="宋体"/>
                <w:color w:val="auto"/>
                <w:kern w:val="0"/>
                <w:szCs w:val="21"/>
              </w:rPr>
              <w:t>)</w:t>
            </w:r>
          </w:p>
        </w:tc>
        <w:tc>
          <w:tcPr>
            <w:tcW w:w="2372"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人</w:t>
            </w:r>
            <w:r>
              <w:rPr>
                <w:rFonts w:ascii="黑体" w:hAnsi="黑体" w:eastAsia="黑体" w:cs="宋体"/>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3386" w:type="dxa"/>
            <w:gridSpan w:val="2"/>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563" w:type="dxa"/>
            <w:tcBorders>
              <w:top w:val="single" w:color="auto" w:sz="4" w:space="0"/>
              <w:left w:val="single" w:color="auto" w:sz="4" w:space="0"/>
              <w:bottom w:val="nil"/>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4653</w:t>
            </w:r>
          </w:p>
        </w:tc>
        <w:tc>
          <w:tcPr>
            <w:tcW w:w="2372" w:type="dxa"/>
            <w:tcBorders>
              <w:top w:val="single" w:color="auto" w:sz="4" w:space="0"/>
              <w:left w:val="single" w:color="auto" w:sz="4" w:space="0"/>
              <w:bottom w:val="nil"/>
              <w:right w:val="nil"/>
            </w:tcBorders>
            <w:noWrap/>
            <w:vAlign w:val="center"/>
          </w:tcPr>
          <w:p>
            <w:pPr>
              <w:widowControl/>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sz w:val="21"/>
                <w:szCs w:val="21"/>
              </w:rPr>
              <w:t>33695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3386"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4646</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33587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3386" w:type="dxa"/>
            <w:gridSpan w:val="2"/>
            <w:tcBorders>
              <w:top w:val="nil"/>
              <w:left w:val="nil"/>
              <w:bottom w:val="nil"/>
              <w:right w:val="single" w:color="auto" w:sz="4" w:space="0"/>
            </w:tcBorders>
            <w:noWrap/>
            <w:vAlign w:val="center"/>
          </w:tcPr>
          <w:p>
            <w:pPr>
              <w:widowControl/>
              <w:spacing w:line="240" w:lineRule="atLeast"/>
              <w:ind w:left="57" w:right="57" w:firstLine="210" w:firstLineChars="100"/>
              <w:rPr>
                <w:rFonts w:ascii="宋体" w:hAnsi="宋体" w:cs="宋体"/>
                <w:color w:val="auto"/>
                <w:kern w:val="0"/>
                <w:sz w:val="18"/>
                <w:szCs w:val="18"/>
              </w:rPr>
            </w:pPr>
            <w:r>
              <w:rPr>
                <w:rFonts w:hint="eastAsia" w:ascii="宋体" w:hAnsi="宋体" w:cs="宋体"/>
                <w:color w:val="auto"/>
                <w:kern w:val="0"/>
                <w:szCs w:val="21"/>
              </w:rPr>
              <w:t>国有企业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3386" w:type="dxa"/>
            <w:gridSpan w:val="2"/>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集体企业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firstLine="105" w:firstLineChars="50"/>
              <w:rPr>
                <w:rFonts w:ascii="宋体" w:hAnsi="宋体" w:cs="宋体"/>
                <w:color w:val="auto"/>
                <w:kern w:val="0"/>
                <w:sz w:val="18"/>
                <w:szCs w:val="18"/>
              </w:rPr>
            </w:pPr>
            <w:r>
              <w:rPr>
                <w:rFonts w:hint="eastAsia" w:ascii="宋体" w:hAnsi="宋体" w:cs="宋体"/>
                <w:color w:val="auto"/>
                <w:kern w:val="0"/>
                <w:szCs w:val="21"/>
              </w:rPr>
              <w:t>股份合作企业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联营企业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有限责任公司</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223</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9730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股份有限公司</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私营企业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4388</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23334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563" w:type="dxa"/>
            <w:tcBorders>
              <w:top w:val="nil"/>
              <w:left w:val="single" w:color="auto" w:sz="4" w:space="0"/>
              <w:bottom w:val="nil"/>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3</w:t>
            </w:r>
          </w:p>
        </w:tc>
        <w:tc>
          <w:tcPr>
            <w:tcW w:w="2372" w:type="dxa"/>
            <w:tcBorders>
              <w:top w:val="nil"/>
              <w:left w:val="single" w:color="auto" w:sz="4" w:space="0"/>
              <w:bottom w:val="nil"/>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57" w:hRule="atLeast"/>
          <w:jc w:val="center"/>
        </w:trPr>
        <w:tc>
          <w:tcPr>
            <w:tcW w:w="3386"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外商投资企业</w:t>
            </w:r>
          </w:p>
        </w:tc>
        <w:tc>
          <w:tcPr>
            <w:tcW w:w="2563" w:type="dxa"/>
            <w:tcBorders>
              <w:top w:val="nil"/>
              <w:left w:val="single" w:color="auto" w:sz="4" w:space="0"/>
              <w:bottom w:val="single" w:color="auto" w:sz="12" w:space="0"/>
              <w:right w:val="single" w:color="auto" w:sz="4" w:space="0"/>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4</w:t>
            </w:r>
          </w:p>
        </w:tc>
        <w:tc>
          <w:tcPr>
            <w:tcW w:w="2372" w:type="dxa"/>
            <w:tcBorders>
              <w:top w:val="nil"/>
              <w:left w:val="single" w:color="auto" w:sz="4" w:space="0"/>
              <w:bottom w:val="single" w:color="auto" w:sz="12" w:space="0"/>
              <w:right w:val="nil"/>
            </w:tcBorders>
            <w:noWrap/>
            <w:vAlign w:val="center"/>
          </w:tcPr>
          <w:p>
            <w:pPr>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104</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年末，租赁和商务服务业企业法人单位资产总计</w:t>
      </w:r>
      <w:r>
        <w:rPr>
          <w:rFonts w:hint="default" w:ascii="Times New Roman" w:hAnsi="Times New Roman" w:eastAsia="方正仿宋_GBK" w:cs="Times New Roman"/>
          <w:color w:val="auto"/>
          <w:sz w:val="32"/>
          <w:szCs w:val="32"/>
        </w:rPr>
        <w:t>636.02</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46.1%</w:t>
      </w:r>
      <w:r>
        <w:rPr>
          <w:rFonts w:hint="eastAsia" w:eastAsia="方正仿宋_GBK"/>
          <w:color w:val="auto"/>
          <w:sz w:val="32"/>
          <w:szCs w:val="32"/>
        </w:rPr>
        <w:t>。其中，租赁业企业法人单位资产总计</w:t>
      </w:r>
      <w:r>
        <w:rPr>
          <w:rFonts w:hint="default" w:ascii="Times New Roman" w:hAnsi="Times New Roman" w:eastAsia="方正仿宋_GBK" w:cs="Times New Roman"/>
          <w:color w:val="auto"/>
          <w:sz w:val="32"/>
          <w:szCs w:val="32"/>
        </w:rPr>
        <w:t>12.24</w:t>
      </w:r>
      <w:r>
        <w:rPr>
          <w:rFonts w:hint="eastAsia" w:eastAsia="方正仿宋_GBK"/>
          <w:color w:val="auto"/>
          <w:sz w:val="32"/>
          <w:szCs w:val="32"/>
        </w:rPr>
        <w:t>亿元，商务服务业企业法人单位资产总计</w:t>
      </w:r>
      <w:r>
        <w:rPr>
          <w:rFonts w:hint="default" w:ascii="Times New Roman" w:hAnsi="Times New Roman" w:eastAsia="方正仿宋_GBK" w:cs="Times New Roman"/>
          <w:color w:val="auto"/>
          <w:sz w:val="32"/>
          <w:szCs w:val="32"/>
        </w:rPr>
        <w:t>623.78</w:t>
      </w:r>
      <w:r>
        <w:rPr>
          <w:rFonts w:hint="eastAsia" w:eastAsia="方正仿宋_GBK"/>
          <w:color w:val="auto"/>
          <w:sz w:val="32"/>
          <w:szCs w:val="32"/>
        </w:rPr>
        <w:t>亿元。负债合计</w:t>
      </w:r>
      <w:r>
        <w:rPr>
          <w:rFonts w:hint="default" w:ascii="Times New Roman" w:hAnsi="Times New Roman" w:eastAsia="方正仿宋_GBK" w:cs="Times New Roman"/>
          <w:color w:val="auto"/>
          <w:sz w:val="32"/>
          <w:szCs w:val="32"/>
        </w:rPr>
        <w:t>359.96</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125.18</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4-18</w:t>
      </w:r>
      <w:r>
        <w:rPr>
          <w:rFonts w:hint="eastAsia" w:eastAsia="方正仿宋_GBK"/>
          <w:color w:val="auto"/>
          <w:sz w:val="32"/>
          <w:szCs w:val="32"/>
        </w:rPr>
        <w:t>）。</w:t>
      </w:r>
    </w:p>
    <w:p>
      <w:pPr>
        <w:snapToGrid w:val="0"/>
        <w:spacing w:line="600" w:lineRule="exact"/>
        <w:jc w:val="center"/>
        <w:rPr>
          <w:rFonts w:eastAsia="仿宋_GB2312"/>
          <w:color w:val="auto"/>
          <w:w w:val="98"/>
          <w:sz w:val="28"/>
          <w:szCs w:val="28"/>
        </w:rPr>
      </w:pPr>
      <w:r>
        <w:rPr>
          <w:rFonts w:hint="eastAsia" w:ascii="方正小标宋_GBK" w:hAnsi="宋体" w:eastAsia="方正小标宋_GBK" w:cs="宋体"/>
          <w:bCs/>
          <w:color w:val="auto"/>
          <w:w w:val="98"/>
          <w:kern w:val="0"/>
          <w:sz w:val="28"/>
          <w:szCs w:val="28"/>
        </w:rPr>
        <w:t>表</w:t>
      </w:r>
      <w:r>
        <w:rPr>
          <w:rFonts w:ascii="方正小标宋_GBK" w:hAnsi="宋体" w:eastAsia="方正小标宋_GBK" w:cs="宋体"/>
          <w:bCs/>
          <w:color w:val="auto"/>
          <w:w w:val="98"/>
          <w:kern w:val="0"/>
          <w:sz w:val="28"/>
          <w:szCs w:val="28"/>
        </w:rPr>
        <w:t>4-1</w:t>
      </w:r>
      <w:r>
        <w:rPr>
          <w:rFonts w:hint="eastAsia" w:ascii="方正小标宋_GBK" w:hAnsi="宋体" w:eastAsia="方正小标宋_GBK" w:cs="宋体"/>
          <w:bCs/>
          <w:color w:val="auto"/>
          <w:w w:val="98"/>
          <w:kern w:val="0"/>
          <w:sz w:val="28"/>
          <w:szCs w:val="28"/>
          <w:lang w:val="en-US" w:eastAsia="zh-CN"/>
        </w:rPr>
        <w:t>6</w:t>
      </w:r>
      <w:r>
        <w:rPr>
          <w:rFonts w:hint="eastAsia" w:ascii="方正小标宋_GBK" w:hAnsi="宋体" w:eastAsia="方正小标宋_GBK" w:cs="宋体"/>
          <w:bCs/>
          <w:color w:val="auto"/>
          <w:w w:val="98"/>
          <w:kern w:val="0"/>
          <w:sz w:val="28"/>
          <w:szCs w:val="28"/>
        </w:rPr>
        <w:t>　按行业大类分组的租赁和商务服务业企业法人单位主要经济</w:t>
      </w:r>
      <w:r>
        <w:rPr>
          <w:rFonts w:ascii="方正小标宋_GBK" w:hAnsi="宋体" w:eastAsia="方正小标宋_GBK" w:cs="宋体"/>
          <w:bCs/>
          <w:color w:val="auto"/>
          <w:w w:val="98"/>
          <w:kern w:val="0"/>
          <w:sz w:val="28"/>
          <w:szCs w:val="28"/>
        </w:rPr>
        <w:t>指标</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gridSpan w:val="2"/>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atLeas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atLeas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86" w:type="dxa"/>
            <w:gridSpan w:val="2"/>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636.02 </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359.96 </w:t>
            </w:r>
          </w:p>
        </w:tc>
        <w:tc>
          <w:tcPr>
            <w:tcW w:w="1540"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125.18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jc w:val="center"/>
        </w:trPr>
        <w:tc>
          <w:tcPr>
            <w:tcW w:w="3686"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租赁业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12.24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6.36 </w:t>
            </w:r>
          </w:p>
        </w:tc>
        <w:tc>
          <w:tcPr>
            <w:tcW w:w="154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9.92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jc w:val="center"/>
        </w:trPr>
        <w:tc>
          <w:tcPr>
            <w:tcW w:w="3686" w:type="dxa"/>
            <w:tcBorders>
              <w:top w:val="nil"/>
              <w:left w:val="nil"/>
              <w:bottom w:val="single" w:color="auto" w:sz="12" w:space="0"/>
              <w:right w:val="single" w:color="auto" w:sz="4" w:space="0"/>
            </w:tcBorders>
            <w:noWrap/>
          </w:tcPr>
          <w:p>
            <w:pPr>
              <w:rPr>
                <w:color w:val="auto"/>
              </w:rPr>
            </w:pPr>
            <w:r>
              <w:rPr>
                <w:rFonts w:hint="eastAsia"/>
                <w:color w:val="auto"/>
              </w:rPr>
              <w:t>　</w:t>
            </w:r>
            <w:r>
              <w:rPr>
                <w:rFonts w:hint="eastAsia" w:ascii="宋体" w:hAnsi="宋体" w:cs="宋体"/>
                <w:color w:val="auto"/>
                <w:kern w:val="0"/>
                <w:szCs w:val="21"/>
              </w:rPr>
              <w:t>商务服务业</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623.78 </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353.60 </w:t>
            </w:r>
          </w:p>
        </w:tc>
        <w:tc>
          <w:tcPr>
            <w:tcW w:w="1540"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115.26 </w:t>
            </w:r>
          </w:p>
        </w:tc>
      </w:tr>
    </w:tbl>
    <w:p>
      <w:pPr>
        <w:spacing w:line="540" w:lineRule="exact"/>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注释：</w:t>
      </w:r>
    </w:p>
    <w:p>
      <w:pPr>
        <w:spacing w:line="540" w:lineRule="exact"/>
        <w:ind w:firstLine="560" w:firstLineChars="200"/>
        <w:rPr>
          <w:rFonts w:eastAsia="方正仿宋_GBK"/>
          <w:color w:val="auto"/>
          <w:kern w:val="0"/>
          <w:sz w:val="28"/>
          <w:szCs w:val="28"/>
        </w:rPr>
      </w:pPr>
      <w:r>
        <w:rPr>
          <w:rFonts w:eastAsia="方正仿宋_GBK"/>
          <w:color w:val="auto"/>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40" w:lineRule="exact"/>
        <w:ind w:firstLine="560" w:firstLineChars="200"/>
        <w:rPr>
          <w:rFonts w:eastAsia="方正仿宋_GBK"/>
          <w:color w:val="auto"/>
          <w:kern w:val="0"/>
          <w:sz w:val="28"/>
          <w:szCs w:val="28"/>
        </w:rPr>
      </w:pPr>
      <w:r>
        <w:rPr>
          <w:rFonts w:eastAsia="方正仿宋_GBK"/>
          <w:color w:val="auto"/>
          <w:kern w:val="0"/>
          <w:sz w:val="28"/>
          <w:szCs w:val="28"/>
        </w:rPr>
        <w:t>[2]表中的合计数和部分计算数据因小数取舍而产生的误差，均未作机械调整。</w:t>
      </w:r>
    </w:p>
    <w:p>
      <w:pPr>
        <w:spacing w:line="540" w:lineRule="exact"/>
        <w:ind w:firstLine="560" w:firstLineChars="200"/>
        <w:rPr>
          <w:rFonts w:eastAsia="方正仿宋_GBK"/>
          <w:color w:val="auto"/>
          <w:kern w:val="0"/>
          <w:sz w:val="28"/>
          <w:szCs w:val="28"/>
        </w:rPr>
      </w:pPr>
      <w:r>
        <w:rPr>
          <w:rFonts w:eastAsia="方正仿宋_GBK"/>
          <w:color w:val="auto"/>
          <w:kern w:val="0"/>
          <w:sz w:val="28"/>
          <w:szCs w:val="28"/>
        </w:rPr>
        <w:t>[</w:t>
      </w:r>
      <w:r>
        <w:rPr>
          <w:rFonts w:hint="eastAsia" w:eastAsia="方正仿宋_GBK"/>
          <w:color w:val="auto"/>
          <w:kern w:val="0"/>
          <w:sz w:val="28"/>
          <w:szCs w:val="28"/>
        </w:rPr>
        <w:t>3</w:t>
      </w:r>
      <w:r>
        <w:rPr>
          <w:rFonts w:eastAsia="方正仿宋_GBK"/>
          <w:color w:val="auto"/>
          <w:kern w:val="0"/>
          <w:sz w:val="28"/>
          <w:szCs w:val="28"/>
        </w:rPr>
        <w:t>]</w:t>
      </w:r>
      <w:r>
        <w:rPr>
          <w:rFonts w:hint="eastAsia" w:ascii="方正小标宋_GBK" w:hAnsi="宋体" w:eastAsia="方正小标宋_GBK" w:cs="宋体"/>
          <w:bCs/>
          <w:color w:val="auto"/>
          <w:kern w:val="0"/>
          <w:sz w:val="28"/>
          <w:szCs w:val="28"/>
        </w:rPr>
        <w:t xml:space="preserve"> </w:t>
      </w:r>
      <w:r>
        <w:rPr>
          <w:rFonts w:hint="eastAsia" w:eastAsia="方正仿宋_GBK"/>
          <w:color w:val="auto"/>
          <w:kern w:val="0"/>
          <w:sz w:val="28"/>
          <w:szCs w:val="28"/>
        </w:rPr>
        <w:t>信息传输、软件和信息技术服务业企业法人单位主要经济</w:t>
      </w:r>
      <w:r>
        <w:rPr>
          <w:rFonts w:eastAsia="方正仿宋_GBK"/>
          <w:color w:val="auto"/>
          <w:kern w:val="0"/>
          <w:sz w:val="28"/>
          <w:szCs w:val="28"/>
        </w:rPr>
        <w:t>指标</w:t>
      </w:r>
      <w:r>
        <w:rPr>
          <w:rFonts w:hint="eastAsia" w:eastAsia="方正仿宋_GBK"/>
          <w:color w:val="auto"/>
          <w:kern w:val="0"/>
          <w:sz w:val="28"/>
          <w:szCs w:val="28"/>
        </w:rPr>
        <w:t>包含在区三大电信运营商产业活动单位数据，从业人员数未包含。</w:t>
      </w:r>
    </w:p>
    <w:p>
      <w:pPr>
        <w:spacing w:line="540" w:lineRule="exact"/>
        <w:ind w:firstLine="560" w:firstLineChars="200"/>
        <w:rPr>
          <w:rFonts w:eastAsia="方正仿宋_GBK"/>
          <w:color w:val="auto"/>
          <w:kern w:val="0"/>
          <w:sz w:val="28"/>
          <w:szCs w:val="28"/>
        </w:rPr>
        <w:sectPr>
          <w:footerReference r:id="rId3" w:type="default"/>
          <w:footerReference r:id="rId4" w:type="even"/>
          <w:pgSz w:w="11906" w:h="16838"/>
          <w:pgMar w:top="1588" w:right="1531" w:bottom="1701" w:left="1531" w:header="851" w:footer="1361" w:gutter="0"/>
          <w:pgBorders>
            <w:top w:val="none" w:sz="0" w:space="0"/>
            <w:left w:val="none" w:sz="0" w:space="0"/>
            <w:bottom w:val="none" w:sz="0" w:space="0"/>
            <w:right w:val="none" w:sz="0" w:space="0"/>
          </w:pgBorders>
          <w:pgNumType w:fmt="decimal"/>
          <w:cols w:space="720" w:num="1"/>
          <w:docGrid w:type="linesAndChars" w:linePitch="312" w:charSpace="0"/>
        </w:sectPr>
      </w:pPr>
    </w:p>
    <w:p>
      <w:pPr>
        <w:widowControl/>
        <w:spacing w:line="600" w:lineRule="exact"/>
        <w:jc w:val="center"/>
        <w:rPr>
          <w:rFonts w:eastAsia="方正小标宋_GBK"/>
          <w:bCs/>
          <w:color w:val="auto"/>
          <w:kern w:val="0"/>
          <w:sz w:val="36"/>
          <w:szCs w:val="36"/>
        </w:rPr>
      </w:pPr>
      <w:r>
        <w:rPr>
          <w:rFonts w:hint="eastAsia" w:eastAsia="方正小标宋_GBK"/>
          <w:bCs/>
          <w:color w:val="auto"/>
          <w:kern w:val="0"/>
          <w:sz w:val="36"/>
          <w:szCs w:val="36"/>
        </w:rPr>
        <w:t>南岸区第四次全国经济普查公报（第五号）</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——第三产业基本情况之二</w:t>
      </w:r>
    </w:p>
    <w:p>
      <w:pPr>
        <w:widowControl/>
        <w:spacing w:line="600" w:lineRule="exact"/>
        <w:jc w:val="center"/>
        <w:rPr>
          <w:rFonts w:eastAsia="方正楷体_GBK"/>
          <w:bCs/>
          <w:color w:val="auto"/>
          <w:kern w:val="0"/>
          <w:sz w:val="32"/>
          <w:szCs w:val="36"/>
        </w:rPr>
      </w:pPr>
      <w:r>
        <w:rPr>
          <w:rFonts w:eastAsia="方正楷体_GBK"/>
          <w:bCs/>
          <w:color w:val="auto"/>
          <w:kern w:val="0"/>
          <w:sz w:val="32"/>
          <w:szCs w:val="36"/>
        </w:rPr>
        <w:t> </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南岸区统计局</w:t>
      </w:r>
    </w:p>
    <w:p>
      <w:pPr>
        <w:widowControl/>
        <w:spacing w:line="600" w:lineRule="exact"/>
        <w:jc w:val="center"/>
        <w:rPr>
          <w:rFonts w:eastAsia="方正楷体_GBK"/>
          <w:bCs/>
          <w:color w:val="auto"/>
          <w:kern w:val="0"/>
          <w:sz w:val="32"/>
          <w:szCs w:val="36"/>
        </w:rPr>
      </w:pPr>
      <w:r>
        <w:rPr>
          <w:rFonts w:hint="eastAsia" w:eastAsia="方正楷体_GBK"/>
          <w:bCs/>
          <w:color w:val="auto"/>
          <w:kern w:val="0"/>
          <w:sz w:val="32"/>
          <w:szCs w:val="36"/>
        </w:rPr>
        <w:t>南岸区</w:t>
      </w:r>
      <w:r>
        <w:rPr>
          <w:rFonts w:eastAsia="方正楷体_GBK"/>
          <w:bCs/>
          <w:color w:val="auto"/>
          <w:kern w:val="0"/>
          <w:sz w:val="32"/>
          <w:szCs w:val="36"/>
        </w:rPr>
        <w:t>人民政府</w:t>
      </w:r>
      <w:r>
        <w:rPr>
          <w:rFonts w:hint="eastAsia" w:eastAsia="方正楷体_GBK"/>
          <w:bCs/>
          <w:color w:val="auto"/>
          <w:kern w:val="0"/>
          <w:sz w:val="32"/>
          <w:szCs w:val="36"/>
        </w:rPr>
        <w:t>第四次全国经济普查领导小组办公室</w:t>
      </w:r>
    </w:p>
    <w:p>
      <w:pPr>
        <w:widowControl/>
        <w:spacing w:line="600" w:lineRule="exact"/>
        <w:jc w:val="center"/>
        <w:rPr>
          <w:rFonts w:eastAsia="方正楷体_GBK"/>
          <w:bCs/>
          <w:color w:val="auto"/>
          <w:kern w:val="0"/>
          <w:sz w:val="32"/>
          <w:szCs w:val="36"/>
        </w:rPr>
      </w:pPr>
      <w:r>
        <w:rPr>
          <w:rFonts w:hint="default" w:ascii="Times New Roman" w:hAnsi="Times New Roman" w:eastAsia="方正楷体_GBK" w:cs="Times New Roman"/>
          <w:bCs/>
          <w:color w:val="auto"/>
          <w:kern w:val="0"/>
          <w:sz w:val="32"/>
          <w:szCs w:val="36"/>
        </w:rPr>
        <w:t>2020</w:t>
      </w:r>
      <w:r>
        <w:rPr>
          <w:rFonts w:hint="eastAsia" w:eastAsia="方正楷体_GBK"/>
          <w:bCs/>
          <w:color w:val="auto"/>
          <w:kern w:val="0"/>
          <w:sz w:val="32"/>
          <w:szCs w:val="36"/>
        </w:rPr>
        <w:t>年</w:t>
      </w:r>
      <w:r>
        <w:rPr>
          <w:rFonts w:hint="default" w:ascii="Times New Roman" w:hAnsi="Times New Roman" w:eastAsia="方正楷体_GBK" w:cs="Times New Roman"/>
          <w:bCs/>
          <w:color w:val="auto"/>
          <w:kern w:val="0"/>
          <w:sz w:val="32"/>
          <w:szCs w:val="36"/>
          <w:lang w:val="en-US" w:eastAsia="zh-CN"/>
        </w:rPr>
        <w:t>4</w:t>
      </w:r>
      <w:r>
        <w:rPr>
          <w:rFonts w:hint="eastAsia" w:eastAsia="方正楷体_GBK"/>
          <w:bCs/>
          <w:color w:val="auto"/>
          <w:kern w:val="0"/>
          <w:sz w:val="32"/>
          <w:szCs w:val="36"/>
        </w:rPr>
        <w:t>月</w:t>
      </w:r>
      <w:r>
        <w:rPr>
          <w:rFonts w:hint="default" w:ascii="Times New Roman" w:hAnsi="Times New Roman" w:eastAsia="方正楷体_GBK" w:cs="Times New Roman"/>
          <w:bCs/>
          <w:color w:val="auto"/>
          <w:kern w:val="0"/>
          <w:sz w:val="32"/>
          <w:szCs w:val="36"/>
          <w:lang w:val="en-US" w:eastAsia="zh-CN"/>
        </w:rPr>
        <w:t>22</w:t>
      </w:r>
      <w:r>
        <w:rPr>
          <w:rFonts w:hint="eastAsia" w:eastAsia="方正楷体_GBK"/>
          <w:bCs/>
          <w:color w:val="auto"/>
          <w:kern w:val="0"/>
          <w:sz w:val="32"/>
          <w:szCs w:val="36"/>
        </w:rPr>
        <w:t>日</w:t>
      </w:r>
    </w:p>
    <w:p>
      <w:pPr>
        <w:widowControl/>
        <w:spacing w:line="600" w:lineRule="exact"/>
        <w:jc w:val="left"/>
        <w:rPr>
          <w:rFonts w:ascii="宋体" w:hAnsi="宋体" w:cs="宋体"/>
          <w:color w:val="auto"/>
          <w:kern w:val="0"/>
          <w:sz w:val="24"/>
        </w:rPr>
      </w:pPr>
      <w:r>
        <w:rPr>
          <w:color w:val="auto"/>
          <w:kern w:val="0"/>
          <w:sz w:val="24"/>
        </w:rPr>
        <w:t> </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根据第四次全区经济普查结果，现将我区第三产业中科学研究和技术服务业，水利、环境和公共设施管理业，居民服务、修理和其他服务业，教育，卫生和社会工作，文化、体育和娱乐业，公共管理、社会保障和社会组织的主要数据公布如下：</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一、科学研究和技术服务业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年末，全区共有科学研究和技术服务业法人单位</w:t>
      </w:r>
      <w:r>
        <w:rPr>
          <w:rFonts w:hint="default" w:ascii="Times New Roman" w:hAnsi="Times New Roman" w:eastAsia="方正仿宋_GBK" w:cs="Times New Roman"/>
          <w:color w:val="auto"/>
          <w:sz w:val="32"/>
          <w:szCs w:val="32"/>
        </w:rPr>
        <w:t>1534</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1.80</w:t>
      </w:r>
      <w:r>
        <w:rPr>
          <w:rFonts w:hint="eastAsia" w:eastAsia="方正仿宋_GBK"/>
          <w:color w:val="auto"/>
          <w:sz w:val="32"/>
          <w:szCs w:val="32"/>
        </w:rPr>
        <w:t>万人。其中，企业法人单位</w:t>
      </w:r>
      <w:r>
        <w:rPr>
          <w:rFonts w:hint="default" w:ascii="Times New Roman" w:hAnsi="Times New Roman" w:eastAsia="方正仿宋_GBK" w:cs="Times New Roman"/>
          <w:color w:val="auto"/>
          <w:sz w:val="32"/>
          <w:szCs w:val="32"/>
        </w:rPr>
        <w:t>1506</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1.39</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4.5</w:t>
      </w:r>
      <w:r>
        <w:rPr>
          <w:rFonts w:hint="eastAsia" w:eastAsia="方正仿宋_GBK"/>
          <w:color w:val="auto"/>
          <w:sz w:val="32"/>
          <w:szCs w:val="32"/>
        </w:rPr>
        <w:t>倍和</w:t>
      </w:r>
      <w:r>
        <w:rPr>
          <w:rFonts w:hint="default" w:ascii="Times New Roman" w:hAnsi="Times New Roman" w:eastAsia="方正仿宋_GBK" w:cs="Times New Roman"/>
          <w:color w:val="auto"/>
          <w:sz w:val="32"/>
          <w:szCs w:val="32"/>
        </w:rPr>
        <w:t>144.8%</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5-1</w:t>
      </w:r>
      <w:r>
        <w:rPr>
          <w:rFonts w:hint="eastAsia" w:eastAsia="方正仿宋_GBK"/>
          <w:color w:val="auto"/>
          <w:sz w:val="32"/>
          <w:szCs w:val="32"/>
        </w:rPr>
        <w:t>）。</w:t>
      </w:r>
    </w:p>
    <w:p>
      <w:pPr>
        <w:snapToGrid w:val="0"/>
        <w:spacing w:line="600" w:lineRule="exact"/>
        <w:jc w:val="center"/>
        <w:rPr>
          <w:rFonts w:ascii="方正小标宋_GBK" w:hAnsi="宋体" w:eastAsia="方正小标宋_GBK" w:cs="宋体"/>
          <w:bCs/>
          <w:color w:val="auto"/>
          <w:w w:val="95"/>
          <w:kern w:val="0"/>
          <w:sz w:val="28"/>
          <w:szCs w:val="28"/>
        </w:rPr>
      </w:pPr>
      <w:r>
        <w:rPr>
          <w:rFonts w:hint="eastAsia" w:ascii="方正小标宋_GBK" w:hAnsi="宋体" w:eastAsia="方正小标宋_GBK" w:cs="宋体"/>
          <w:bCs/>
          <w:color w:val="auto"/>
          <w:w w:val="95"/>
          <w:kern w:val="0"/>
          <w:sz w:val="28"/>
          <w:szCs w:val="28"/>
        </w:rPr>
        <w:t>表</w:t>
      </w:r>
      <w:r>
        <w:rPr>
          <w:rFonts w:ascii="方正小标宋_GBK" w:hAnsi="宋体" w:eastAsia="方正小标宋_GBK" w:cs="宋体"/>
          <w:bCs/>
          <w:color w:val="auto"/>
          <w:w w:val="95"/>
          <w:kern w:val="0"/>
          <w:sz w:val="28"/>
          <w:szCs w:val="28"/>
        </w:rPr>
        <w:t>5-1</w:t>
      </w:r>
      <w:r>
        <w:rPr>
          <w:rFonts w:hint="eastAsia" w:ascii="方正小标宋_GBK" w:hAnsi="宋体" w:eastAsia="方正小标宋_GBK" w:cs="宋体"/>
          <w:bCs/>
          <w:color w:val="auto"/>
          <w:w w:val="95"/>
          <w:kern w:val="0"/>
          <w:sz w:val="28"/>
          <w:szCs w:val="28"/>
        </w:rPr>
        <w:t>　按行业大类分组的科学研究和技术服务业企业法人单位和从业人员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22"/>
        <w:gridCol w:w="2934"/>
        <w:gridCol w:w="25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47" w:hRule="atLeast"/>
          <w:jc w:val="center"/>
        </w:trPr>
        <w:tc>
          <w:tcPr>
            <w:tcW w:w="2722"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2934"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（个）</w:t>
            </w:r>
          </w:p>
        </w:tc>
        <w:tc>
          <w:tcPr>
            <w:tcW w:w="2536" w:type="dxa"/>
            <w:tcBorders>
              <w:top w:val="single" w:color="auto" w:sz="12" w:space="0"/>
              <w:left w:val="single" w:color="auto" w:sz="4" w:space="0"/>
              <w:bottom w:val="single" w:color="auto" w:sz="4" w:space="0"/>
              <w:right w:val="nil"/>
            </w:tcBorders>
            <w:noWrap/>
            <w:vAlign w:val="center"/>
          </w:tcPr>
          <w:p>
            <w:pPr>
              <w:widowControl/>
              <w:spacing w:line="240" w:lineRule="atLeas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atLeast"/>
              <w:ind w:left="57" w:right="57"/>
              <w:jc w:val="center"/>
              <w:rPr>
                <w:rFonts w:ascii="黑体" w:hAnsi="黑体" w:eastAsia="黑体" w:cs="宋体"/>
                <w:color w:val="auto"/>
                <w:kern w:val="0"/>
                <w:sz w:val="18"/>
                <w:szCs w:val="18"/>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722"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2934"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1506</w:t>
            </w:r>
          </w:p>
        </w:tc>
        <w:tc>
          <w:tcPr>
            <w:tcW w:w="2536"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13911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72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研究和试</w:t>
            </w:r>
            <w:r>
              <w:rPr>
                <w:rFonts w:ascii="宋体" w:hAnsi="宋体" w:cs="宋体"/>
                <w:color w:val="auto"/>
                <w:kern w:val="0"/>
                <w:szCs w:val="21"/>
              </w:rPr>
              <w:t>验发展</w:t>
            </w:r>
          </w:p>
        </w:tc>
        <w:tc>
          <w:tcPr>
            <w:tcW w:w="2934"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200</w:t>
            </w:r>
          </w:p>
        </w:tc>
        <w:tc>
          <w:tcPr>
            <w:tcW w:w="2536"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1038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722"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专业技术服务业</w:t>
            </w:r>
          </w:p>
        </w:tc>
        <w:tc>
          <w:tcPr>
            <w:tcW w:w="2934"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976</w:t>
            </w:r>
          </w:p>
        </w:tc>
        <w:tc>
          <w:tcPr>
            <w:tcW w:w="2536"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11539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722" w:type="dxa"/>
            <w:tcBorders>
              <w:top w:val="nil"/>
              <w:left w:val="nil"/>
              <w:bottom w:val="single" w:color="auto" w:sz="12" w:space="0"/>
              <w:right w:val="single" w:color="auto" w:sz="4" w:space="0"/>
            </w:tcBorders>
            <w:noWrap/>
            <w:vAlign w:val="center"/>
          </w:tcPr>
          <w:p>
            <w:pPr>
              <w:rPr>
                <w:color w:val="auto"/>
              </w:rPr>
            </w:pPr>
            <w:r>
              <w:rPr>
                <w:rFonts w:hint="eastAsia" w:ascii="宋体" w:hAnsi="宋体" w:cs="宋体"/>
                <w:color w:val="auto"/>
                <w:kern w:val="0"/>
                <w:szCs w:val="21"/>
              </w:rPr>
              <w:t>　科技推广和应用服务业</w:t>
            </w:r>
          </w:p>
        </w:tc>
        <w:tc>
          <w:tcPr>
            <w:tcW w:w="2934"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330</w:t>
            </w:r>
          </w:p>
        </w:tc>
        <w:tc>
          <w:tcPr>
            <w:tcW w:w="2536"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1334</w:t>
            </w:r>
          </w:p>
        </w:tc>
      </w:tr>
    </w:tbl>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在科学研究和技术服务业企业法人单位中，内资企业占</w:t>
      </w:r>
      <w:r>
        <w:rPr>
          <w:rFonts w:hint="default" w:ascii="Times New Roman" w:hAnsi="Times New Roman" w:eastAsia="方正仿宋_GBK" w:cs="Times New Roman"/>
          <w:color w:val="auto"/>
          <w:sz w:val="32"/>
          <w:szCs w:val="32"/>
        </w:rPr>
        <w:t>99.7%</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0.1%</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0.2%</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在科学研究和技术服务业企业法人单位从业人员中，内资企业占</w:t>
      </w:r>
      <w:r>
        <w:rPr>
          <w:rFonts w:hint="default" w:ascii="Times New Roman" w:hAnsi="Times New Roman" w:eastAsia="方正仿宋_GBK" w:cs="Times New Roman"/>
          <w:color w:val="auto"/>
          <w:sz w:val="32"/>
          <w:szCs w:val="32"/>
        </w:rPr>
        <w:t>99.81%</w:t>
      </w:r>
      <w:r>
        <w:rPr>
          <w:rFonts w:hint="eastAsia" w:eastAsia="方正仿宋_GBK"/>
          <w:color w:val="auto"/>
          <w:sz w:val="32"/>
          <w:szCs w:val="32"/>
        </w:rPr>
        <w:t>，港、澳、台商投资企业占</w:t>
      </w:r>
      <w:r>
        <w:rPr>
          <w:rFonts w:hint="default" w:ascii="Times New Roman" w:hAnsi="Times New Roman" w:eastAsia="方正仿宋_GBK" w:cs="Times New Roman"/>
          <w:color w:val="auto"/>
          <w:sz w:val="32"/>
          <w:szCs w:val="32"/>
        </w:rPr>
        <w:t>0.01%</w:t>
      </w:r>
      <w:r>
        <w:rPr>
          <w:rFonts w:hint="eastAsia" w:eastAsia="方正仿宋_GBK"/>
          <w:color w:val="auto"/>
          <w:sz w:val="32"/>
          <w:szCs w:val="32"/>
        </w:rPr>
        <w:t>，外商投资企业占</w:t>
      </w:r>
      <w:r>
        <w:rPr>
          <w:rFonts w:hint="default" w:ascii="Times New Roman" w:hAnsi="Times New Roman" w:eastAsia="方正仿宋_GBK" w:cs="Times New Roman"/>
          <w:color w:val="auto"/>
          <w:sz w:val="32"/>
          <w:szCs w:val="32"/>
        </w:rPr>
        <w:t>0.18%</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5-2</w:t>
      </w:r>
      <w:r>
        <w:rPr>
          <w:rFonts w:hint="eastAsia" w:eastAsia="方正仿宋_GBK"/>
          <w:color w:val="auto"/>
          <w:sz w:val="32"/>
          <w:szCs w:val="32"/>
        </w:rPr>
        <w:t>）。</w:t>
      </w:r>
    </w:p>
    <w:p>
      <w:pPr>
        <w:snapToGrid w:val="0"/>
        <w:spacing w:line="500" w:lineRule="exact"/>
        <w:jc w:val="center"/>
        <w:rPr>
          <w:rFonts w:ascii="方正小标宋_GBK" w:hAnsi="宋体" w:eastAsia="方正小标宋_GBK" w:cs="宋体"/>
          <w:bCs/>
          <w:color w:val="auto"/>
          <w:spacing w:val="-6"/>
          <w:w w:val="95"/>
          <w:kern w:val="0"/>
          <w:sz w:val="28"/>
          <w:szCs w:val="28"/>
        </w:rPr>
      </w:pPr>
      <w:r>
        <w:rPr>
          <w:rFonts w:hint="eastAsia" w:ascii="方正小标宋_GBK" w:hAnsi="宋体" w:eastAsia="方正小标宋_GBK" w:cs="宋体"/>
          <w:bCs/>
          <w:color w:val="auto"/>
          <w:spacing w:val="-6"/>
          <w:w w:val="95"/>
          <w:kern w:val="0"/>
          <w:sz w:val="28"/>
          <w:szCs w:val="28"/>
        </w:rPr>
        <w:t>表</w:t>
      </w:r>
      <w:r>
        <w:rPr>
          <w:rFonts w:ascii="方正小标宋_GBK" w:hAnsi="宋体" w:eastAsia="方正小标宋_GBK" w:cs="宋体"/>
          <w:bCs/>
          <w:color w:val="auto"/>
          <w:spacing w:val="-6"/>
          <w:w w:val="95"/>
          <w:kern w:val="0"/>
          <w:sz w:val="28"/>
          <w:szCs w:val="28"/>
        </w:rPr>
        <w:t>5-2</w:t>
      </w:r>
      <w:r>
        <w:rPr>
          <w:rFonts w:hint="eastAsia" w:ascii="方正小标宋_GBK" w:hAnsi="宋体" w:eastAsia="方正小标宋_GBK" w:cs="宋体"/>
          <w:bCs/>
          <w:color w:val="auto"/>
          <w:spacing w:val="-6"/>
          <w:w w:val="95"/>
          <w:kern w:val="0"/>
          <w:sz w:val="28"/>
          <w:szCs w:val="28"/>
        </w:rPr>
        <w:t>　按登记注册类型分组的科学研究和技术服务业企业法人单位和从业人员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153"/>
        <w:gridCol w:w="2825"/>
        <w:gridCol w:w="22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3153" w:type="dxa"/>
            <w:tcBorders>
              <w:top w:val="single" w:color="auto" w:sz="12" w:space="0"/>
              <w:left w:val="nil"/>
              <w:bottom w:val="single" w:color="auto" w:sz="4" w:space="0"/>
              <w:right w:val="single" w:color="auto" w:sz="4" w:space="0"/>
            </w:tcBorders>
            <w:noWrap/>
            <w:vAlign w:val="center"/>
          </w:tcPr>
          <w:p>
            <w:pPr>
              <w:widowControl/>
              <w:spacing w:line="240" w:lineRule="exact"/>
              <w:ind w:left="57" w:right="57"/>
              <w:jc w:val="center"/>
              <w:rPr>
                <w:rFonts w:ascii="宋体" w:hAnsi="宋体" w:cs="宋体"/>
                <w:b/>
                <w:color w:val="auto"/>
                <w:kern w:val="0"/>
                <w:sz w:val="18"/>
                <w:szCs w:val="18"/>
              </w:rPr>
            </w:pPr>
            <w:r>
              <w:rPr>
                <w:b/>
                <w:color w:val="auto"/>
                <w:kern w:val="0"/>
                <w:szCs w:val="21"/>
              </w:rPr>
              <w:t> </w:t>
            </w:r>
          </w:p>
        </w:tc>
        <w:tc>
          <w:tcPr>
            <w:tcW w:w="2825"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exact"/>
              <w:ind w:left="57" w:right="57"/>
              <w:jc w:val="center"/>
              <w:rPr>
                <w:rFonts w:ascii="黑体" w:hAnsi="黑体" w:eastAsia="黑体" w:cs="宋体"/>
                <w:color w:val="auto"/>
                <w:kern w:val="0"/>
                <w:sz w:val="18"/>
                <w:szCs w:val="18"/>
              </w:rPr>
            </w:pPr>
            <w:r>
              <w:rPr>
                <w:rFonts w:ascii="黑体" w:hAnsi="黑体" w:eastAsia="黑体"/>
                <w:color w:val="auto"/>
                <w:kern w:val="0"/>
                <w:szCs w:val="21"/>
              </w:rPr>
              <w:t>(</w:t>
            </w:r>
            <w:r>
              <w:rPr>
                <w:rFonts w:hint="eastAsia" w:ascii="黑体" w:hAnsi="黑体" w:eastAsia="黑体" w:cs="宋体"/>
                <w:color w:val="auto"/>
                <w:kern w:val="0"/>
                <w:szCs w:val="21"/>
              </w:rPr>
              <w:t>个</w:t>
            </w:r>
            <w:r>
              <w:rPr>
                <w:rFonts w:ascii="黑体" w:hAnsi="黑体" w:eastAsia="黑体"/>
                <w:color w:val="auto"/>
                <w:kern w:val="0"/>
                <w:szCs w:val="21"/>
              </w:rPr>
              <w:t>)</w:t>
            </w:r>
          </w:p>
        </w:tc>
        <w:tc>
          <w:tcPr>
            <w:tcW w:w="2259"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exact"/>
              <w:ind w:left="57" w:right="57"/>
              <w:jc w:val="center"/>
              <w:rPr>
                <w:rFonts w:ascii="黑体" w:hAnsi="黑体" w:eastAsia="黑体" w:cs="宋体"/>
                <w:color w:val="auto"/>
                <w:kern w:val="0"/>
                <w:sz w:val="18"/>
                <w:szCs w:val="18"/>
              </w:rPr>
            </w:pPr>
            <w:r>
              <w:rPr>
                <w:rFonts w:ascii="黑体" w:hAnsi="黑体" w:eastAsia="黑体"/>
                <w:color w:val="auto"/>
                <w:kern w:val="0"/>
                <w:szCs w:val="21"/>
              </w:rPr>
              <w:t>(</w:t>
            </w:r>
            <w:r>
              <w:rPr>
                <w:rFonts w:hint="eastAsia" w:ascii="黑体" w:hAnsi="黑体" w:eastAsia="黑体" w:cs="宋体"/>
                <w:color w:val="auto"/>
                <w:kern w:val="0"/>
                <w:szCs w:val="21"/>
              </w:rPr>
              <w:t>人</w:t>
            </w:r>
            <w:r>
              <w:rPr>
                <w:rFonts w:ascii="黑体" w:hAnsi="黑体" w:eastAsia="黑体"/>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3153" w:type="dxa"/>
            <w:tcBorders>
              <w:top w:val="single" w:color="auto" w:sz="4" w:space="0"/>
              <w:left w:val="nil"/>
              <w:bottom w:val="nil"/>
              <w:right w:val="single" w:color="auto" w:sz="4" w:space="0"/>
            </w:tcBorders>
            <w:noWrap/>
            <w:vAlign w:val="center"/>
          </w:tcPr>
          <w:p>
            <w:pPr>
              <w:widowControl/>
              <w:spacing w:line="240" w:lineRule="exac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825" w:type="dxa"/>
            <w:tcBorders>
              <w:top w:val="single" w:color="auto" w:sz="4" w:space="0"/>
              <w:left w:val="single" w:color="auto" w:sz="4" w:space="0"/>
              <w:bottom w:val="nil"/>
              <w:right w:val="single" w:color="auto" w:sz="4" w:space="0"/>
            </w:tcBorders>
            <w:noWrap/>
            <w:vAlign w:val="center"/>
          </w:tcPr>
          <w:p>
            <w:pPr>
              <w:widowControl/>
              <w:spacing w:line="240" w:lineRule="exact"/>
              <w:ind w:left="57" w:right="73" w:rightChars="35"/>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1506</w:t>
            </w:r>
          </w:p>
        </w:tc>
        <w:tc>
          <w:tcPr>
            <w:tcW w:w="2259" w:type="dxa"/>
            <w:tcBorders>
              <w:top w:val="single" w:color="auto" w:sz="4" w:space="0"/>
              <w:left w:val="single" w:color="auto" w:sz="4" w:space="0"/>
              <w:bottom w:val="nil"/>
              <w:right w:val="nil"/>
            </w:tcBorders>
            <w:noWrap/>
            <w:vAlign w:val="center"/>
          </w:tcPr>
          <w:p>
            <w:pPr>
              <w:widowControl/>
              <w:spacing w:line="240" w:lineRule="exact"/>
              <w:ind w:left="57" w:right="153" w:rightChars="73"/>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13911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825" w:type="dxa"/>
            <w:tcBorders>
              <w:top w:val="nil"/>
              <w:left w:val="single" w:color="auto" w:sz="4" w:space="0"/>
              <w:bottom w:val="nil"/>
              <w:right w:val="single" w:color="auto" w:sz="4" w:space="0"/>
            </w:tcBorders>
            <w:noWrap/>
            <w:vAlign w:val="center"/>
          </w:tcPr>
          <w:p>
            <w:pPr>
              <w:widowControl/>
              <w:spacing w:line="240" w:lineRule="exact"/>
              <w:ind w:right="73" w:rightChars="35"/>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1502</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13884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国有企业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集体企业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股份合作企业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联营企业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有限责任公司</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72</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4161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股份有限公司</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私营企业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1414</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color w:val="auto"/>
                <w:kern w:val="0"/>
                <w:sz w:val="18"/>
                <w:szCs w:val="18"/>
              </w:rPr>
            </w:pPr>
            <w:r>
              <w:rPr>
                <w:rFonts w:hint="eastAsia" w:ascii="宋体" w:hAnsi="宋体" w:cs="宋体"/>
                <w:color w:val="auto"/>
                <w:kern w:val="0"/>
                <w:szCs w:val="21"/>
              </w:rPr>
              <w:t>　其他企业</w:t>
            </w:r>
          </w:p>
        </w:tc>
        <w:tc>
          <w:tcPr>
            <w:tcW w:w="2825" w:type="dxa"/>
            <w:tcBorders>
              <w:top w:val="nil"/>
              <w:left w:val="single" w:color="auto" w:sz="4" w:space="0"/>
              <w:bottom w:val="nil"/>
              <w:right w:val="single" w:color="auto" w:sz="4" w:space="0"/>
            </w:tcBorders>
            <w:noWrap/>
            <w:vAlign w:val="center"/>
          </w:tcPr>
          <w:p>
            <w:pPr>
              <w:spacing w:line="240" w:lineRule="exact"/>
              <w:ind w:right="73" w:rightChars="35"/>
              <w:jc w:val="right"/>
              <w:rPr>
                <w:rFonts w:hint="default" w:ascii="Times New Roman" w:hAnsi="Times New Roman" w:cs="Times New Roman"/>
                <w:color w:val="auto"/>
                <w:sz w:val="21"/>
                <w:szCs w:val="21"/>
              </w:rPr>
            </w:pP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color w:val="auto"/>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nil"/>
              <w:right w:val="single" w:color="auto" w:sz="4" w:space="0"/>
            </w:tcBorders>
            <w:noWrap/>
            <w:vAlign w:val="center"/>
          </w:tcPr>
          <w:p>
            <w:pPr>
              <w:widowControl/>
              <w:spacing w:line="240" w:lineRule="exac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825" w:type="dxa"/>
            <w:tcBorders>
              <w:top w:val="nil"/>
              <w:left w:val="single" w:color="auto" w:sz="4" w:space="0"/>
              <w:bottom w:val="nil"/>
              <w:right w:val="single" w:color="auto" w:sz="4" w:space="0"/>
            </w:tcBorders>
            <w:noWrap/>
            <w:vAlign w:val="center"/>
          </w:tcPr>
          <w:p>
            <w:pPr>
              <w:widowControl/>
              <w:spacing w:line="240" w:lineRule="exact"/>
              <w:ind w:right="73" w:rightChars="35"/>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1</w:t>
            </w:r>
          </w:p>
        </w:tc>
        <w:tc>
          <w:tcPr>
            <w:tcW w:w="2259" w:type="dxa"/>
            <w:tcBorders>
              <w:top w:val="nil"/>
              <w:left w:val="single" w:color="auto" w:sz="4" w:space="0"/>
              <w:bottom w:val="nil"/>
              <w:right w:val="nil"/>
            </w:tcBorders>
            <w:noWrap/>
            <w:vAlign w:val="center"/>
          </w:tcPr>
          <w:p>
            <w:pPr>
              <w:spacing w:line="240" w:lineRule="exact"/>
              <w:ind w:right="153" w:rightChars="73"/>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7" w:hRule="atLeast"/>
          <w:jc w:val="center"/>
        </w:trPr>
        <w:tc>
          <w:tcPr>
            <w:tcW w:w="3153" w:type="dxa"/>
            <w:tcBorders>
              <w:top w:val="nil"/>
              <w:left w:val="nil"/>
              <w:bottom w:val="single" w:color="auto" w:sz="12" w:space="0"/>
              <w:right w:val="single" w:color="auto" w:sz="4" w:space="0"/>
            </w:tcBorders>
            <w:noWrap/>
            <w:vAlign w:val="center"/>
          </w:tcPr>
          <w:p>
            <w:pPr>
              <w:widowControl/>
              <w:spacing w:line="240" w:lineRule="exact"/>
              <w:ind w:left="57" w:right="57"/>
              <w:rPr>
                <w:rFonts w:ascii="宋体" w:hAnsi="宋体" w:cs="宋体"/>
                <w:b/>
                <w:color w:val="auto"/>
                <w:kern w:val="0"/>
                <w:sz w:val="18"/>
                <w:szCs w:val="18"/>
              </w:rPr>
            </w:pPr>
            <w:r>
              <w:rPr>
                <w:rFonts w:hint="eastAsia" w:ascii="宋体" w:hAnsi="宋体" w:cs="宋体"/>
                <w:b/>
                <w:color w:val="auto"/>
                <w:kern w:val="0"/>
                <w:szCs w:val="21"/>
              </w:rPr>
              <w:t>外商投资企业</w:t>
            </w:r>
          </w:p>
        </w:tc>
        <w:tc>
          <w:tcPr>
            <w:tcW w:w="2825" w:type="dxa"/>
            <w:tcBorders>
              <w:top w:val="nil"/>
              <w:left w:val="single" w:color="auto" w:sz="4" w:space="0"/>
              <w:bottom w:val="single" w:color="auto" w:sz="12" w:space="0"/>
              <w:right w:val="single" w:color="auto" w:sz="4" w:space="0"/>
            </w:tcBorders>
            <w:noWrap/>
            <w:vAlign w:val="center"/>
          </w:tcPr>
          <w:p>
            <w:pPr>
              <w:spacing w:line="240" w:lineRule="exact"/>
              <w:ind w:right="73" w:rightChars="35"/>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3</w:t>
            </w:r>
          </w:p>
        </w:tc>
        <w:tc>
          <w:tcPr>
            <w:tcW w:w="2259" w:type="dxa"/>
            <w:tcBorders>
              <w:top w:val="nil"/>
              <w:left w:val="single" w:color="auto" w:sz="4" w:space="0"/>
              <w:bottom w:val="single" w:color="auto" w:sz="12" w:space="0"/>
              <w:right w:val="nil"/>
            </w:tcBorders>
            <w:noWrap/>
            <w:vAlign w:val="center"/>
          </w:tcPr>
          <w:p>
            <w:pPr>
              <w:spacing w:line="240" w:lineRule="exact"/>
              <w:ind w:right="153" w:rightChars="73"/>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25</w:t>
            </w: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年末，科学研究和技术服务业企业法人单位资产总计</w:t>
      </w:r>
      <w:r>
        <w:rPr>
          <w:rFonts w:hint="default" w:ascii="Times New Roman" w:hAnsi="Times New Roman" w:eastAsia="方正仿宋_GBK" w:cs="Times New Roman"/>
          <w:color w:val="auto"/>
          <w:sz w:val="32"/>
          <w:szCs w:val="32"/>
        </w:rPr>
        <w:t>108.35</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69.8%</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47.49</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37.63</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5-3</w:t>
      </w:r>
      <w:r>
        <w:rPr>
          <w:rFonts w:hint="eastAsia" w:eastAsia="方正仿宋_GBK"/>
          <w:color w:val="auto"/>
          <w:sz w:val="32"/>
          <w:szCs w:val="32"/>
        </w:rPr>
        <w:t>）。</w:t>
      </w:r>
    </w:p>
    <w:p>
      <w:pPr>
        <w:snapToGrid w:val="0"/>
        <w:spacing w:line="500" w:lineRule="exact"/>
        <w:jc w:val="center"/>
        <w:rPr>
          <w:rFonts w:ascii="方正小标宋_GBK" w:hAnsi="宋体" w:eastAsia="方正小标宋_GBK" w:cs="宋体"/>
          <w:bCs/>
          <w:color w:val="auto"/>
          <w:spacing w:val="-6"/>
          <w:w w:val="95"/>
          <w:kern w:val="0"/>
          <w:sz w:val="28"/>
          <w:szCs w:val="28"/>
        </w:rPr>
      </w:pPr>
      <w:r>
        <w:rPr>
          <w:rFonts w:hint="eastAsia" w:ascii="方正小标宋_GBK" w:hAnsi="宋体" w:eastAsia="方正小标宋_GBK" w:cs="宋体"/>
          <w:bCs/>
          <w:color w:val="auto"/>
          <w:spacing w:val="-6"/>
          <w:w w:val="95"/>
          <w:kern w:val="0"/>
          <w:sz w:val="28"/>
          <w:szCs w:val="28"/>
        </w:rPr>
        <w:t>表</w:t>
      </w:r>
      <w:r>
        <w:rPr>
          <w:rFonts w:ascii="方正小标宋_GBK" w:hAnsi="宋体" w:eastAsia="方正小标宋_GBK" w:cs="宋体"/>
          <w:bCs/>
          <w:color w:val="auto"/>
          <w:spacing w:val="-6"/>
          <w:w w:val="95"/>
          <w:kern w:val="0"/>
          <w:sz w:val="28"/>
          <w:szCs w:val="28"/>
        </w:rPr>
        <w:t>5-3</w:t>
      </w:r>
      <w:r>
        <w:rPr>
          <w:rFonts w:hint="eastAsia" w:ascii="方正小标宋_GBK" w:hAnsi="宋体" w:eastAsia="方正小标宋_GBK" w:cs="宋体"/>
          <w:bCs/>
          <w:color w:val="auto"/>
          <w:spacing w:val="-6"/>
          <w:w w:val="95"/>
          <w:kern w:val="0"/>
          <w:sz w:val="28"/>
          <w:szCs w:val="28"/>
        </w:rPr>
        <w:t>　按行业大类分组的科学研究和技术服务业企业法人单位主要经济</w:t>
      </w:r>
      <w:r>
        <w:rPr>
          <w:rFonts w:ascii="方正小标宋_GBK" w:hAnsi="宋体" w:eastAsia="方正小标宋_GBK" w:cs="宋体"/>
          <w:bCs/>
          <w:color w:val="auto"/>
          <w:spacing w:val="-6"/>
          <w:w w:val="95"/>
          <w:kern w:val="0"/>
          <w:sz w:val="28"/>
          <w:szCs w:val="28"/>
        </w:rPr>
        <w:t>指标</w:t>
      </w:r>
    </w:p>
    <w:tbl>
      <w:tblPr>
        <w:tblStyle w:val="4"/>
        <w:tblW w:w="831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75"/>
        <w:gridCol w:w="1540"/>
        <w:gridCol w:w="1540"/>
        <w:gridCol w:w="1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75" w:type="dxa"/>
            <w:tcBorders>
              <w:top w:val="single" w:color="auto" w:sz="12" w:space="0"/>
              <w:left w:val="nil"/>
              <w:bottom w:val="single" w:color="auto" w:sz="4" w:space="0"/>
              <w:right w:val="single" w:color="auto" w:sz="4" w:space="0"/>
            </w:tcBorders>
            <w:noWrap/>
            <w:vAlign w:val="center"/>
          </w:tcPr>
          <w:p>
            <w:pPr>
              <w:widowControl/>
              <w:spacing w:line="240" w:lineRule="atLeast"/>
              <w:ind w:right="57"/>
              <w:rPr>
                <w:rFonts w:ascii="宋体" w:hAnsi="宋体" w:cs="宋体"/>
                <w:b/>
                <w:color w:val="auto"/>
                <w:kern w:val="0"/>
                <w:sz w:val="18"/>
                <w:szCs w:val="18"/>
              </w:rPr>
            </w:pP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资产</w:t>
            </w:r>
            <w:r>
              <w:rPr>
                <w:rFonts w:ascii="黑体" w:hAnsi="黑体" w:eastAsia="黑体" w:cs="宋体"/>
                <w:color w:val="auto"/>
                <w:kern w:val="0"/>
                <w:szCs w:val="21"/>
              </w:rPr>
              <w:t>总计</w:t>
            </w:r>
          </w:p>
          <w:p>
            <w:pPr>
              <w:widowControl/>
              <w:spacing w:line="240" w:lineRule="exac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540"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负债合计</w:t>
            </w:r>
          </w:p>
          <w:p>
            <w:pPr>
              <w:widowControl/>
              <w:spacing w:line="240" w:lineRule="exac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亿元</w:t>
            </w:r>
            <w:r>
              <w:rPr>
                <w:rFonts w:ascii="黑体" w:hAnsi="黑体" w:eastAsia="黑体" w:cs="宋体"/>
                <w:color w:val="auto"/>
                <w:kern w:val="0"/>
                <w:szCs w:val="21"/>
              </w:rPr>
              <w:t>）</w:t>
            </w:r>
          </w:p>
        </w:tc>
        <w:tc>
          <w:tcPr>
            <w:tcW w:w="1455"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营业收入</w:t>
            </w:r>
          </w:p>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3775"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b/>
                <w:bCs/>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108.35 </w:t>
            </w:r>
          </w:p>
        </w:tc>
        <w:tc>
          <w:tcPr>
            <w:tcW w:w="1540"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47.49 </w:t>
            </w:r>
          </w:p>
        </w:tc>
        <w:tc>
          <w:tcPr>
            <w:tcW w:w="1455"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37.63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3775"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研究和</w:t>
            </w:r>
            <w:r>
              <w:rPr>
                <w:rFonts w:ascii="宋体" w:hAnsi="宋体" w:cs="宋体"/>
                <w:color w:val="auto"/>
                <w:kern w:val="0"/>
                <w:szCs w:val="21"/>
              </w:rPr>
              <w:t>实验发展</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10.67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3.39 </w:t>
            </w:r>
          </w:p>
        </w:tc>
        <w:tc>
          <w:tcPr>
            <w:tcW w:w="1455"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2.81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3775"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专业技术服务业</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86.30 </w:t>
            </w:r>
          </w:p>
        </w:tc>
        <w:tc>
          <w:tcPr>
            <w:tcW w:w="1540"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41.45 </w:t>
            </w:r>
          </w:p>
        </w:tc>
        <w:tc>
          <w:tcPr>
            <w:tcW w:w="1455"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31.89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3775" w:type="dxa"/>
            <w:tcBorders>
              <w:top w:val="nil"/>
              <w:left w:val="nil"/>
              <w:bottom w:val="single" w:color="auto" w:sz="12" w:space="0"/>
              <w:right w:val="single" w:color="auto" w:sz="4" w:space="0"/>
            </w:tcBorders>
            <w:noWrap/>
            <w:vAlign w:val="center"/>
          </w:tcPr>
          <w:p>
            <w:pPr>
              <w:rPr>
                <w:color w:val="auto"/>
              </w:rPr>
            </w:pPr>
            <w:r>
              <w:rPr>
                <w:rFonts w:hint="eastAsia" w:ascii="宋体" w:hAnsi="宋体" w:cs="宋体"/>
                <w:color w:val="auto"/>
                <w:kern w:val="0"/>
                <w:szCs w:val="21"/>
              </w:rPr>
              <w:t>　科技推广和应用服务业</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11.38 </w:t>
            </w:r>
          </w:p>
        </w:tc>
        <w:tc>
          <w:tcPr>
            <w:tcW w:w="1540"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2.64 </w:t>
            </w:r>
          </w:p>
        </w:tc>
        <w:tc>
          <w:tcPr>
            <w:tcW w:w="1455"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2.93 </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二、水利、环境和公共设施管理业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年末，全区共有水利、环境和公共设施管理业法人单位</w:t>
      </w:r>
      <w:r>
        <w:rPr>
          <w:rFonts w:hint="default" w:ascii="Times New Roman" w:hAnsi="Times New Roman" w:eastAsia="方正仿宋_GBK" w:cs="Times New Roman"/>
          <w:color w:val="auto"/>
          <w:sz w:val="32"/>
          <w:szCs w:val="32"/>
        </w:rPr>
        <w:t>180</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0.68</w:t>
      </w:r>
      <w:r>
        <w:rPr>
          <w:rFonts w:hint="eastAsia" w:eastAsia="方正仿宋_GBK"/>
          <w:color w:val="auto"/>
          <w:sz w:val="32"/>
          <w:szCs w:val="32"/>
        </w:rPr>
        <w:t>万人；其中，企业法人单位</w:t>
      </w:r>
      <w:r>
        <w:rPr>
          <w:rFonts w:hint="default" w:ascii="Times New Roman" w:hAnsi="Times New Roman" w:eastAsia="方正仿宋_GBK" w:cs="Times New Roman"/>
          <w:color w:val="auto"/>
          <w:sz w:val="32"/>
          <w:szCs w:val="32"/>
        </w:rPr>
        <w:t>168</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0.63</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150.7%</w:t>
      </w:r>
      <w:r>
        <w:rPr>
          <w:rFonts w:hint="eastAsia" w:ascii="方正仿宋_GBK" w:hAnsi="方正仿宋_GBK" w:eastAsia="方正仿宋_GBK" w:cs="方正仿宋_GBK"/>
          <w:color w:val="auto"/>
          <w:sz w:val="32"/>
          <w:szCs w:val="32"/>
        </w:rPr>
        <w:t>和</w:t>
      </w:r>
      <w:r>
        <w:rPr>
          <w:rFonts w:hint="default" w:ascii="Times New Roman" w:hAnsi="Times New Roman" w:eastAsia="方正仿宋_GBK" w:cs="Times New Roman"/>
          <w:color w:val="auto"/>
          <w:sz w:val="32"/>
          <w:szCs w:val="32"/>
        </w:rPr>
        <w:t>306.1%</w:t>
      </w:r>
      <w:r>
        <w:rPr>
          <w:rFonts w:hint="eastAsia" w:eastAsia="方正仿宋_GBK"/>
          <w:color w:val="auto"/>
          <w:sz w:val="32"/>
          <w:szCs w:val="32"/>
        </w:rPr>
        <w:t>。</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w:t>
      </w:r>
      <w:r>
        <w:rPr>
          <w:rFonts w:ascii="方正楷体_GBK" w:eastAsia="方正楷体_GBK"/>
          <w:color w:val="auto"/>
          <w:sz w:val="32"/>
          <w:szCs w:val="32"/>
        </w:rPr>
        <w:t>指标</w:t>
      </w:r>
      <w:r>
        <w:rPr>
          <w:rFonts w:hint="eastAsia" w:ascii="方正楷体_GBK" w:eastAsia="方正楷体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年末，水利、环境和公共设施管理业法人单位资产总计</w:t>
      </w:r>
      <w:r>
        <w:rPr>
          <w:rFonts w:hint="default" w:ascii="Times New Roman" w:hAnsi="Times New Roman" w:eastAsia="方正仿宋_GBK" w:cs="Times New Roman"/>
          <w:color w:val="auto"/>
          <w:sz w:val="32"/>
          <w:szCs w:val="32"/>
        </w:rPr>
        <w:t>678.88</w:t>
      </w:r>
      <w:r>
        <w:rPr>
          <w:rFonts w:hint="eastAsia" w:eastAsia="方正仿宋_GBK"/>
          <w:color w:val="auto"/>
          <w:sz w:val="32"/>
          <w:szCs w:val="32"/>
        </w:rPr>
        <w:t>亿元，负债合计</w:t>
      </w:r>
      <w:r>
        <w:rPr>
          <w:rFonts w:hint="eastAsia" w:ascii="Times New Roman" w:hAnsi="Times New Roman" w:eastAsia="方正仿宋_GBK" w:cs="Times New Roman"/>
          <w:color w:val="auto"/>
          <w:sz w:val="32"/>
          <w:szCs w:val="32"/>
        </w:rPr>
        <w:t>416.24</w:t>
      </w:r>
      <w:r>
        <w:rPr>
          <w:rFonts w:hint="eastAsia" w:eastAsia="方正仿宋_GBK"/>
          <w:color w:val="auto"/>
          <w:sz w:val="32"/>
          <w:szCs w:val="32"/>
        </w:rPr>
        <w:t>亿元。其中，企业法人单位年末资产</w:t>
      </w:r>
      <w:r>
        <w:rPr>
          <w:rFonts w:hint="default" w:ascii="Times New Roman" w:hAnsi="Times New Roman" w:eastAsia="方正仿宋_GBK" w:cs="Times New Roman"/>
          <w:color w:val="auto"/>
          <w:sz w:val="32"/>
          <w:szCs w:val="32"/>
        </w:rPr>
        <w:t>669.80</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5775.4%</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415.39</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33.86</w:t>
      </w:r>
      <w:r>
        <w:rPr>
          <w:rFonts w:hint="eastAsia" w:eastAsia="方正仿宋_GBK"/>
          <w:color w:val="auto"/>
          <w:sz w:val="32"/>
          <w:szCs w:val="32"/>
        </w:rPr>
        <w:t>亿元。</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三、居民服务、修理和其他服务业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（一）企业法人单位数和从业人员。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年末，全区共有居民服务、修理和其他服务业企业法人单位</w:t>
      </w:r>
      <w:r>
        <w:rPr>
          <w:rFonts w:hint="default" w:ascii="Times New Roman" w:hAnsi="Times New Roman" w:eastAsia="方正仿宋_GBK" w:cs="Times New Roman"/>
          <w:color w:val="auto"/>
          <w:sz w:val="32"/>
          <w:szCs w:val="32"/>
        </w:rPr>
        <w:t>1010</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0.75</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225.8%</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96.5%</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5-4</w:t>
      </w:r>
      <w:r>
        <w:rPr>
          <w:rFonts w:hint="eastAsia" w:eastAsia="方正仿宋_GBK"/>
          <w:color w:val="auto"/>
          <w:sz w:val="32"/>
          <w:szCs w:val="32"/>
        </w:rPr>
        <w:t>）。</w:t>
      </w:r>
    </w:p>
    <w:p>
      <w:pPr>
        <w:widowControl/>
        <w:spacing w:line="600" w:lineRule="exact"/>
        <w:rPr>
          <w:rFonts w:ascii="方正小标宋_GBK" w:hAnsi="宋体" w:eastAsia="方正小标宋_GBK" w:cs="宋体"/>
          <w:color w:val="auto"/>
          <w:w w:val="93"/>
          <w:kern w:val="0"/>
          <w:sz w:val="26"/>
          <w:szCs w:val="26"/>
        </w:rPr>
      </w:pPr>
      <w:r>
        <w:rPr>
          <w:rFonts w:hint="eastAsia" w:ascii="方正小标宋_GBK" w:hAnsi="宋体" w:eastAsia="方正小标宋_GBK" w:cs="宋体"/>
          <w:bCs/>
          <w:color w:val="auto"/>
          <w:w w:val="93"/>
          <w:kern w:val="0"/>
          <w:sz w:val="26"/>
          <w:szCs w:val="26"/>
        </w:rPr>
        <w:t>表</w:t>
      </w:r>
      <w:r>
        <w:rPr>
          <w:rFonts w:hint="eastAsia" w:ascii="方正小标宋_GBK" w:eastAsia="方正小标宋_GBK"/>
          <w:bCs/>
          <w:color w:val="auto"/>
          <w:w w:val="93"/>
          <w:kern w:val="0"/>
          <w:sz w:val="26"/>
          <w:szCs w:val="26"/>
        </w:rPr>
        <w:t>5-4</w:t>
      </w:r>
      <w:r>
        <w:rPr>
          <w:rFonts w:hint="eastAsia" w:ascii="方正小标宋_GBK" w:hAnsi="宋体" w:eastAsia="方正小标宋_GBK" w:cs="宋体"/>
          <w:bCs/>
          <w:color w:val="auto"/>
          <w:w w:val="93"/>
          <w:kern w:val="0"/>
          <w:sz w:val="26"/>
          <w:szCs w:val="26"/>
        </w:rPr>
        <w:t>　按行业大类分组的居民服务、修理和其他服务业企业法人单位和从业人员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07"/>
        <w:gridCol w:w="2384"/>
        <w:gridCol w:w="22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69" w:hRule="atLeast"/>
          <w:jc w:val="center"/>
        </w:trPr>
        <w:tc>
          <w:tcPr>
            <w:tcW w:w="3607"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2384"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（个）</w:t>
            </w:r>
          </w:p>
        </w:tc>
        <w:tc>
          <w:tcPr>
            <w:tcW w:w="2290"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exact"/>
              <w:ind w:left="57" w:right="57"/>
              <w:jc w:val="center"/>
              <w:rPr>
                <w:rFonts w:ascii="黑体" w:hAnsi="黑体" w:eastAsia="黑体" w:cs="宋体"/>
                <w:color w:val="auto"/>
                <w:kern w:val="0"/>
                <w:szCs w:val="21"/>
              </w:rPr>
            </w:pPr>
            <w:r>
              <w:rPr>
                <w:rFonts w:hint="eastAsia" w:ascii="黑体" w:hAnsi="黑体" w:eastAsia="黑体" w:cs="宋体"/>
                <w:color w:val="auto"/>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3607"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384"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1010</w:t>
            </w:r>
          </w:p>
        </w:tc>
        <w:tc>
          <w:tcPr>
            <w:tcW w:w="2290"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7451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3607"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居民服务业</w:t>
            </w:r>
          </w:p>
        </w:tc>
        <w:tc>
          <w:tcPr>
            <w:tcW w:w="2384"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495</w:t>
            </w:r>
          </w:p>
        </w:tc>
        <w:tc>
          <w:tcPr>
            <w:tcW w:w="229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3179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3607" w:type="dxa"/>
            <w:tcBorders>
              <w:top w:val="nil"/>
              <w:left w:val="nil"/>
              <w:bottom w:val="nil"/>
              <w:right w:val="single" w:color="auto" w:sz="4" w:space="0"/>
            </w:tcBorders>
            <w:noWrap/>
            <w:vAlign w:val="center"/>
          </w:tcPr>
          <w:p>
            <w:pPr>
              <w:rPr>
                <w:color w:val="auto"/>
              </w:rPr>
            </w:pPr>
            <w:r>
              <w:rPr>
                <w:rFonts w:hint="eastAsia" w:ascii="宋体" w:hAnsi="宋体" w:cs="宋体"/>
                <w:color w:val="auto"/>
                <w:kern w:val="0"/>
                <w:szCs w:val="21"/>
              </w:rPr>
              <w:t>　机动车、电子产品和日用产品修理业</w:t>
            </w:r>
          </w:p>
        </w:tc>
        <w:tc>
          <w:tcPr>
            <w:tcW w:w="2384"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332</w:t>
            </w:r>
          </w:p>
        </w:tc>
        <w:tc>
          <w:tcPr>
            <w:tcW w:w="2290"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1738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3607" w:type="dxa"/>
            <w:tcBorders>
              <w:top w:val="nil"/>
              <w:left w:val="nil"/>
              <w:bottom w:val="single" w:color="auto" w:sz="12" w:space="0"/>
              <w:right w:val="single" w:color="auto" w:sz="4" w:space="0"/>
            </w:tcBorders>
            <w:noWrap/>
            <w:vAlign w:val="center"/>
          </w:tcPr>
          <w:p>
            <w:pPr>
              <w:rPr>
                <w:color w:val="auto"/>
              </w:rPr>
            </w:pPr>
            <w:r>
              <w:rPr>
                <w:rFonts w:hint="eastAsia" w:ascii="宋体" w:hAnsi="宋体" w:cs="宋体"/>
                <w:color w:val="auto"/>
                <w:kern w:val="0"/>
                <w:szCs w:val="21"/>
              </w:rPr>
              <w:t>　其他服务业</w:t>
            </w:r>
          </w:p>
        </w:tc>
        <w:tc>
          <w:tcPr>
            <w:tcW w:w="2384"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183</w:t>
            </w:r>
          </w:p>
        </w:tc>
        <w:tc>
          <w:tcPr>
            <w:tcW w:w="2290"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2534</w:t>
            </w:r>
          </w:p>
        </w:tc>
      </w:tr>
    </w:tbl>
    <w:p>
      <w:pPr>
        <w:snapToGrid w:val="0"/>
        <w:spacing w:line="600" w:lineRule="exact"/>
        <w:ind w:firstLine="640" w:firstLineChars="200"/>
        <w:rPr>
          <w:rFonts w:hint="eastAsia" w:eastAsia="方正仿宋_GBK"/>
          <w:color w:val="auto"/>
          <w:sz w:val="32"/>
          <w:szCs w:val="32"/>
          <w:lang w:eastAsia="zh-CN"/>
        </w:rPr>
      </w:pPr>
      <w:r>
        <w:rPr>
          <w:rFonts w:hint="eastAsia" w:eastAsia="方正仿宋_GBK"/>
          <w:color w:val="auto"/>
          <w:sz w:val="32"/>
          <w:szCs w:val="32"/>
        </w:rPr>
        <w:t>在居民服务、修理和其他服务业企业法人单位中，内资企业占</w:t>
      </w:r>
      <w:r>
        <w:rPr>
          <w:rFonts w:hint="default" w:ascii="Times New Roman" w:hAnsi="Times New Roman" w:eastAsia="方正仿宋_GBK" w:cs="Times New Roman"/>
          <w:color w:val="auto"/>
          <w:sz w:val="32"/>
          <w:szCs w:val="32"/>
        </w:rPr>
        <w:t>100.0%</w:t>
      </w:r>
      <w:r>
        <w:rPr>
          <w:rFonts w:hint="eastAsia" w:eastAsia="方正仿宋_GBK"/>
          <w:color w:val="auto"/>
          <w:sz w:val="32"/>
          <w:szCs w:val="32"/>
          <w:lang w:eastAsia="zh-CN"/>
        </w:rPr>
        <w:t>。</w:t>
      </w:r>
    </w:p>
    <w:p>
      <w:pPr>
        <w:snapToGrid w:val="0"/>
        <w:spacing w:line="600" w:lineRule="exact"/>
        <w:ind w:firstLine="640" w:firstLineChars="200"/>
        <w:rPr>
          <w:rFonts w:hint="eastAsia" w:eastAsia="方正仿宋_GBK"/>
          <w:color w:val="auto"/>
          <w:sz w:val="32"/>
          <w:szCs w:val="32"/>
        </w:rPr>
      </w:pPr>
      <w:r>
        <w:rPr>
          <w:rFonts w:hint="eastAsia" w:eastAsia="方正仿宋_GBK"/>
          <w:color w:val="auto"/>
          <w:sz w:val="32"/>
          <w:szCs w:val="32"/>
        </w:rPr>
        <w:t>在居民服务、修理和其他服务业企业法人单位从业人员中，内资企业占</w:t>
      </w:r>
      <w:r>
        <w:rPr>
          <w:rFonts w:hint="default" w:ascii="Times New Roman" w:hAnsi="Times New Roman" w:eastAsia="方正仿宋_GBK" w:cs="Times New Roman"/>
          <w:color w:val="auto"/>
          <w:sz w:val="32"/>
          <w:szCs w:val="32"/>
        </w:rPr>
        <w:t>100.0%</w:t>
      </w:r>
      <w:r>
        <w:rPr>
          <w:rFonts w:hint="eastAsia" w:eastAsia="方正仿宋_GBK"/>
          <w:color w:val="auto"/>
          <w:sz w:val="32"/>
          <w:szCs w:val="32"/>
        </w:rPr>
        <w:t>（详见表</w:t>
      </w:r>
      <w:r>
        <w:rPr>
          <w:rFonts w:hint="default" w:ascii="Times New Roman" w:hAnsi="Times New Roman" w:eastAsia="方正仿宋_GBK" w:cs="Times New Roman"/>
          <w:color w:val="auto"/>
          <w:sz w:val="32"/>
          <w:szCs w:val="32"/>
        </w:rPr>
        <w:t>5-5</w:t>
      </w:r>
      <w:r>
        <w:rPr>
          <w:rFonts w:hint="eastAsia" w:eastAsia="方正仿宋_GBK"/>
          <w:color w:val="auto"/>
          <w:sz w:val="32"/>
          <w:szCs w:val="32"/>
        </w:rPr>
        <w:t>）。</w:t>
      </w:r>
    </w:p>
    <w:p>
      <w:pPr>
        <w:snapToGrid w:val="0"/>
        <w:spacing w:line="600" w:lineRule="exact"/>
        <w:ind w:firstLine="640" w:firstLineChars="200"/>
        <w:rPr>
          <w:rFonts w:hint="eastAsia" w:eastAsia="方正仿宋_GBK"/>
          <w:color w:val="auto"/>
          <w:sz w:val="32"/>
          <w:szCs w:val="32"/>
        </w:rPr>
      </w:pPr>
    </w:p>
    <w:p>
      <w:pPr>
        <w:snapToGrid w:val="0"/>
        <w:spacing w:line="600" w:lineRule="exact"/>
        <w:ind w:firstLine="640" w:firstLineChars="200"/>
        <w:rPr>
          <w:rFonts w:hint="eastAsia" w:eastAsia="方正仿宋_GBK"/>
          <w:color w:val="auto"/>
          <w:sz w:val="32"/>
          <w:szCs w:val="32"/>
        </w:rPr>
      </w:pPr>
    </w:p>
    <w:p>
      <w:pPr>
        <w:keepNext w:val="0"/>
        <w:keepLines w:val="0"/>
        <w:pageBreakBefore w:val="0"/>
        <w:widowControl/>
        <w:kinsoku/>
        <w:wordWrap/>
        <w:overflowPunct/>
        <w:topLinePunct w:val="0"/>
        <w:autoSpaceDE/>
        <w:autoSpaceDN/>
        <w:bidi w:val="0"/>
        <w:adjustRightInd/>
        <w:spacing w:line="400" w:lineRule="exact"/>
        <w:ind w:left="57" w:right="57"/>
        <w:jc w:val="center"/>
        <w:textAlignment w:val="auto"/>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hint="eastAsia" w:ascii="方正小标宋_GBK" w:eastAsia="方正小标宋_GBK"/>
          <w:bCs/>
          <w:color w:val="auto"/>
          <w:kern w:val="0"/>
          <w:sz w:val="28"/>
          <w:szCs w:val="28"/>
        </w:rPr>
        <w:t>5-5</w:t>
      </w:r>
      <w:r>
        <w:rPr>
          <w:rFonts w:hint="eastAsia" w:ascii="方正小标宋_GBK" w:hAnsi="宋体" w:eastAsia="方正小标宋_GBK" w:cs="宋体"/>
          <w:bCs/>
          <w:color w:val="auto"/>
          <w:kern w:val="0"/>
          <w:sz w:val="28"/>
          <w:szCs w:val="28"/>
        </w:rPr>
        <w:t>　按登记注册类型分组的居民服务、修理和其他服务业</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ascii="方正小标宋_GBK" w:eastAsia="方正小标宋_GBK"/>
          <w:color w:val="auto"/>
          <w:sz w:val="28"/>
          <w:szCs w:val="28"/>
        </w:rPr>
      </w:pPr>
      <w:r>
        <w:rPr>
          <w:rFonts w:hint="eastAsia" w:ascii="方正小标宋_GBK" w:hAnsi="宋体" w:eastAsia="方正小标宋_GBK" w:cs="宋体"/>
          <w:bCs/>
          <w:color w:val="auto"/>
          <w:kern w:val="0"/>
          <w:sz w:val="28"/>
          <w:szCs w:val="28"/>
        </w:rPr>
        <w:t>企业法人单位和从业人员</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9"/>
        <w:gridCol w:w="2828"/>
        <w:gridCol w:w="23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3119" w:type="dxa"/>
            <w:tcBorders>
              <w:top w:val="single" w:color="auto" w:sz="12" w:space="0"/>
              <w:left w:val="nil"/>
              <w:bottom w:val="single" w:color="auto" w:sz="4" w:space="0"/>
              <w:right w:val="single" w:color="auto" w:sz="4" w:space="0"/>
            </w:tcBorders>
            <w:noWrap/>
            <w:vAlign w:val="center"/>
          </w:tcPr>
          <w:p>
            <w:pPr>
              <w:widowControl/>
              <w:jc w:val="left"/>
              <w:rPr>
                <w:rFonts w:ascii="宋体" w:hAnsi="宋体" w:cs="宋体"/>
                <w:b/>
                <w:color w:val="auto"/>
                <w:kern w:val="0"/>
                <w:sz w:val="24"/>
              </w:rPr>
            </w:pPr>
            <w:r>
              <w:rPr>
                <w:b/>
                <w:color w:val="auto"/>
                <w:kern w:val="0"/>
                <w:sz w:val="24"/>
              </w:rPr>
              <w:t> </w:t>
            </w:r>
          </w:p>
        </w:tc>
        <w:tc>
          <w:tcPr>
            <w:tcW w:w="2828"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企业法人单位</w:t>
            </w:r>
          </w:p>
          <w:p>
            <w:pPr>
              <w:widowControl/>
              <w:spacing w:line="240" w:lineRule="exac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个</w:t>
            </w:r>
            <w:r>
              <w:rPr>
                <w:rFonts w:ascii="黑体" w:hAnsi="黑体" w:eastAsia="黑体" w:cs="宋体"/>
                <w:color w:val="auto"/>
                <w:kern w:val="0"/>
                <w:szCs w:val="21"/>
              </w:rPr>
              <w:t>)</w:t>
            </w:r>
          </w:p>
        </w:tc>
        <w:tc>
          <w:tcPr>
            <w:tcW w:w="2359"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hint="eastAsia" w:ascii="黑体" w:hAnsi="黑体" w:eastAsia="黑体" w:cs="宋体"/>
                <w:color w:val="auto"/>
                <w:kern w:val="0"/>
                <w:szCs w:val="21"/>
              </w:rPr>
            </w:pPr>
            <w:r>
              <w:rPr>
                <w:rFonts w:hint="eastAsia" w:ascii="黑体" w:hAnsi="黑体" w:eastAsia="黑体" w:cs="宋体"/>
                <w:color w:val="auto"/>
                <w:kern w:val="0"/>
                <w:szCs w:val="21"/>
              </w:rPr>
              <w:t>从业人员</w:t>
            </w:r>
          </w:p>
          <w:p>
            <w:pPr>
              <w:widowControl/>
              <w:spacing w:line="240" w:lineRule="exact"/>
              <w:ind w:left="57" w:right="57"/>
              <w:jc w:val="center"/>
              <w:rPr>
                <w:rFonts w:ascii="黑体" w:hAnsi="黑体" w:eastAsia="黑体" w:cs="宋体"/>
                <w:color w:val="auto"/>
                <w:kern w:val="0"/>
                <w:szCs w:val="21"/>
              </w:rPr>
            </w:pPr>
            <w:r>
              <w:rPr>
                <w:rFonts w:ascii="黑体" w:hAnsi="黑体" w:eastAsia="黑体" w:cs="宋体"/>
                <w:color w:val="auto"/>
                <w:kern w:val="0"/>
                <w:szCs w:val="21"/>
              </w:rPr>
              <w:t>(</w:t>
            </w:r>
            <w:r>
              <w:rPr>
                <w:rFonts w:hint="eastAsia" w:ascii="黑体" w:hAnsi="黑体" w:eastAsia="黑体" w:cs="宋体"/>
                <w:color w:val="auto"/>
                <w:kern w:val="0"/>
                <w:szCs w:val="21"/>
              </w:rPr>
              <w:t>人</w:t>
            </w:r>
            <w:r>
              <w:rPr>
                <w:rFonts w:ascii="黑体" w:hAnsi="黑体" w:eastAsia="黑体" w:cs="宋体"/>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3119"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828" w:type="dxa"/>
            <w:tcBorders>
              <w:top w:val="single" w:color="auto" w:sz="4" w:space="0"/>
              <w:left w:val="single" w:color="auto" w:sz="4" w:space="0"/>
              <w:bottom w:val="nil"/>
              <w:right w:val="single" w:color="auto" w:sz="4" w:space="0"/>
            </w:tcBorders>
            <w:noWrap/>
            <w:vAlign w:val="center"/>
          </w:tcPr>
          <w:p>
            <w:pPr>
              <w:widowControl/>
              <w:ind w:right="78" w:rightChars="37"/>
              <w:jc w:val="right"/>
              <w:rPr>
                <w:rFonts w:hint="default" w:ascii="Times New Roman" w:hAnsi="Times New Roman" w:cs="Times New Roman"/>
                <w:b/>
                <w:color w:val="auto"/>
                <w:kern w:val="0"/>
                <w:szCs w:val="21"/>
              </w:rPr>
            </w:pPr>
            <w:r>
              <w:rPr>
                <w:rFonts w:hint="default" w:ascii="Times New Roman" w:hAnsi="Times New Roman" w:cs="Times New Roman"/>
                <w:b/>
                <w:color w:val="auto"/>
                <w:szCs w:val="21"/>
              </w:rPr>
              <w:t>1010</w:t>
            </w:r>
          </w:p>
        </w:tc>
        <w:tc>
          <w:tcPr>
            <w:tcW w:w="2359" w:type="dxa"/>
            <w:tcBorders>
              <w:top w:val="single" w:color="auto" w:sz="4" w:space="0"/>
              <w:left w:val="single" w:color="auto" w:sz="4" w:space="0"/>
              <w:bottom w:val="nil"/>
              <w:right w:val="nil"/>
            </w:tcBorders>
            <w:noWrap/>
            <w:vAlign w:val="center"/>
          </w:tcPr>
          <w:p>
            <w:pPr>
              <w:ind w:right="34" w:rightChars="16"/>
              <w:jc w:val="right"/>
              <w:rPr>
                <w:rFonts w:hint="default" w:ascii="Times New Roman" w:hAnsi="Times New Roman" w:cs="Times New Roman"/>
                <w:b/>
                <w:color w:val="auto"/>
                <w:szCs w:val="21"/>
              </w:rPr>
            </w:pPr>
            <w:r>
              <w:rPr>
                <w:rFonts w:hint="default" w:ascii="Times New Roman" w:hAnsi="Times New Roman" w:cs="Times New Roman"/>
                <w:b/>
                <w:color w:val="auto"/>
                <w:szCs w:val="21"/>
              </w:rPr>
              <w:t>7451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b/>
                <w:color w:val="auto"/>
                <w:szCs w:val="21"/>
              </w:rPr>
            </w:pPr>
            <w:r>
              <w:rPr>
                <w:rFonts w:hint="default" w:ascii="Times New Roman" w:hAnsi="Times New Roman" w:cs="Times New Roman"/>
                <w:b/>
                <w:color w:val="auto"/>
                <w:szCs w:val="21"/>
              </w:rPr>
              <w:t>1010</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b/>
                <w:color w:val="auto"/>
                <w:szCs w:val="21"/>
              </w:rPr>
            </w:pPr>
            <w:r>
              <w:rPr>
                <w:rFonts w:hint="default" w:ascii="Times New Roman" w:hAnsi="Times New Roman" w:cs="Times New Roman"/>
                <w:b/>
                <w:color w:val="auto"/>
                <w:szCs w:val="21"/>
              </w:rPr>
              <w:t>7451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国有企业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集体企业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股份合作企业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联营企业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有限责任公司</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54</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559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股份有限公司</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私营企业</w:t>
            </w:r>
          </w:p>
        </w:tc>
        <w:tc>
          <w:tcPr>
            <w:tcW w:w="2828" w:type="dxa"/>
            <w:tcBorders>
              <w:top w:val="nil"/>
              <w:left w:val="single" w:color="auto" w:sz="4" w:space="0"/>
              <w:bottom w:val="nil"/>
              <w:right w:val="single" w:color="auto" w:sz="4" w:space="0"/>
            </w:tcBorders>
            <w:noWrap/>
            <w:vAlign w:val="center"/>
          </w:tcPr>
          <w:p>
            <w:pPr>
              <w:ind w:right="78" w:rightChars="37"/>
              <w:jc w:val="right"/>
              <w:rPr>
                <w:rFonts w:hint="default" w:ascii="Times New Roman" w:hAnsi="Times New Roman" w:cs="Times New Roman"/>
                <w:color w:val="auto"/>
                <w:szCs w:val="21"/>
              </w:rPr>
            </w:pPr>
            <w:r>
              <w:rPr>
                <w:rFonts w:hint="default" w:ascii="Times New Roman" w:hAnsi="Times New Roman" w:cs="Times New Roman"/>
                <w:color w:val="auto"/>
                <w:szCs w:val="21"/>
              </w:rPr>
              <w:t>944</w:t>
            </w:r>
          </w:p>
        </w:tc>
        <w:tc>
          <w:tcPr>
            <w:tcW w:w="2359" w:type="dxa"/>
            <w:tcBorders>
              <w:top w:val="nil"/>
              <w:left w:val="single" w:color="auto" w:sz="4" w:space="0"/>
              <w:bottom w:val="nil"/>
              <w:right w:val="nil"/>
            </w:tcBorders>
            <w:noWrap/>
            <w:vAlign w:val="center"/>
          </w:tcPr>
          <w:p>
            <w:pPr>
              <w:ind w:right="34" w:rightChars="16"/>
              <w:jc w:val="right"/>
              <w:rPr>
                <w:rFonts w:hint="default" w:ascii="Times New Roman" w:hAnsi="Times New Roman" w:cs="Times New Roman"/>
                <w:color w:val="auto"/>
                <w:szCs w:val="21"/>
              </w:rPr>
            </w:pPr>
            <w:r>
              <w:rPr>
                <w:rFonts w:hint="default" w:ascii="Times New Roman" w:hAnsi="Times New Roman" w:cs="Times New Roman"/>
                <w:color w:val="auto"/>
                <w:szCs w:val="21"/>
              </w:rPr>
              <w:t>6749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其他企业</w:t>
            </w:r>
          </w:p>
        </w:tc>
        <w:tc>
          <w:tcPr>
            <w:tcW w:w="2828" w:type="dxa"/>
            <w:tcBorders>
              <w:top w:val="nil"/>
              <w:left w:val="single" w:color="auto" w:sz="4" w:space="0"/>
              <w:bottom w:val="nil"/>
              <w:right w:val="single" w:color="auto" w:sz="4" w:space="0"/>
            </w:tcBorders>
            <w:noWrap/>
            <w:vAlign w:val="center"/>
          </w:tcPr>
          <w:p>
            <w:pPr>
              <w:ind w:right="210" w:rightChars="100"/>
              <w:jc w:val="right"/>
              <w:rPr>
                <w:rFonts w:hint="default" w:ascii="Times New Roman" w:hAnsi="Times New Roman" w:cs="Times New Roman"/>
                <w:color w:val="auto"/>
                <w:szCs w:val="21"/>
              </w:rPr>
            </w:pPr>
          </w:p>
        </w:tc>
        <w:tc>
          <w:tcPr>
            <w:tcW w:w="2359" w:type="dxa"/>
            <w:tcBorders>
              <w:top w:val="nil"/>
              <w:left w:val="single" w:color="auto" w:sz="4" w:space="0"/>
              <w:bottom w:val="nil"/>
              <w:right w:val="nil"/>
            </w:tcBorders>
            <w:noWrap/>
            <w:vAlign w:val="center"/>
          </w:tcPr>
          <w:p>
            <w:pPr>
              <w:ind w:right="210" w:rightChars="100"/>
              <w:jc w:val="right"/>
              <w:rPr>
                <w:rFonts w:hint="default"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nil"/>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828" w:type="dxa"/>
            <w:tcBorders>
              <w:top w:val="nil"/>
              <w:left w:val="single" w:color="auto" w:sz="4" w:space="0"/>
              <w:bottom w:val="nil"/>
              <w:right w:val="single" w:color="auto" w:sz="4" w:space="0"/>
            </w:tcBorders>
            <w:noWrap/>
            <w:vAlign w:val="center"/>
          </w:tcPr>
          <w:p>
            <w:pPr>
              <w:ind w:right="210" w:rightChars="100"/>
              <w:jc w:val="right"/>
              <w:rPr>
                <w:rFonts w:hint="default" w:ascii="Times New Roman" w:hAnsi="Times New Roman" w:cs="Times New Roman"/>
                <w:b/>
                <w:color w:val="auto"/>
                <w:szCs w:val="21"/>
              </w:rPr>
            </w:pPr>
          </w:p>
        </w:tc>
        <w:tc>
          <w:tcPr>
            <w:tcW w:w="2359" w:type="dxa"/>
            <w:tcBorders>
              <w:top w:val="nil"/>
              <w:left w:val="single" w:color="auto" w:sz="4" w:space="0"/>
              <w:bottom w:val="nil"/>
              <w:right w:val="nil"/>
            </w:tcBorders>
            <w:noWrap/>
            <w:vAlign w:val="center"/>
          </w:tcPr>
          <w:p>
            <w:pPr>
              <w:ind w:right="210" w:rightChars="100"/>
              <w:jc w:val="right"/>
              <w:rPr>
                <w:rFonts w:hint="default" w:ascii="Times New Roman" w:hAnsi="Times New Roman" w:cs="Times New Roman"/>
                <w:b/>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3119" w:type="dxa"/>
            <w:tcBorders>
              <w:top w:val="nil"/>
              <w:left w:val="nil"/>
              <w:bottom w:val="single" w:color="auto" w:sz="12" w:space="0"/>
              <w:right w:val="single" w:color="auto" w:sz="4" w:space="0"/>
            </w:tcBorders>
            <w:noWrap/>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外商投资企业</w:t>
            </w:r>
          </w:p>
        </w:tc>
        <w:tc>
          <w:tcPr>
            <w:tcW w:w="2828" w:type="dxa"/>
            <w:tcBorders>
              <w:top w:val="nil"/>
              <w:left w:val="single" w:color="auto" w:sz="4" w:space="0"/>
              <w:bottom w:val="single" w:color="auto" w:sz="12" w:space="0"/>
              <w:right w:val="single" w:color="auto" w:sz="4" w:space="0"/>
            </w:tcBorders>
            <w:noWrap/>
            <w:vAlign w:val="center"/>
          </w:tcPr>
          <w:p>
            <w:pPr>
              <w:ind w:right="210" w:rightChars="100"/>
              <w:jc w:val="right"/>
              <w:rPr>
                <w:b/>
                <w:color w:val="auto"/>
                <w:szCs w:val="21"/>
              </w:rPr>
            </w:pPr>
          </w:p>
        </w:tc>
        <w:tc>
          <w:tcPr>
            <w:tcW w:w="2359" w:type="dxa"/>
            <w:tcBorders>
              <w:top w:val="nil"/>
              <w:left w:val="single" w:color="auto" w:sz="4" w:space="0"/>
              <w:bottom w:val="single" w:color="auto" w:sz="12" w:space="0"/>
              <w:right w:val="nil"/>
            </w:tcBorders>
            <w:noWrap/>
            <w:vAlign w:val="center"/>
          </w:tcPr>
          <w:p>
            <w:pPr>
              <w:ind w:right="210" w:rightChars="100"/>
              <w:jc w:val="right"/>
              <w:rPr>
                <w:b/>
                <w:color w:val="auto"/>
                <w:szCs w:val="21"/>
              </w:rPr>
            </w:pPr>
          </w:p>
        </w:tc>
      </w:tr>
    </w:tbl>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（二）主要经济指标。</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年末，居民服务、修理和其他服务业企业法人单位资产总计</w:t>
      </w:r>
      <w:r>
        <w:rPr>
          <w:rFonts w:hint="default" w:ascii="Times New Roman" w:hAnsi="Times New Roman" w:eastAsia="方正仿宋_GBK" w:cs="Times New Roman"/>
          <w:color w:val="auto"/>
          <w:sz w:val="32"/>
          <w:szCs w:val="32"/>
        </w:rPr>
        <w:t>17.37</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369.5%</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4.91</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11.35</w:t>
      </w:r>
      <w:r>
        <w:rPr>
          <w:rFonts w:hint="eastAsia" w:eastAsia="方正仿宋_GBK"/>
          <w:color w:val="auto"/>
          <w:sz w:val="32"/>
          <w:szCs w:val="32"/>
        </w:rPr>
        <w:t>亿元（详见表</w:t>
      </w:r>
      <w:r>
        <w:rPr>
          <w:rFonts w:hint="default" w:ascii="Times New Roman" w:hAnsi="Times New Roman" w:eastAsia="方正仿宋_GBK" w:cs="Times New Roman"/>
          <w:color w:val="auto"/>
          <w:sz w:val="32"/>
          <w:szCs w:val="32"/>
        </w:rPr>
        <w:t>5-6</w:t>
      </w:r>
      <w:r>
        <w:rPr>
          <w:rFonts w:hint="eastAsia" w:eastAsia="方正仿宋_GBK"/>
          <w:color w:val="auto"/>
          <w:sz w:val="32"/>
          <w:szCs w:val="32"/>
        </w:rPr>
        <w:t>）。</w:t>
      </w:r>
    </w:p>
    <w:p>
      <w:pPr>
        <w:keepNext w:val="0"/>
        <w:keepLines w:val="0"/>
        <w:pageBreakBefore w:val="0"/>
        <w:widowControl/>
        <w:kinsoku/>
        <w:wordWrap/>
        <w:overflowPunct/>
        <w:topLinePunct w:val="0"/>
        <w:autoSpaceDE/>
        <w:autoSpaceDN/>
        <w:bidi w:val="0"/>
        <w:adjustRightInd/>
        <w:spacing w:line="400" w:lineRule="exact"/>
        <w:ind w:left="57" w:right="57"/>
        <w:jc w:val="center"/>
        <w:textAlignment w:val="auto"/>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表5-6　按行业大类分组的居民服务、修理和其他服务业</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ascii="方正小标宋_GBK" w:eastAsia="方正小标宋_GBK"/>
          <w:color w:val="auto"/>
          <w:sz w:val="28"/>
          <w:szCs w:val="28"/>
        </w:rPr>
      </w:pPr>
      <w:r>
        <w:rPr>
          <w:rFonts w:hint="eastAsia" w:ascii="方正小标宋_GBK" w:hAnsi="宋体" w:eastAsia="方正小标宋_GBK" w:cs="宋体"/>
          <w:bCs/>
          <w:color w:val="auto"/>
          <w:kern w:val="0"/>
          <w:sz w:val="28"/>
          <w:szCs w:val="28"/>
        </w:rPr>
        <w:t>企业法人单位主要经济指标</w:t>
      </w:r>
    </w:p>
    <w:tbl>
      <w:tblPr>
        <w:tblStyle w:val="4"/>
        <w:tblW w:w="834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132"/>
        <w:gridCol w:w="1405"/>
        <w:gridCol w:w="1405"/>
        <w:gridCol w:w="14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132" w:type="dxa"/>
            <w:tcBorders>
              <w:top w:val="single" w:color="auto" w:sz="12" w:space="0"/>
              <w:left w:val="nil"/>
              <w:bottom w:val="single" w:color="auto" w:sz="4" w:space="0"/>
              <w:right w:val="single" w:color="auto" w:sz="4" w:space="0"/>
            </w:tcBorders>
            <w:noWrap/>
            <w:vAlign w:val="center"/>
          </w:tcPr>
          <w:p>
            <w:pPr>
              <w:widowControl/>
              <w:spacing w:line="240" w:lineRule="atLeast"/>
              <w:ind w:left="57" w:right="57" w:firstLine="500"/>
              <w:jc w:val="center"/>
              <w:rPr>
                <w:rFonts w:ascii="宋体" w:hAnsi="宋体" w:cs="宋体"/>
                <w:b/>
                <w:color w:val="auto"/>
                <w:kern w:val="0"/>
                <w:sz w:val="21"/>
                <w:szCs w:val="21"/>
              </w:rPr>
            </w:pPr>
            <w:r>
              <w:rPr>
                <w:rFonts w:hint="eastAsia" w:ascii="宋体" w:hAnsi="宋体" w:cs="宋体"/>
                <w:b/>
                <w:color w:val="auto"/>
                <w:kern w:val="0"/>
                <w:sz w:val="21"/>
                <w:szCs w:val="21"/>
              </w:rPr>
              <w:t>　</w:t>
            </w:r>
          </w:p>
        </w:tc>
        <w:tc>
          <w:tcPr>
            <w:tcW w:w="1405"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资产</w:t>
            </w:r>
            <w:r>
              <w:rPr>
                <w:rFonts w:ascii="黑体" w:hAnsi="黑体" w:eastAsia="黑体" w:cs="宋体"/>
                <w:color w:val="auto"/>
                <w:kern w:val="0"/>
                <w:sz w:val="21"/>
                <w:szCs w:val="21"/>
              </w:rPr>
              <w:t>总计</w:t>
            </w:r>
          </w:p>
          <w:p>
            <w:pPr>
              <w:widowControl/>
              <w:spacing w:line="240" w:lineRule="exact"/>
              <w:ind w:left="57" w:right="57"/>
              <w:jc w:val="center"/>
              <w:rPr>
                <w:rFonts w:ascii="黑体" w:hAnsi="黑体" w:eastAsia="黑体" w:cs="宋体"/>
                <w:color w:val="auto"/>
                <w:kern w:val="0"/>
                <w:sz w:val="21"/>
                <w:szCs w:val="21"/>
              </w:rPr>
            </w:pPr>
            <w:r>
              <w:rPr>
                <w:rFonts w:ascii="黑体" w:hAnsi="黑体" w:eastAsia="黑体" w:cs="宋体"/>
                <w:color w:val="auto"/>
                <w:kern w:val="0"/>
                <w:sz w:val="21"/>
                <w:szCs w:val="21"/>
              </w:rPr>
              <w:t>（</w:t>
            </w:r>
            <w:r>
              <w:rPr>
                <w:rFonts w:hint="eastAsia" w:ascii="黑体" w:hAnsi="黑体" w:eastAsia="黑体" w:cs="宋体"/>
                <w:color w:val="auto"/>
                <w:kern w:val="0"/>
                <w:sz w:val="21"/>
                <w:szCs w:val="21"/>
              </w:rPr>
              <w:t>亿元</w:t>
            </w:r>
            <w:r>
              <w:rPr>
                <w:rFonts w:ascii="黑体" w:hAnsi="黑体" w:eastAsia="黑体" w:cs="宋体"/>
                <w:color w:val="auto"/>
                <w:kern w:val="0"/>
                <w:sz w:val="21"/>
                <w:szCs w:val="21"/>
              </w:rPr>
              <w:t>）</w:t>
            </w:r>
          </w:p>
        </w:tc>
        <w:tc>
          <w:tcPr>
            <w:tcW w:w="1405" w:type="dxa"/>
            <w:tcBorders>
              <w:top w:val="single" w:color="auto" w:sz="12" w:space="0"/>
              <w:left w:val="single" w:color="auto" w:sz="4" w:space="0"/>
              <w:bottom w:val="single" w:color="auto" w:sz="4" w:space="0"/>
              <w:right w:val="single" w:color="auto" w:sz="4" w:space="0"/>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负债合计</w:t>
            </w:r>
          </w:p>
          <w:p>
            <w:pPr>
              <w:widowControl/>
              <w:spacing w:line="240" w:lineRule="exact"/>
              <w:ind w:left="57" w:right="57"/>
              <w:jc w:val="center"/>
              <w:rPr>
                <w:rFonts w:ascii="黑体" w:hAnsi="黑体" w:eastAsia="黑体" w:cs="宋体"/>
                <w:color w:val="auto"/>
                <w:kern w:val="0"/>
                <w:sz w:val="21"/>
                <w:szCs w:val="21"/>
              </w:rPr>
            </w:pPr>
            <w:r>
              <w:rPr>
                <w:rFonts w:ascii="黑体" w:hAnsi="黑体" w:eastAsia="黑体" w:cs="宋体"/>
                <w:color w:val="auto"/>
                <w:kern w:val="0"/>
                <w:sz w:val="21"/>
                <w:szCs w:val="21"/>
              </w:rPr>
              <w:t>（</w:t>
            </w:r>
            <w:r>
              <w:rPr>
                <w:rFonts w:hint="eastAsia" w:ascii="黑体" w:hAnsi="黑体" w:eastAsia="黑体" w:cs="宋体"/>
                <w:color w:val="auto"/>
                <w:kern w:val="0"/>
                <w:sz w:val="21"/>
                <w:szCs w:val="21"/>
              </w:rPr>
              <w:t>亿元</w:t>
            </w:r>
            <w:r>
              <w:rPr>
                <w:rFonts w:ascii="黑体" w:hAnsi="黑体" w:eastAsia="黑体" w:cs="宋体"/>
                <w:color w:val="auto"/>
                <w:kern w:val="0"/>
                <w:sz w:val="21"/>
                <w:szCs w:val="21"/>
              </w:rPr>
              <w:t>）</w:t>
            </w:r>
          </w:p>
        </w:tc>
        <w:tc>
          <w:tcPr>
            <w:tcW w:w="1405" w:type="dxa"/>
            <w:tcBorders>
              <w:top w:val="single" w:color="auto" w:sz="12" w:space="0"/>
              <w:left w:val="single" w:color="auto" w:sz="4" w:space="0"/>
              <w:bottom w:val="single" w:color="auto" w:sz="4" w:space="0"/>
              <w:right w:val="nil"/>
            </w:tcBorders>
            <w:noWrap/>
            <w:vAlign w:val="center"/>
          </w:tcPr>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营业收入</w:t>
            </w:r>
          </w:p>
          <w:p>
            <w:pPr>
              <w:widowControl/>
              <w:spacing w:line="240" w:lineRule="exact"/>
              <w:ind w:left="57" w:right="57"/>
              <w:jc w:val="center"/>
              <w:rPr>
                <w:rFonts w:ascii="黑体" w:hAnsi="黑体" w:eastAsia="黑体" w:cs="宋体"/>
                <w:color w:val="auto"/>
                <w:kern w:val="0"/>
                <w:sz w:val="21"/>
                <w:szCs w:val="21"/>
              </w:rPr>
            </w:pPr>
            <w:r>
              <w:rPr>
                <w:rFonts w:hint="eastAsia" w:ascii="黑体" w:hAnsi="黑体" w:eastAsia="黑体" w:cs="宋体"/>
                <w:color w:val="auto"/>
                <w:kern w:val="0"/>
                <w:sz w:val="21"/>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4132" w:type="dxa"/>
            <w:tcBorders>
              <w:top w:val="single" w:color="auto" w:sz="4" w:space="0"/>
              <w:left w:val="nil"/>
              <w:bottom w:val="nil"/>
              <w:right w:val="single" w:color="auto" w:sz="4" w:space="0"/>
            </w:tcBorders>
            <w:noWrap/>
            <w:vAlign w:val="center"/>
          </w:tcPr>
          <w:p>
            <w:pPr>
              <w:widowControl/>
              <w:spacing w:line="240" w:lineRule="atLeast"/>
              <w:ind w:left="57" w:right="57"/>
              <w:jc w:val="center"/>
              <w:rPr>
                <w:rFonts w:ascii="宋体" w:hAnsi="宋体" w:cs="宋体"/>
                <w:color w:val="auto"/>
                <w:kern w:val="0"/>
                <w:sz w:val="21"/>
                <w:szCs w:val="21"/>
              </w:rPr>
            </w:pPr>
            <w:r>
              <w:rPr>
                <w:rFonts w:hint="eastAsia" w:ascii="宋体" w:hAnsi="宋体" w:cs="宋体"/>
                <w:b/>
                <w:bCs/>
                <w:color w:val="auto"/>
                <w:kern w:val="0"/>
                <w:sz w:val="21"/>
                <w:szCs w:val="21"/>
              </w:rPr>
              <w:t>合　计</w:t>
            </w:r>
          </w:p>
        </w:tc>
        <w:tc>
          <w:tcPr>
            <w:tcW w:w="1405"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17.37 </w:t>
            </w:r>
          </w:p>
        </w:tc>
        <w:tc>
          <w:tcPr>
            <w:tcW w:w="1405" w:type="dxa"/>
            <w:tcBorders>
              <w:top w:val="single" w:color="auto" w:sz="4" w:space="0"/>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4.91 </w:t>
            </w:r>
          </w:p>
        </w:tc>
        <w:tc>
          <w:tcPr>
            <w:tcW w:w="1405" w:type="dxa"/>
            <w:tcBorders>
              <w:top w:val="single" w:color="auto" w:sz="4" w:space="0"/>
              <w:left w:val="single" w:color="auto" w:sz="4" w:space="0"/>
              <w:bottom w:val="nil"/>
              <w:right w:val="nil"/>
            </w:tcBorders>
            <w:noWrap/>
            <w:vAlign w:val="center"/>
          </w:tcPr>
          <w:p>
            <w:pPr>
              <w:widowControl/>
              <w:jc w:val="right"/>
              <w:textAlignment w:val="center"/>
              <w:rPr>
                <w:rFonts w:hint="default" w:ascii="Times New Roman" w:hAnsi="Times New Roman" w:cs="Times New Roman"/>
                <w:b/>
                <w:bCs/>
                <w:color w:val="auto"/>
                <w:sz w:val="21"/>
                <w:szCs w:val="21"/>
              </w:rPr>
            </w:pPr>
            <w:r>
              <w:rPr>
                <w:rFonts w:hint="default" w:ascii="Times New Roman" w:hAnsi="Times New Roman" w:cs="Times New Roman"/>
                <w:b/>
                <w:bCs/>
                <w:color w:val="auto"/>
                <w:kern w:val="0"/>
                <w:sz w:val="21"/>
                <w:szCs w:val="21"/>
              </w:rPr>
              <w:t xml:space="preserve">11.35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4132" w:type="dxa"/>
            <w:tcBorders>
              <w:top w:val="nil"/>
              <w:left w:val="nil"/>
              <w:bottom w:val="nil"/>
              <w:right w:val="single" w:color="auto" w:sz="4" w:space="0"/>
            </w:tcBorders>
            <w:noWrap/>
            <w:vAlign w:val="center"/>
          </w:tcPr>
          <w:p>
            <w:pPr>
              <w:widowControl/>
              <w:spacing w:line="240" w:lineRule="atLeast"/>
              <w:ind w:left="57" w:right="57"/>
              <w:jc w:val="left"/>
              <w:rPr>
                <w:rFonts w:ascii="宋体" w:hAnsi="宋体" w:cs="宋体"/>
                <w:color w:val="auto"/>
                <w:kern w:val="0"/>
                <w:sz w:val="21"/>
                <w:szCs w:val="21"/>
              </w:rPr>
            </w:pPr>
            <w:r>
              <w:rPr>
                <w:rFonts w:hint="eastAsia" w:ascii="宋体" w:hAnsi="宋体" w:cs="宋体"/>
                <w:color w:val="auto"/>
                <w:kern w:val="0"/>
                <w:sz w:val="21"/>
                <w:szCs w:val="21"/>
              </w:rPr>
              <w:t>　居民服务业</w:t>
            </w:r>
          </w:p>
        </w:tc>
        <w:tc>
          <w:tcPr>
            <w:tcW w:w="1405"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4.63 </w:t>
            </w:r>
          </w:p>
        </w:tc>
        <w:tc>
          <w:tcPr>
            <w:tcW w:w="1405"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2.65 </w:t>
            </w:r>
          </w:p>
        </w:tc>
        <w:tc>
          <w:tcPr>
            <w:tcW w:w="1405"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3.78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4132" w:type="dxa"/>
            <w:tcBorders>
              <w:top w:val="nil"/>
              <w:left w:val="nil"/>
              <w:bottom w:val="nil"/>
              <w:right w:val="single" w:color="auto" w:sz="4" w:space="0"/>
            </w:tcBorders>
            <w:noWrap/>
            <w:vAlign w:val="center"/>
          </w:tcPr>
          <w:p>
            <w:pPr>
              <w:widowControl/>
              <w:spacing w:line="240" w:lineRule="atLeast"/>
              <w:ind w:left="57" w:right="57"/>
              <w:jc w:val="left"/>
              <w:rPr>
                <w:rFonts w:ascii="宋体" w:hAnsi="宋体" w:cs="宋体"/>
                <w:color w:val="auto"/>
                <w:kern w:val="0"/>
                <w:sz w:val="21"/>
                <w:szCs w:val="21"/>
              </w:rPr>
            </w:pPr>
            <w:r>
              <w:rPr>
                <w:rFonts w:hint="eastAsia" w:ascii="宋体" w:hAnsi="宋体" w:cs="宋体"/>
                <w:color w:val="auto"/>
                <w:kern w:val="0"/>
                <w:sz w:val="21"/>
                <w:szCs w:val="21"/>
              </w:rPr>
              <w:t>　机动车、电子产品和日用产品修理业</w:t>
            </w:r>
          </w:p>
        </w:tc>
        <w:tc>
          <w:tcPr>
            <w:tcW w:w="1405"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1.62 </w:t>
            </w:r>
          </w:p>
        </w:tc>
        <w:tc>
          <w:tcPr>
            <w:tcW w:w="1405" w:type="dxa"/>
            <w:tcBorders>
              <w:top w:val="nil"/>
              <w:left w:val="single" w:color="auto" w:sz="4" w:space="0"/>
              <w:bottom w:val="nil"/>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0.93 </w:t>
            </w:r>
          </w:p>
        </w:tc>
        <w:tc>
          <w:tcPr>
            <w:tcW w:w="1405" w:type="dxa"/>
            <w:tcBorders>
              <w:top w:val="nil"/>
              <w:left w:val="single" w:color="auto" w:sz="4" w:space="0"/>
              <w:bottom w:val="nil"/>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2.26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4132" w:type="dxa"/>
            <w:tcBorders>
              <w:top w:val="nil"/>
              <w:left w:val="nil"/>
              <w:bottom w:val="single" w:color="auto" w:sz="12" w:space="0"/>
              <w:right w:val="single" w:color="auto" w:sz="4" w:space="0"/>
            </w:tcBorders>
            <w:noWrap/>
            <w:vAlign w:val="center"/>
          </w:tcPr>
          <w:p>
            <w:pPr>
              <w:widowControl/>
              <w:spacing w:line="240" w:lineRule="atLeast"/>
              <w:ind w:left="57" w:right="57"/>
              <w:jc w:val="left"/>
              <w:rPr>
                <w:rFonts w:ascii="宋体" w:hAnsi="宋体" w:cs="宋体"/>
                <w:color w:val="auto"/>
                <w:kern w:val="0"/>
                <w:sz w:val="21"/>
                <w:szCs w:val="21"/>
              </w:rPr>
            </w:pPr>
            <w:r>
              <w:rPr>
                <w:rFonts w:hint="eastAsia" w:ascii="宋体" w:hAnsi="宋体" w:cs="宋体"/>
                <w:color w:val="auto"/>
                <w:kern w:val="0"/>
                <w:sz w:val="21"/>
                <w:szCs w:val="21"/>
              </w:rPr>
              <w:t>　其他服务业</w:t>
            </w:r>
          </w:p>
        </w:tc>
        <w:tc>
          <w:tcPr>
            <w:tcW w:w="1405"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11.13 </w:t>
            </w:r>
          </w:p>
        </w:tc>
        <w:tc>
          <w:tcPr>
            <w:tcW w:w="1405" w:type="dxa"/>
            <w:tcBorders>
              <w:top w:val="nil"/>
              <w:left w:val="single" w:color="auto" w:sz="4" w:space="0"/>
              <w:bottom w:val="single" w:color="auto" w:sz="12" w:space="0"/>
              <w:right w:val="single" w:color="auto" w:sz="4" w:space="0"/>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1.32 </w:t>
            </w:r>
          </w:p>
        </w:tc>
        <w:tc>
          <w:tcPr>
            <w:tcW w:w="1405" w:type="dxa"/>
            <w:tcBorders>
              <w:top w:val="nil"/>
              <w:left w:val="single" w:color="auto" w:sz="4" w:space="0"/>
              <w:bottom w:val="single" w:color="auto" w:sz="12" w:space="0"/>
              <w:right w:val="nil"/>
            </w:tcBorders>
            <w:noWrap/>
            <w:vAlign w:val="center"/>
          </w:tcPr>
          <w:p>
            <w:pPr>
              <w:widowControl/>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 xml:space="preserve">5.31 </w:t>
            </w: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四、教育</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年末，全区共有教育法人单位</w:t>
      </w:r>
      <w:r>
        <w:rPr>
          <w:rFonts w:hint="default" w:ascii="Times New Roman" w:hAnsi="Times New Roman" w:eastAsia="方正仿宋_GBK" w:cs="Times New Roman"/>
          <w:color w:val="auto"/>
          <w:sz w:val="32"/>
          <w:szCs w:val="32"/>
        </w:rPr>
        <w:t>751</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2.32</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136.2%</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22.1%</w:t>
      </w:r>
      <w:r>
        <w:rPr>
          <w:rFonts w:hint="eastAsia" w:eastAsia="方正仿宋_GBK"/>
          <w:color w:val="auto"/>
          <w:sz w:val="32"/>
          <w:szCs w:val="32"/>
        </w:rPr>
        <w:t>。其中，行政事业及非企业法人单位</w:t>
      </w:r>
      <w:r>
        <w:rPr>
          <w:rFonts w:hint="default" w:ascii="Times New Roman" w:hAnsi="Times New Roman" w:eastAsia="方正仿宋_GBK" w:cs="Times New Roman"/>
          <w:color w:val="auto"/>
          <w:sz w:val="32"/>
          <w:szCs w:val="32"/>
        </w:rPr>
        <w:t>211</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1.77</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1.4%</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4.1%</w:t>
      </w:r>
      <w:r>
        <w:rPr>
          <w:rFonts w:hint="eastAsia" w:eastAsia="方正仿宋_GBK"/>
          <w:color w:val="auto"/>
          <w:sz w:val="32"/>
          <w:szCs w:val="32"/>
        </w:rPr>
        <w:t>。</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w:t>
      </w:r>
      <w:r>
        <w:rPr>
          <w:rFonts w:ascii="方正楷体_GBK" w:eastAsia="方正楷体_GBK"/>
          <w:color w:val="auto"/>
          <w:sz w:val="32"/>
          <w:szCs w:val="32"/>
        </w:rPr>
        <w:t>指标</w:t>
      </w:r>
      <w:r>
        <w:rPr>
          <w:rFonts w:hint="eastAsia" w:ascii="方正楷体_GBK" w:eastAsia="方正楷体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年末，教育企业法人单位资产总计</w:t>
      </w:r>
      <w:r>
        <w:rPr>
          <w:rFonts w:hint="default" w:ascii="Times New Roman" w:hAnsi="Times New Roman" w:eastAsia="方正仿宋_GBK" w:cs="Times New Roman"/>
          <w:color w:val="auto"/>
          <w:sz w:val="32"/>
          <w:szCs w:val="32"/>
        </w:rPr>
        <w:t>4.54</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hint="default" w:ascii="Times New Roman" w:hAnsi="Times New Roman" w:eastAsia="方正仿宋_GBK" w:cs="Times New Roman"/>
          <w:color w:val="auto"/>
          <w:sz w:val="32"/>
          <w:szCs w:val="32"/>
        </w:rPr>
        <w:t>74.6%</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3.11</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5.56</w:t>
      </w:r>
      <w:r>
        <w:rPr>
          <w:rFonts w:hint="eastAsia" w:eastAsia="方正仿宋_GBK"/>
          <w:color w:val="auto"/>
          <w:sz w:val="32"/>
          <w:szCs w:val="32"/>
        </w:rPr>
        <w:t>亿元。行政事业及非企业法人单位年末资产</w:t>
      </w:r>
      <w:r>
        <w:rPr>
          <w:rFonts w:hint="default" w:ascii="Times New Roman" w:hAnsi="Times New Roman" w:eastAsia="方正仿宋_GBK" w:cs="Times New Roman"/>
          <w:color w:val="auto"/>
          <w:sz w:val="32"/>
          <w:szCs w:val="32"/>
        </w:rPr>
        <w:t>171.71</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hint="default" w:ascii="Times New Roman" w:hAnsi="Times New Roman" w:eastAsia="方正仿宋_GBK" w:cs="Times New Roman"/>
          <w:color w:val="auto"/>
          <w:sz w:val="32"/>
          <w:szCs w:val="32"/>
        </w:rPr>
        <w:t>60.8%</w:t>
      </w:r>
      <w:r>
        <w:rPr>
          <w:rFonts w:hint="eastAsia" w:eastAsia="方正仿宋_GBK"/>
          <w:color w:val="auto"/>
          <w:sz w:val="32"/>
          <w:szCs w:val="32"/>
        </w:rPr>
        <w:t>。本年支出（费用）合计</w:t>
      </w:r>
      <w:r>
        <w:rPr>
          <w:rFonts w:hint="default" w:ascii="Times New Roman" w:hAnsi="Times New Roman" w:eastAsia="方正仿宋_GBK" w:cs="Times New Roman"/>
          <w:color w:val="auto"/>
          <w:sz w:val="32"/>
          <w:szCs w:val="32"/>
        </w:rPr>
        <w:t>58.69</w:t>
      </w:r>
      <w:r>
        <w:rPr>
          <w:rFonts w:hint="eastAsia" w:eastAsia="方正仿宋_GBK"/>
          <w:color w:val="auto"/>
          <w:sz w:val="32"/>
          <w:szCs w:val="32"/>
        </w:rPr>
        <w:t>亿元。</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五、卫生和社会工作</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年末，全区共有卫生和社会工作法人单位</w:t>
      </w:r>
      <w:r>
        <w:rPr>
          <w:rFonts w:hint="default" w:ascii="Times New Roman" w:hAnsi="Times New Roman" w:eastAsia="方正仿宋_GBK" w:cs="Times New Roman"/>
          <w:color w:val="auto"/>
          <w:sz w:val="32"/>
          <w:szCs w:val="32"/>
        </w:rPr>
        <w:t>247</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0.95</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128.7%</w:t>
      </w:r>
      <w:r>
        <w:rPr>
          <w:rFonts w:hint="eastAsia" w:eastAsia="方正仿宋_GBK"/>
          <w:color w:val="auto"/>
          <w:sz w:val="32"/>
          <w:szCs w:val="32"/>
        </w:rPr>
        <w:t>和</w:t>
      </w:r>
      <w:r>
        <w:rPr>
          <w:rFonts w:hint="default" w:ascii="Times New Roman" w:hAnsi="Times New Roman" w:eastAsia="方正仿宋_GBK" w:cs="Times New Roman"/>
          <w:color w:val="auto"/>
          <w:sz w:val="32"/>
          <w:szCs w:val="32"/>
        </w:rPr>
        <w:t>35.7%</w:t>
      </w:r>
      <w:r>
        <w:rPr>
          <w:rFonts w:hint="eastAsia" w:eastAsia="方正仿宋_GBK"/>
          <w:color w:val="auto"/>
          <w:sz w:val="32"/>
          <w:szCs w:val="32"/>
        </w:rPr>
        <w:t>。其中，行政事业及非企业法人单位</w:t>
      </w:r>
      <w:r>
        <w:rPr>
          <w:rFonts w:hint="default" w:ascii="Times New Roman" w:hAnsi="Times New Roman" w:eastAsia="方正黑体_GBK" w:cs="Times New Roman"/>
          <w:color w:val="auto"/>
          <w:sz w:val="32"/>
          <w:szCs w:val="32"/>
        </w:rPr>
        <w:t>139</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87.8%</w:t>
      </w:r>
      <w:r>
        <w:rPr>
          <w:rFonts w:hint="eastAsia" w:eastAsia="方正仿宋_GBK"/>
          <w:color w:val="auto"/>
          <w:sz w:val="32"/>
          <w:szCs w:val="32"/>
        </w:rPr>
        <w:t>，从业人员</w:t>
      </w:r>
      <w:r>
        <w:rPr>
          <w:rFonts w:hint="default" w:ascii="Times New Roman" w:hAnsi="Times New Roman" w:eastAsia="方正仿宋_GBK" w:cs="Times New Roman"/>
          <w:color w:val="auto"/>
          <w:sz w:val="32"/>
          <w:szCs w:val="32"/>
        </w:rPr>
        <w:t>0.58</w:t>
      </w:r>
      <w:r>
        <w:rPr>
          <w:rFonts w:hint="eastAsia" w:eastAsia="方正仿宋_GBK"/>
          <w:color w:val="auto"/>
          <w:sz w:val="32"/>
          <w:szCs w:val="32"/>
        </w:rPr>
        <w:t>万人，下降</w:t>
      </w:r>
      <w:r>
        <w:rPr>
          <w:rFonts w:hint="default" w:ascii="Times New Roman" w:hAnsi="Times New Roman" w:eastAsia="方正仿宋_GBK" w:cs="Times New Roman"/>
          <w:color w:val="auto"/>
          <w:sz w:val="32"/>
          <w:szCs w:val="32"/>
        </w:rPr>
        <w:t>3.3%</w:t>
      </w:r>
      <w:r>
        <w:rPr>
          <w:rFonts w:hint="eastAsia" w:eastAsia="方正仿宋_GBK"/>
          <w:color w:val="auto"/>
          <w:sz w:val="32"/>
          <w:szCs w:val="32"/>
        </w:rPr>
        <w:t>。</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w:t>
      </w:r>
      <w:r>
        <w:rPr>
          <w:rFonts w:ascii="方正楷体_GBK" w:eastAsia="方正楷体_GBK"/>
          <w:color w:val="auto"/>
          <w:sz w:val="32"/>
          <w:szCs w:val="32"/>
        </w:rPr>
        <w:t>指标</w:t>
      </w:r>
      <w:r>
        <w:rPr>
          <w:rFonts w:hint="eastAsia" w:ascii="方正楷体_GBK" w:eastAsia="方正楷体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年末，卫生和社会工作企业法人单位资产总计</w:t>
      </w:r>
      <w:r>
        <w:rPr>
          <w:rFonts w:hint="default" w:ascii="Times New Roman" w:hAnsi="Times New Roman" w:eastAsia="方正仿宋_GBK" w:cs="Times New Roman"/>
          <w:color w:val="auto"/>
          <w:sz w:val="32"/>
          <w:szCs w:val="32"/>
        </w:rPr>
        <w:t>7.71</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hint="default" w:ascii="Times New Roman" w:hAnsi="Times New Roman" w:eastAsia="方正仿宋_GBK" w:cs="Times New Roman"/>
          <w:color w:val="auto"/>
          <w:sz w:val="32"/>
          <w:szCs w:val="32"/>
        </w:rPr>
        <w:t>185.6%</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4.31</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rPr>
        <w:t>7.77</w:t>
      </w:r>
      <w:r>
        <w:rPr>
          <w:rFonts w:hint="eastAsia" w:eastAsia="方正仿宋_GBK"/>
          <w:color w:val="auto"/>
          <w:sz w:val="32"/>
          <w:szCs w:val="32"/>
        </w:rPr>
        <w:t>亿元。行政事业及非企业法人单位年末资产</w:t>
      </w:r>
      <w:r>
        <w:rPr>
          <w:rFonts w:hint="default" w:ascii="Times New Roman" w:hAnsi="Times New Roman" w:eastAsia="方正仿宋_GBK" w:cs="Times New Roman"/>
          <w:color w:val="auto"/>
          <w:sz w:val="32"/>
          <w:szCs w:val="32"/>
        </w:rPr>
        <w:t>22.48</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hint="default" w:ascii="Times New Roman" w:hAnsi="Times New Roman" w:eastAsia="方正仿宋_GBK" w:cs="Times New Roman"/>
          <w:color w:val="auto"/>
          <w:sz w:val="32"/>
          <w:szCs w:val="32"/>
        </w:rPr>
        <w:t>6.5%</w:t>
      </w:r>
      <w:r>
        <w:rPr>
          <w:rFonts w:hint="eastAsia" w:eastAsia="方正仿宋_GBK"/>
          <w:color w:val="auto"/>
          <w:sz w:val="32"/>
          <w:szCs w:val="32"/>
        </w:rPr>
        <w:t>。本年支出（费用）合计</w:t>
      </w:r>
      <w:r>
        <w:rPr>
          <w:rFonts w:hint="default" w:ascii="Times New Roman" w:hAnsi="Times New Roman" w:eastAsia="方正仿宋_GBK" w:cs="Times New Roman"/>
          <w:color w:val="auto"/>
          <w:sz w:val="32"/>
          <w:szCs w:val="32"/>
        </w:rPr>
        <w:t>16.91</w:t>
      </w:r>
      <w:r>
        <w:rPr>
          <w:rFonts w:hint="eastAsia" w:eastAsia="方正仿宋_GBK"/>
          <w:color w:val="auto"/>
          <w:sz w:val="32"/>
          <w:szCs w:val="32"/>
        </w:rPr>
        <w:t>亿元。</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六</w:t>
      </w:r>
      <w:r>
        <w:rPr>
          <w:rFonts w:ascii="方正黑体_GBK" w:eastAsia="方正黑体_GBK"/>
          <w:color w:val="auto"/>
          <w:sz w:val="32"/>
          <w:szCs w:val="32"/>
        </w:rPr>
        <w:t>、</w:t>
      </w:r>
      <w:r>
        <w:rPr>
          <w:rFonts w:hint="eastAsia" w:ascii="方正黑体_GBK" w:eastAsia="方正黑体_GBK"/>
          <w:color w:val="auto"/>
          <w:sz w:val="32"/>
          <w:szCs w:val="32"/>
        </w:rPr>
        <w:t>文化</w:t>
      </w:r>
      <w:r>
        <w:rPr>
          <w:rFonts w:ascii="方正黑体_GBK" w:eastAsia="方正黑体_GBK"/>
          <w:color w:val="auto"/>
          <w:sz w:val="32"/>
          <w:szCs w:val="32"/>
        </w:rPr>
        <w:t>、体育和娱乐业</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（一）法人单位数和从业人员。</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年末，全区共有文化、体育和娱乐业法人单位</w:t>
      </w:r>
      <w:r>
        <w:rPr>
          <w:rFonts w:hint="default" w:ascii="Times New Roman" w:hAnsi="Times New Roman" w:eastAsia="方正仿宋_GBK" w:cs="Times New Roman"/>
          <w:color w:val="auto"/>
          <w:sz w:val="32"/>
          <w:szCs w:val="32"/>
        </w:rPr>
        <w:t>938</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rPr>
        <w:t>0.70</w:t>
      </w:r>
      <w:r>
        <w:rPr>
          <w:rFonts w:hint="eastAsia" w:eastAsia="方正仿宋_GBK"/>
          <w:color w:val="auto"/>
          <w:sz w:val="32"/>
          <w:szCs w:val="32"/>
        </w:rPr>
        <w:t>万人，分别比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3.0</w:t>
      </w:r>
      <w:r>
        <w:rPr>
          <w:rFonts w:hint="eastAsia" w:eastAsia="方正仿宋_GBK"/>
          <w:color w:val="auto"/>
          <w:sz w:val="32"/>
          <w:szCs w:val="32"/>
        </w:rPr>
        <w:t>倍和</w:t>
      </w:r>
      <w:r>
        <w:rPr>
          <w:rFonts w:hint="default" w:ascii="Times New Roman" w:hAnsi="Times New Roman" w:eastAsia="方正仿宋_GBK" w:cs="Times New Roman"/>
          <w:color w:val="auto"/>
          <w:sz w:val="32"/>
          <w:szCs w:val="32"/>
        </w:rPr>
        <w:t>97.4%</w:t>
      </w:r>
      <w:r>
        <w:rPr>
          <w:rFonts w:hint="eastAsia" w:eastAsia="方正仿宋_GBK"/>
          <w:color w:val="auto"/>
          <w:sz w:val="32"/>
          <w:szCs w:val="32"/>
        </w:rPr>
        <w:t>。其中，行政事业及非企业法人单位</w:t>
      </w:r>
      <w:r>
        <w:rPr>
          <w:rFonts w:hint="default" w:ascii="Times New Roman" w:hAnsi="Times New Roman" w:eastAsia="方正仿宋_GBK" w:cs="Times New Roman"/>
          <w:color w:val="auto"/>
          <w:sz w:val="32"/>
          <w:szCs w:val="32"/>
        </w:rPr>
        <w:t>56</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64.7%</w:t>
      </w:r>
      <w:r>
        <w:rPr>
          <w:rFonts w:hint="eastAsia" w:eastAsia="方正仿宋_GBK"/>
          <w:color w:val="auto"/>
          <w:sz w:val="32"/>
          <w:szCs w:val="32"/>
        </w:rPr>
        <w:t>，从业人员</w:t>
      </w:r>
      <w:r>
        <w:rPr>
          <w:rFonts w:hint="default" w:ascii="Times New Roman" w:hAnsi="Times New Roman" w:eastAsia="方正仿宋_GBK" w:cs="Times New Roman"/>
          <w:color w:val="auto"/>
          <w:sz w:val="32"/>
          <w:szCs w:val="32"/>
        </w:rPr>
        <w:t>0.03</w:t>
      </w:r>
      <w:r>
        <w:rPr>
          <w:rFonts w:hint="eastAsia" w:eastAsia="方正仿宋_GBK"/>
          <w:color w:val="auto"/>
          <w:sz w:val="32"/>
          <w:szCs w:val="32"/>
        </w:rPr>
        <w:t>万人，下降</w:t>
      </w:r>
      <w:r>
        <w:rPr>
          <w:rFonts w:hint="default" w:ascii="Times New Roman" w:hAnsi="Times New Roman" w:eastAsia="方正仿宋_GBK" w:cs="Times New Roman"/>
          <w:color w:val="auto"/>
          <w:sz w:val="32"/>
          <w:szCs w:val="32"/>
        </w:rPr>
        <w:t>70.1%</w:t>
      </w:r>
      <w:r>
        <w:rPr>
          <w:rFonts w:hint="eastAsia" w:eastAsia="方正仿宋_GBK"/>
          <w:color w:val="auto"/>
          <w:sz w:val="32"/>
          <w:szCs w:val="32"/>
        </w:rPr>
        <w:t>。</w:t>
      </w:r>
    </w:p>
    <w:p>
      <w:pPr>
        <w:snapToGrid w:val="0"/>
        <w:spacing w:line="600" w:lineRule="exact"/>
        <w:ind w:firstLine="640" w:firstLineChars="200"/>
        <w:rPr>
          <w:rFonts w:ascii="方正楷体_GBK" w:eastAsia="方正楷体_GBK"/>
          <w:color w:val="auto"/>
          <w:sz w:val="32"/>
          <w:szCs w:val="32"/>
        </w:rPr>
      </w:pPr>
      <w:r>
        <w:rPr>
          <w:rFonts w:hint="eastAsia" w:ascii="方正楷体_GBK" w:eastAsia="方正楷体_GBK"/>
          <w:color w:val="auto"/>
          <w:sz w:val="32"/>
          <w:szCs w:val="32"/>
        </w:rPr>
        <w:t>（二）主要经济</w:t>
      </w:r>
      <w:r>
        <w:rPr>
          <w:rFonts w:ascii="方正楷体_GBK" w:eastAsia="方正楷体_GBK"/>
          <w:color w:val="auto"/>
          <w:sz w:val="32"/>
          <w:szCs w:val="32"/>
        </w:rPr>
        <w:t>指标</w:t>
      </w:r>
      <w:r>
        <w:rPr>
          <w:rFonts w:hint="eastAsia" w:ascii="方正楷体_GBK" w:eastAsia="方正楷体_GBK"/>
          <w:color w:val="auto"/>
          <w:sz w:val="32"/>
          <w:szCs w:val="32"/>
        </w:rPr>
        <w:t>。</w:t>
      </w:r>
    </w:p>
    <w:p>
      <w:pPr>
        <w:snapToGrid w:val="0"/>
        <w:spacing w:line="600" w:lineRule="exact"/>
        <w:ind w:firstLine="640" w:firstLineChars="200"/>
        <w:rPr>
          <w:rFonts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年末，文化、体育和娱乐业企业法人单位资产总计</w:t>
      </w:r>
      <w:r>
        <w:rPr>
          <w:rFonts w:hint="default" w:ascii="Times New Roman" w:hAnsi="Times New Roman" w:eastAsia="方正仿宋_GBK" w:cs="Times New Roman"/>
          <w:color w:val="auto"/>
          <w:sz w:val="32"/>
          <w:szCs w:val="32"/>
        </w:rPr>
        <w:t>64.34</w:t>
      </w:r>
      <w:r>
        <w:rPr>
          <w:rFonts w:hint="eastAsia" w:eastAsia="方正仿宋_GBK"/>
          <w:color w:val="auto"/>
          <w:sz w:val="32"/>
          <w:szCs w:val="32"/>
        </w:rPr>
        <w:t>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w:t>
      </w:r>
      <w:r>
        <w:rPr>
          <w:rFonts w:eastAsia="方正仿宋_GBK"/>
          <w:color w:val="auto"/>
          <w:sz w:val="32"/>
          <w:szCs w:val="32"/>
        </w:rPr>
        <w:t>增长</w:t>
      </w:r>
      <w:r>
        <w:rPr>
          <w:rFonts w:hint="default" w:ascii="Times New Roman" w:hAnsi="Times New Roman" w:eastAsia="方正仿宋_GBK" w:cs="Times New Roman"/>
          <w:color w:val="auto"/>
          <w:sz w:val="32"/>
          <w:szCs w:val="32"/>
        </w:rPr>
        <w:t>2.1</w:t>
      </w:r>
      <w:r>
        <w:rPr>
          <w:rFonts w:hint="eastAsia" w:eastAsia="方正仿宋_GBK"/>
          <w:color w:val="auto"/>
          <w:sz w:val="32"/>
          <w:szCs w:val="32"/>
        </w:rPr>
        <w:t>倍</w:t>
      </w:r>
      <w:r>
        <w:rPr>
          <w:rFonts w:eastAsia="方正仿宋_GBK"/>
          <w:color w:val="auto"/>
          <w:sz w:val="32"/>
          <w:szCs w:val="32"/>
        </w:rPr>
        <w:t>。</w:t>
      </w:r>
      <w:r>
        <w:rPr>
          <w:rFonts w:hint="eastAsia" w:eastAsia="方正仿宋_GBK"/>
          <w:color w:val="auto"/>
          <w:sz w:val="32"/>
          <w:szCs w:val="32"/>
        </w:rPr>
        <w:t>负债合计</w:t>
      </w:r>
      <w:r>
        <w:rPr>
          <w:rFonts w:hint="default" w:ascii="Times New Roman" w:hAnsi="Times New Roman" w:eastAsia="方正仿宋_GBK" w:cs="Times New Roman"/>
          <w:color w:val="auto"/>
          <w:sz w:val="32"/>
          <w:szCs w:val="32"/>
        </w:rPr>
        <w:t>45.12</w:t>
      </w:r>
      <w:r>
        <w:rPr>
          <w:rFonts w:eastAsia="方正仿宋_GBK"/>
          <w:color w:val="auto"/>
          <w:sz w:val="32"/>
          <w:szCs w:val="32"/>
        </w:rPr>
        <w:t>亿元。</w:t>
      </w:r>
      <w:r>
        <w:rPr>
          <w:rFonts w:hint="eastAsia" w:eastAsia="方正仿宋_GBK"/>
          <w:color w:val="auto"/>
          <w:sz w:val="32"/>
          <w:szCs w:val="32"/>
        </w:rPr>
        <w:t>全年实现营业</w:t>
      </w:r>
      <w:r>
        <w:rPr>
          <w:rFonts w:eastAsia="方正仿宋_GBK"/>
          <w:color w:val="auto"/>
          <w:sz w:val="32"/>
          <w:szCs w:val="32"/>
        </w:rPr>
        <w:t>收入</w:t>
      </w:r>
      <w:r>
        <w:rPr>
          <w:rFonts w:hint="default" w:ascii="Times New Roman" w:hAnsi="Times New Roman" w:eastAsia="方正仿宋_GBK" w:cs="Times New Roman"/>
          <w:color w:val="auto"/>
          <w:sz w:val="32"/>
          <w:szCs w:val="32"/>
        </w:rPr>
        <w:t>10.38</w:t>
      </w:r>
      <w:r>
        <w:rPr>
          <w:rFonts w:eastAsia="方正仿宋_GBK"/>
          <w:color w:val="auto"/>
          <w:sz w:val="32"/>
          <w:szCs w:val="32"/>
        </w:rPr>
        <w:t>亿元。</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行政事业及非企业法人单位年末资产</w:t>
      </w:r>
      <w:r>
        <w:rPr>
          <w:rFonts w:hint="default" w:ascii="Times New Roman" w:hAnsi="Times New Roman" w:eastAsia="方正仿宋_GBK" w:cs="Times New Roman"/>
          <w:color w:val="auto"/>
          <w:sz w:val="32"/>
          <w:szCs w:val="32"/>
        </w:rPr>
        <w:t>1.71</w:t>
      </w:r>
      <w:r>
        <w:rPr>
          <w:rFonts w:hint="eastAsia" w:eastAsia="方正仿宋_GBK"/>
          <w:color w:val="auto"/>
          <w:sz w:val="32"/>
          <w:szCs w:val="32"/>
        </w:rPr>
        <w:t>亿元，比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w:t>
      </w:r>
      <w:r>
        <w:rPr>
          <w:rFonts w:eastAsia="方正仿宋_GBK"/>
          <w:color w:val="auto"/>
          <w:sz w:val="32"/>
          <w:szCs w:val="32"/>
        </w:rPr>
        <w:t>增长</w:t>
      </w:r>
      <w:r>
        <w:rPr>
          <w:rFonts w:hint="default" w:ascii="Times New Roman" w:hAnsi="Times New Roman" w:eastAsia="方正仿宋_GBK" w:cs="Times New Roman"/>
          <w:color w:val="auto"/>
          <w:sz w:val="32"/>
          <w:szCs w:val="32"/>
        </w:rPr>
        <w:t>71.0%</w:t>
      </w:r>
      <w:r>
        <w:rPr>
          <w:rFonts w:eastAsia="方正仿宋_GBK"/>
          <w:color w:val="auto"/>
          <w:sz w:val="32"/>
          <w:szCs w:val="32"/>
        </w:rPr>
        <w:t>。</w:t>
      </w:r>
      <w:r>
        <w:rPr>
          <w:rFonts w:hint="eastAsia" w:eastAsia="方正仿宋_GBK"/>
          <w:color w:val="auto"/>
          <w:sz w:val="32"/>
          <w:szCs w:val="32"/>
        </w:rPr>
        <w:t>本年支出（费用）合计</w:t>
      </w:r>
      <w:r>
        <w:rPr>
          <w:rFonts w:hint="default" w:ascii="Times New Roman" w:hAnsi="Times New Roman" w:eastAsia="方正仿宋_GBK" w:cs="Times New Roman"/>
          <w:color w:val="auto"/>
          <w:sz w:val="32"/>
          <w:szCs w:val="32"/>
        </w:rPr>
        <w:t>0.80</w:t>
      </w:r>
      <w:r>
        <w:rPr>
          <w:rFonts w:hint="eastAsia" w:eastAsia="方正仿宋_GBK"/>
          <w:color w:val="auto"/>
          <w:sz w:val="32"/>
          <w:szCs w:val="32"/>
        </w:rPr>
        <w:t>亿元。</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七</w:t>
      </w:r>
      <w:r>
        <w:rPr>
          <w:rFonts w:ascii="方正黑体_GBK" w:eastAsia="方正黑体_GBK"/>
          <w:color w:val="auto"/>
          <w:sz w:val="32"/>
          <w:szCs w:val="32"/>
        </w:rPr>
        <w:t>、</w:t>
      </w:r>
      <w:r>
        <w:rPr>
          <w:rFonts w:hint="eastAsia" w:ascii="方正黑体_GBK" w:eastAsia="方正黑体_GBK"/>
          <w:color w:val="auto"/>
          <w:sz w:val="32"/>
          <w:szCs w:val="32"/>
        </w:rPr>
        <w:t>公共管理</w:t>
      </w:r>
      <w:r>
        <w:rPr>
          <w:rFonts w:ascii="方正黑体_GBK" w:eastAsia="方正黑体_GBK"/>
          <w:color w:val="auto"/>
          <w:sz w:val="32"/>
          <w:szCs w:val="32"/>
        </w:rPr>
        <w:t>、社会保障和社会组织</w:t>
      </w:r>
    </w:p>
    <w:p>
      <w:pPr>
        <w:snapToGrid w:val="0"/>
        <w:spacing w:line="600" w:lineRule="exact"/>
        <w:ind w:firstLine="640" w:firstLineChars="200"/>
        <w:rPr>
          <w:rFonts w:ascii="黑体" w:hAnsi="黑体" w:eastAsia="黑体" w:cs="宋体"/>
          <w:color w:val="auto"/>
          <w:kern w:val="0"/>
          <w:sz w:val="28"/>
          <w:szCs w:val="28"/>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年末，全区共有公共管理、社会保障和社会组织法人单位</w:t>
      </w:r>
      <w:r>
        <w:rPr>
          <w:rFonts w:hint="default" w:ascii="Times New Roman" w:hAnsi="Times New Roman" w:eastAsia="方正仿宋_GBK" w:cs="Times New Roman"/>
          <w:color w:val="auto"/>
          <w:sz w:val="32"/>
          <w:szCs w:val="32"/>
        </w:rPr>
        <w:t>457</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rPr>
        <w:t>6.3%</w:t>
      </w:r>
      <w:r>
        <w:rPr>
          <w:rFonts w:hint="eastAsia" w:eastAsia="方正仿宋_GBK"/>
          <w:color w:val="auto"/>
          <w:sz w:val="32"/>
          <w:szCs w:val="32"/>
        </w:rPr>
        <w:t>，从业人员</w:t>
      </w:r>
      <w:r>
        <w:rPr>
          <w:rFonts w:hint="default" w:ascii="Times New Roman" w:hAnsi="Times New Roman" w:eastAsia="方正仿宋_GBK" w:cs="Times New Roman"/>
          <w:color w:val="auto"/>
          <w:sz w:val="32"/>
          <w:szCs w:val="32"/>
        </w:rPr>
        <w:t>1.32</w:t>
      </w:r>
      <w:r>
        <w:rPr>
          <w:rFonts w:hint="eastAsia" w:eastAsia="方正仿宋_GBK"/>
          <w:color w:val="auto"/>
          <w:sz w:val="32"/>
          <w:szCs w:val="32"/>
        </w:rPr>
        <w:t>万人，下降</w:t>
      </w:r>
      <w:r>
        <w:rPr>
          <w:rFonts w:hint="default" w:ascii="Times New Roman" w:hAnsi="Times New Roman" w:eastAsia="方正仿宋_GBK" w:cs="Times New Roman"/>
          <w:color w:val="auto"/>
          <w:sz w:val="32"/>
          <w:szCs w:val="32"/>
        </w:rPr>
        <w:t>6.4%</w:t>
      </w:r>
      <w:r>
        <w:rPr>
          <w:rFonts w:hint="eastAsia" w:eastAsia="方正仿宋_GBK"/>
          <w:color w:val="auto"/>
          <w:sz w:val="32"/>
          <w:szCs w:val="32"/>
        </w:rPr>
        <w:t>。行政事业及非企业法人单位的本年支出（费用）合计</w:t>
      </w:r>
      <w:r>
        <w:rPr>
          <w:rFonts w:hint="default" w:ascii="Times New Roman" w:hAnsi="Times New Roman" w:eastAsia="方正仿宋_GBK" w:cs="Times New Roman"/>
          <w:color w:val="auto"/>
          <w:sz w:val="32"/>
          <w:szCs w:val="32"/>
        </w:rPr>
        <w:t>58.47</w:t>
      </w:r>
      <w:r>
        <w:rPr>
          <w:rFonts w:hint="eastAsia" w:eastAsia="方正仿宋_GBK"/>
          <w:color w:val="auto"/>
          <w:sz w:val="32"/>
          <w:szCs w:val="32"/>
        </w:rPr>
        <w:t>亿元。</w:t>
      </w:r>
    </w:p>
    <w:p>
      <w:pPr>
        <w:spacing w:line="600" w:lineRule="exact"/>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注释：</w:t>
      </w:r>
    </w:p>
    <w:p>
      <w:pPr>
        <w:spacing w:line="60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[1]</w:t>
      </w:r>
      <w:r>
        <w:rPr>
          <w:rFonts w:eastAsia="方正仿宋_GBK"/>
          <w:color w:val="auto"/>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60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[2]</w:t>
      </w:r>
      <w:r>
        <w:rPr>
          <w:rFonts w:eastAsia="方正仿宋_GBK"/>
          <w:color w:val="auto"/>
          <w:kern w:val="0"/>
          <w:sz w:val="28"/>
          <w:szCs w:val="28"/>
        </w:rPr>
        <w:t>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pPr>
        <w:spacing w:line="60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[3]</w:t>
      </w:r>
      <w:r>
        <w:rPr>
          <w:rFonts w:eastAsia="方正仿宋_GBK"/>
          <w:color w:val="auto"/>
          <w:kern w:val="0"/>
          <w:sz w:val="28"/>
          <w:szCs w:val="28"/>
        </w:rPr>
        <w:t>表中的合计数和部分计算数据因小数取舍而产生的误差，均未作机械调整。</w:t>
      </w: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spacing w:line="600" w:lineRule="exact"/>
        <w:ind w:firstLine="560" w:firstLineChars="200"/>
        <w:rPr>
          <w:rFonts w:eastAsia="方正仿宋_GBK"/>
          <w:color w:val="auto"/>
          <w:kern w:val="0"/>
          <w:sz w:val="28"/>
          <w:szCs w:val="28"/>
        </w:rPr>
      </w:pPr>
    </w:p>
    <w:p>
      <w:pPr>
        <w:rPr>
          <w:color w:val="auto"/>
        </w:rPr>
      </w:pPr>
    </w:p>
    <w:p>
      <w:pPr>
        <w:widowControl/>
        <w:spacing w:line="600" w:lineRule="exact"/>
        <w:jc w:val="center"/>
        <w:rPr>
          <w:rFonts w:eastAsia="方正小标宋_GBK"/>
          <w:bCs/>
          <w:color w:val="auto"/>
          <w:kern w:val="0"/>
          <w:sz w:val="36"/>
          <w:szCs w:val="36"/>
        </w:rPr>
      </w:pPr>
      <w:r>
        <w:rPr>
          <w:rFonts w:hint="eastAsia" w:eastAsia="方正小标宋_GBK"/>
          <w:bCs/>
          <w:color w:val="auto"/>
          <w:kern w:val="0"/>
          <w:sz w:val="36"/>
          <w:szCs w:val="36"/>
          <w:lang w:eastAsia="zh-CN"/>
        </w:rPr>
        <w:t>南岸区</w:t>
      </w:r>
      <w:r>
        <w:rPr>
          <w:rFonts w:hint="eastAsia" w:eastAsia="方正小标宋_GBK"/>
          <w:bCs/>
          <w:color w:val="auto"/>
          <w:kern w:val="0"/>
          <w:sz w:val="36"/>
          <w:szCs w:val="36"/>
        </w:rPr>
        <w:t>第四次全国经济普查公报（第六号）</w:t>
      </w:r>
    </w:p>
    <w:p>
      <w:pPr>
        <w:widowControl/>
        <w:spacing w:line="600" w:lineRule="exact"/>
        <w:jc w:val="center"/>
        <w:rPr>
          <w:rFonts w:hint="eastAsia" w:eastAsia="方正楷体_GBK"/>
          <w:bCs/>
          <w:color w:val="auto"/>
          <w:kern w:val="0"/>
          <w:sz w:val="32"/>
          <w:szCs w:val="36"/>
        </w:rPr>
      </w:pPr>
      <w:r>
        <w:rPr>
          <w:rFonts w:hint="eastAsia" w:eastAsia="方正楷体_GBK"/>
          <w:bCs/>
          <w:color w:val="auto"/>
          <w:kern w:val="0"/>
          <w:sz w:val="32"/>
          <w:szCs w:val="36"/>
        </w:rPr>
        <w:t>——部分新兴产业</w:t>
      </w:r>
      <w:r>
        <w:rPr>
          <w:rFonts w:eastAsia="方正楷体_GBK"/>
          <w:bCs/>
          <w:color w:val="auto"/>
          <w:kern w:val="0"/>
          <w:sz w:val="32"/>
          <w:szCs w:val="36"/>
        </w:rPr>
        <w:t>基本情况</w:t>
      </w:r>
    </w:p>
    <w:p>
      <w:pPr>
        <w:widowControl/>
        <w:spacing w:line="600" w:lineRule="exact"/>
        <w:jc w:val="center"/>
        <w:rPr>
          <w:rFonts w:eastAsia="方正楷体_GBK"/>
          <w:bCs/>
          <w:color w:val="auto"/>
          <w:kern w:val="0"/>
          <w:sz w:val="32"/>
          <w:szCs w:val="36"/>
        </w:rPr>
      </w:pPr>
    </w:p>
    <w:p>
      <w:pPr>
        <w:widowControl/>
        <w:spacing w:line="600" w:lineRule="exact"/>
        <w:jc w:val="center"/>
        <w:rPr>
          <w:rFonts w:hint="eastAsia" w:eastAsia="方正楷体_GBK"/>
          <w:bCs/>
          <w:color w:val="auto"/>
          <w:kern w:val="0"/>
          <w:sz w:val="32"/>
          <w:szCs w:val="36"/>
        </w:rPr>
      </w:pPr>
      <w:r>
        <w:rPr>
          <w:rFonts w:hint="eastAsia" w:eastAsia="方正楷体_GBK"/>
          <w:bCs/>
          <w:color w:val="auto"/>
          <w:kern w:val="0"/>
          <w:sz w:val="32"/>
          <w:szCs w:val="36"/>
          <w:lang w:eastAsia="zh-CN"/>
        </w:rPr>
        <w:t>南岸区</w:t>
      </w:r>
      <w:r>
        <w:rPr>
          <w:rFonts w:hint="eastAsia" w:eastAsia="方正楷体_GBK"/>
          <w:bCs/>
          <w:color w:val="auto"/>
          <w:kern w:val="0"/>
          <w:sz w:val="32"/>
          <w:szCs w:val="36"/>
        </w:rPr>
        <w:t>统计局</w:t>
      </w:r>
    </w:p>
    <w:p>
      <w:pPr>
        <w:widowControl/>
        <w:spacing w:line="600" w:lineRule="exact"/>
        <w:jc w:val="center"/>
        <w:rPr>
          <w:rFonts w:hint="eastAsia" w:eastAsia="方正楷体_GBK"/>
          <w:bCs/>
          <w:color w:val="auto"/>
          <w:kern w:val="0"/>
          <w:sz w:val="32"/>
          <w:szCs w:val="36"/>
        </w:rPr>
      </w:pPr>
      <w:r>
        <w:rPr>
          <w:rFonts w:hint="eastAsia" w:eastAsia="方正楷体_GBK"/>
          <w:bCs/>
          <w:color w:val="auto"/>
          <w:kern w:val="0"/>
          <w:sz w:val="32"/>
          <w:szCs w:val="36"/>
          <w:lang w:eastAsia="zh-CN"/>
        </w:rPr>
        <w:t>南岸区</w:t>
      </w:r>
      <w:r>
        <w:rPr>
          <w:rFonts w:hint="eastAsia" w:eastAsia="方正楷体_GBK"/>
          <w:bCs/>
          <w:color w:val="auto"/>
          <w:kern w:val="0"/>
          <w:sz w:val="32"/>
          <w:szCs w:val="36"/>
        </w:rPr>
        <w:t>人民</w:t>
      </w:r>
      <w:r>
        <w:rPr>
          <w:rFonts w:eastAsia="方正楷体_GBK"/>
          <w:bCs/>
          <w:color w:val="auto"/>
          <w:kern w:val="0"/>
          <w:sz w:val="32"/>
          <w:szCs w:val="36"/>
        </w:rPr>
        <w:t>政府</w:t>
      </w:r>
      <w:r>
        <w:rPr>
          <w:rFonts w:hint="eastAsia" w:eastAsia="方正楷体_GBK"/>
          <w:bCs/>
          <w:color w:val="auto"/>
          <w:kern w:val="0"/>
          <w:sz w:val="32"/>
          <w:szCs w:val="36"/>
        </w:rPr>
        <w:t>第四次全国经济普查领导小组办公室</w:t>
      </w:r>
    </w:p>
    <w:p>
      <w:pPr>
        <w:widowControl/>
        <w:spacing w:line="600" w:lineRule="exact"/>
        <w:jc w:val="center"/>
        <w:rPr>
          <w:rFonts w:hint="eastAsia" w:eastAsia="方正楷体_GBK"/>
          <w:bCs/>
          <w:color w:val="auto"/>
          <w:kern w:val="0"/>
          <w:sz w:val="32"/>
          <w:szCs w:val="36"/>
        </w:rPr>
      </w:pPr>
      <w:r>
        <w:rPr>
          <w:rFonts w:hint="default" w:ascii="Times New Roman" w:hAnsi="Times New Roman" w:eastAsia="方正楷体_GBK" w:cs="Times New Roman"/>
          <w:bCs/>
          <w:color w:val="auto"/>
          <w:kern w:val="0"/>
          <w:sz w:val="32"/>
          <w:szCs w:val="36"/>
        </w:rPr>
        <w:t>2020</w:t>
      </w:r>
      <w:r>
        <w:rPr>
          <w:rFonts w:hint="eastAsia" w:eastAsia="方正楷体_GBK"/>
          <w:bCs/>
          <w:color w:val="auto"/>
          <w:kern w:val="0"/>
          <w:sz w:val="32"/>
          <w:szCs w:val="36"/>
        </w:rPr>
        <w:t>年</w:t>
      </w:r>
      <w:r>
        <w:rPr>
          <w:rFonts w:hint="default" w:ascii="Times New Roman" w:hAnsi="Times New Roman" w:eastAsia="方正楷体_GBK" w:cs="Times New Roman"/>
          <w:bCs/>
          <w:color w:val="auto"/>
          <w:kern w:val="0"/>
          <w:sz w:val="32"/>
          <w:szCs w:val="36"/>
          <w:lang w:val="en-US" w:eastAsia="zh-CN"/>
        </w:rPr>
        <w:t>4</w:t>
      </w:r>
      <w:r>
        <w:rPr>
          <w:rFonts w:hint="eastAsia" w:eastAsia="方正楷体_GBK"/>
          <w:bCs/>
          <w:color w:val="auto"/>
          <w:kern w:val="0"/>
          <w:sz w:val="32"/>
          <w:szCs w:val="36"/>
        </w:rPr>
        <w:t>月</w:t>
      </w:r>
      <w:r>
        <w:rPr>
          <w:rFonts w:hint="default" w:ascii="Times New Roman" w:hAnsi="Times New Roman" w:eastAsia="方正楷体_GBK" w:cs="Times New Roman"/>
          <w:bCs/>
          <w:color w:val="auto"/>
          <w:kern w:val="0"/>
          <w:sz w:val="32"/>
          <w:szCs w:val="36"/>
          <w:lang w:val="en-US" w:eastAsia="zh-CN"/>
        </w:rPr>
        <w:t>22</w:t>
      </w:r>
      <w:r>
        <w:rPr>
          <w:rFonts w:hint="eastAsia" w:eastAsia="方正楷体_GBK"/>
          <w:bCs/>
          <w:color w:val="auto"/>
          <w:kern w:val="0"/>
          <w:sz w:val="32"/>
          <w:szCs w:val="36"/>
        </w:rPr>
        <w:t>日</w:t>
      </w:r>
    </w:p>
    <w:p>
      <w:pPr>
        <w:widowControl/>
        <w:spacing w:line="600" w:lineRule="exact"/>
        <w:jc w:val="left"/>
        <w:rPr>
          <w:rFonts w:ascii="宋体" w:hAnsi="宋体" w:cs="宋体"/>
          <w:color w:val="auto"/>
          <w:kern w:val="0"/>
          <w:sz w:val="24"/>
        </w:rPr>
      </w:pPr>
      <w:r>
        <w:rPr>
          <w:color w:val="auto"/>
          <w:kern w:val="0"/>
          <w:sz w:val="24"/>
        </w:rPr>
        <w:t> </w:t>
      </w:r>
    </w:p>
    <w:p>
      <w:pPr>
        <w:snapToGrid w:val="0"/>
        <w:spacing w:line="600" w:lineRule="exact"/>
        <w:ind w:firstLine="640" w:firstLineChars="200"/>
        <w:rPr>
          <w:rFonts w:eastAsia="方正仿宋_GBK"/>
          <w:color w:val="auto"/>
          <w:sz w:val="32"/>
          <w:szCs w:val="32"/>
        </w:rPr>
      </w:pPr>
      <w:r>
        <w:rPr>
          <w:rFonts w:hint="eastAsia" w:eastAsia="方正仿宋_GBK"/>
          <w:color w:val="auto"/>
          <w:sz w:val="32"/>
          <w:szCs w:val="32"/>
        </w:rPr>
        <w:t>根据第四次全国经济普查结果，现将部分新兴产业</w:t>
      </w:r>
      <w:r>
        <w:rPr>
          <w:rFonts w:eastAsia="方正仿宋_GBK"/>
          <w:color w:val="auto"/>
          <w:sz w:val="32"/>
          <w:szCs w:val="32"/>
        </w:rPr>
        <w:t>的</w:t>
      </w:r>
      <w:r>
        <w:rPr>
          <w:rFonts w:hint="eastAsia" w:eastAsia="方正仿宋_GBK"/>
          <w:color w:val="auto"/>
          <w:sz w:val="32"/>
          <w:szCs w:val="32"/>
        </w:rPr>
        <w:t>主要数据公布如下：</w:t>
      </w:r>
    </w:p>
    <w:p>
      <w:pPr>
        <w:snapToGrid w:val="0"/>
        <w:spacing w:line="600" w:lineRule="exact"/>
        <w:ind w:firstLine="640" w:firstLineChars="200"/>
        <w:rPr>
          <w:rFonts w:hint="eastAsia" w:ascii="方正黑体_GBK" w:eastAsia="方正黑体_GBK"/>
          <w:color w:val="auto"/>
          <w:sz w:val="32"/>
          <w:szCs w:val="32"/>
        </w:rPr>
      </w:pPr>
      <w:r>
        <w:rPr>
          <w:rFonts w:hint="eastAsia" w:ascii="方正黑体_GBK" w:eastAsia="方正黑体_GBK"/>
          <w:color w:val="auto"/>
          <w:sz w:val="32"/>
          <w:szCs w:val="32"/>
        </w:rPr>
        <w:t>一、工业战略性新兴产业</w:t>
      </w:r>
    </w:p>
    <w:p>
      <w:pPr>
        <w:snapToGrid w:val="0"/>
        <w:spacing w:line="600" w:lineRule="exact"/>
        <w:ind w:firstLine="640" w:firstLineChars="200"/>
        <w:rPr>
          <w:rFonts w:hint="eastAsia" w:ascii="方正黑体_GBK" w:eastAsia="方正黑体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年末，南岸从事战略</w:t>
      </w:r>
      <w:r>
        <w:rPr>
          <w:rFonts w:eastAsia="方正仿宋_GBK"/>
          <w:color w:val="auto"/>
          <w:sz w:val="32"/>
          <w:szCs w:val="32"/>
        </w:rPr>
        <w:t>性新兴产业</w:t>
      </w:r>
      <w:r>
        <w:rPr>
          <w:rFonts w:hint="eastAsia" w:eastAsia="方正仿宋_GBK"/>
          <w:color w:val="auto"/>
          <w:sz w:val="32"/>
          <w:szCs w:val="32"/>
        </w:rPr>
        <w:t>生产的</w:t>
      </w:r>
      <w:r>
        <w:rPr>
          <w:rFonts w:eastAsia="方正仿宋_GBK"/>
          <w:color w:val="auto"/>
          <w:sz w:val="32"/>
          <w:szCs w:val="32"/>
        </w:rPr>
        <w:t>规模以上工业企业法人单</w:t>
      </w:r>
      <w:r>
        <w:rPr>
          <w:rFonts w:hint="eastAsia" w:eastAsia="方正仿宋_GBK"/>
          <w:color w:val="auto"/>
          <w:sz w:val="32"/>
          <w:szCs w:val="32"/>
        </w:rPr>
        <w:t>位</w:t>
      </w:r>
      <w:r>
        <w:rPr>
          <w:rFonts w:hint="default" w:ascii="Times New Roman" w:hAnsi="Times New Roman" w:eastAsia="方正仿宋_GBK" w:cs="Times New Roman"/>
          <w:color w:val="auto"/>
          <w:sz w:val="32"/>
          <w:szCs w:val="32"/>
        </w:rPr>
        <w:t>39</w:t>
      </w:r>
      <w:r>
        <w:rPr>
          <w:rFonts w:hint="eastAsia" w:eastAsia="方正仿宋_GBK"/>
          <w:color w:val="auto"/>
          <w:sz w:val="32"/>
          <w:szCs w:val="32"/>
        </w:rPr>
        <w:t>个，占规模以上</w:t>
      </w:r>
      <w:r>
        <w:rPr>
          <w:rFonts w:eastAsia="方正仿宋_GBK"/>
          <w:color w:val="auto"/>
          <w:sz w:val="32"/>
          <w:szCs w:val="32"/>
        </w:rPr>
        <w:t>工业</w:t>
      </w:r>
      <w:r>
        <w:rPr>
          <w:rFonts w:hint="eastAsia" w:eastAsia="方正仿宋_GBK"/>
          <w:color w:val="auto"/>
          <w:sz w:val="32"/>
          <w:szCs w:val="32"/>
        </w:rPr>
        <w:t>企业</w:t>
      </w:r>
      <w:r>
        <w:rPr>
          <w:rFonts w:eastAsia="方正仿宋_GBK"/>
          <w:color w:val="auto"/>
          <w:sz w:val="32"/>
          <w:szCs w:val="32"/>
        </w:rPr>
        <w:t>法人单位</w:t>
      </w:r>
      <w:r>
        <w:rPr>
          <w:rFonts w:hint="eastAsia" w:eastAsia="方正仿宋_GBK"/>
          <w:color w:val="auto"/>
          <w:sz w:val="32"/>
          <w:szCs w:val="32"/>
        </w:rPr>
        <w:t>的</w:t>
      </w:r>
      <w:r>
        <w:rPr>
          <w:rFonts w:hint="default" w:ascii="Times New Roman" w:hAnsi="Times New Roman" w:eastAsia="方正仿宋_GBK" w:cs="Times New Roman"/>
          <w:color w:val="auto"/>
          <w:sz w:val="32"/>
          <w:szCs w:val="32"/>
        </w:rPr>
        <w:t>22.3%</w:t>
      </w:r>
      <w:r>
        <w:rPr>
          <w:rFonts w:hint="eastAsia" w:eastAsia="方正仿宋_GBK"/>
          <w:color w:val="auto"/>
          <w:sz w:val="32"/>
          <w:szCs w:val="32"/>
        </w:rPr>
        <w:t>。其中，新一代信息技术</w:t>
      </w:r>
      <w:r>
        <w:rPr>
          <w:rFonts w:eastAsia="方正仿宋_GBK"/>
          <w:color w:val="auto"/>
          <w:sz w:val="32"/>
          <w:szCs w:val="32"/>
        </w:rPr>
        <w:t>产业</w:t>
      </w:r>
      <w:r>
        <w:rPr>
          <w:rFonts w:hint="default" w:ascii="Times New Roman" w:hAnsi="Times New Roman" w:eastAsia="方正仿宋_GBK" w:cs="Times New Roman"/>
          <w:color w:val="auto"/>
          <w:sz w:val="32"/>
          <w:szCs w:val="32"/>
        </w:rPr>
        <w:t>14</w:t>
      </w:r>
      <w:r>
        <w:rPr>
          <w:rFonts w:eastAsia="方正仿宋_GBK"/>
          <w:color w:val="auto"/>
          <w:sz w:val="32"/>
          <w:szCs w:val="32"/>
        </w:rPr>
        <w:t>个</w:t>
      </w:r>
      <w:r>
        <w:rPr>
          <w:rFonts w:hint="eastAsia" w:eastAsia="方正仿宋_GBK"/>
          <w:color w:val="auto"/>
          <w:sz w:val="32"/>
          <w:szCs w:val="32"/>
        </w:rPr>
        <w:t>，占</w:t>
      </w:r>
      <w:r>
        <w:rPr>
          <w:rFonts w:eastAsia="方正仿宋_GBK"/>
          <w:color w:val="auto"/>
          <w:sz w:val="32"/>
          <w:szCs w:val="32"/>
        </w:rPr>
        <w:t>工业</w:t>
      </w:r>
      <w:r>
        <w:rPr>
          <w:rFonts w:hint="eastAsia" w:eastAsia="方正仿宋_GBK"/>
          <w:color w:val="auto"/>
          <w:sz w:val="32"/>
          <w:szCs w:val="32"/>
        </w:rPr>
        <w:t>战略性</w:t>
      </w:r>
      <w:r>
        <w:rPr>
          <w:rFonts w:eastAsia="方正仿宋_GBK"/>
          <w:color w:val="auto"/>
          <w:sz w:val="32"/>
          <w:szCs w:val="32"/>
        </w:rPr>
        <w:t>新兴产业</w:t>
      </w:r>
      <w:r>
        <w:rPr>
          <w:rFonts w:hint="eastAsia" w:eastAsia="方正仿宋_GBK"/>
          <w:color w:val="auto"/>
          <w:sz w:val="32"/>
          <w:szCs w:val="32"/>
        </w:rPr>
        <w:t>企业</w:t>
      </w:r>
      <w:r>
        <w:rPr>
          <w:rFonts w:eastAsia="方正仿宋_GBK"/>
          <w:color w:val="auto"/>
          <w:sz w:val="32"/>
          <w:szCs w:val="32"/>
        </w:rPr>
        <w:t>法人单位</w:t>
      </w:r>
      <w:r>
        <w:rPr>
          <w:rFonts w:hint="eastAsia" w:eastAsia="方正仿宋_GBK"/>
          <w:color w:val="auto"/>
          <w:sz w:val="32"/>
          <w:szCs w:val="32"/>
        </w:rPr>
        <w:t>的</w:t>
      </w:r>
      <w:r>
        <w:rPr>
          <w:rFonts w:hint="default" w:ascii="Times New Roman" w:hAnsi="Times New Roman" w:eastAsia="方正仿宋_GBK" w:cs="Times New Roman"/>
          <w:color w:val="auto"/>
          <w:sz w:val="32"/>
          <w:szCs w:val="32"/>
        </w:rPr>
        <w:t>35.9%</w:t>
      </w:r>
      <w:r>
        <w:rPr>
          <w:rFonts w:hint="eastAsia" w:eastAsia="方正仿宋_GBK"/>
          <w:color w:val="auto"/>
          <w:sz w:val="32"/>
          <w:szCs w:val="32"/>
        </w:rPr>
        <w:t>；生</w:t>
      </w:r>
      <w:r>
        <w:rPr>
          <w:rFonts w:eastAsia="方正仿宋_GBK"/>
          <w:color w:val="auto"/>
          <w:sz w:val="32"/>
          <w:szCs w:val="32"/>
        </w:rPr>
        <w:t>物产业</w:t>
      </w:r>
      <w:r>
        <w:rPr>
          <w:rFonts w:hint="default" w:ascii="Times New Roman" w:hAnsi="Times New Roman" w:eastAsia="方正仿宋_GBK" w:cs="Times New Roman"/>
          <w:color w:val="auto"/>
          <w:sz w:val="32"/>
          <w:szCs w:val="32"/>
        </w:rPr>
        <w:t>8</w:t>
      </w:r>
      <w:r>
        <w:rPr>
          <w:rFonts w:eastAsia="方正仿宋_GBK"/>
          <w:color w:val="auto"/>
          <w:sz w:val="32"/>
          <w:szCs w:val="32"/>
        </w:rPr>
        <w:t>个</w:t>
      </w:r>
      <w:r>
        <w:rPr>
          <w:rFonts w:hint="eastAsia" w:eastAsia="方正仿宋_GBK"/>
          <w:color w:val="auto"/>
          <w:sz w:val="32"/>
          <w:szCs w:val="32"/>
        </w:rPr>
        <w:t>，占</w:t>
      </w:r>
      <w:r>
        <w:rPr>
          <w:rFonts w:hint="default" w:ascii="Times New Roman" w:hAnsi="Times New Roman" w:eastAsia="方正仿宋_GBK" w:cs="Times New Roman"/>
          <w:color w:val="auto"/>
          <w:sz w:val="32"/>
          <w:szCs w:val="32"/>
        </w:rPr>
        <w:t>20.5%</w:t>
      </w:r>
      <w:r>
        <w:rPr>
          <w:rFonts w:hint="eastAsia" w:eastAsia="方正仿宋_GBK"/>
          <w:color w:val="auto"/>
          <w:sz w:val="32"/>
          <w:szCs w:val="32"/>
        </w:rPr>
        <w:t>；高端装备制造</w:t>
      </w:r>
      <w:r>
        <w:rPr>
          <w:rFonts w:eastAsia="方正仿宋_GBK"/>
          <w:color w:val="auto"/>
          <w:sz w:val="32"/>
          <w:szCs w:val="32"/>
        </w:rPr>
        <w:t>业</w:t>
      </w:r>
      <w:r>
        <w:rPr>
          <w:rFonts w:hint="default" w:ascii="Times New Roman" w:hAnsi="Times New Roman" w:eastAsia="方正仿宋_GBK" w:cs="Times New Roman"/>
          <w:color w:val="auto"/>
          <w:sz w:val="32"/>
          <w:szCs w:val="32"/>
        </w:rPr>
        <w:t>6</w:t>
      </w:r>
      <w:r>
        <w:rPr>
          <w:rFonts w:hint="eastAsia" w:eastAsia="方正仿宋_GBK"/>
          <w:color w:val="auto"/>
          <w:sz w:val="32"/>
          <w:szCs w:val="32"/>
        </w:rPr>
        <w:t>个，占</w:t>
      </w:r>
      <w:r>
        <w:rPr>
          <w:rFonts w:hint="default" w:ascii="Times New Roman" w:hAnsi="Times New Roman" w:eastAsia="方正仿宋_GBK" w:cs="Times New Roman"/>
          <w:color w:val="auto"/>
          <w:sz w:val="32"/>
          <w:szCs w:val="32"/>
        </w:rPr>
        <w:t>15.4%</w:t>
      </w:r>
      <w:r>
        <w:rPr>
          <w:rFonts w:hint="eastAsia" w:eastAsia="方正仿宋_GBK"/>
          <w:color w:val="auto"/>
          <w:sz w:val="32"/>
          <w:szCs w:val="32"/>
        </w:rPr>
        <w:t>。</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二、高技术制造业</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年末，南岸区共有规模以上高技术产业（制造业）企业法人单位</w:t>
      </w:r>
      <w:r>
        <w:rPr>
          <w:rFonts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rPr>
        <w:t>5</w:t>
      </w:r>
      <w:r>
        <w:rPr>
          <w:rFonts w:hint="eastAsia" w:eastAsia="方正仿宋_GBK"/>
          <w:color w:val="auto"/>
          <w:sz w:val="32"/>
          <w:szCs w:val="32"/>
        </w:rPr>
        <w:t>个，占规模以上制造业的比重为</w:t>
      </w:r>
      <w:r>
        <w:rPr>
          <w:rFonts w:hint="eastAsia" w:ascii="Times New Roman" w:hAnsi="Times New Roman" w:eastAsia="方正仿宋_GBK" w:cs="Times New Roman"/>
          <w:color w:val="auto"/>
          <w:sz w:val="32"/>
          <w:szCs w:val="32"/>
        </w:rPr>
        <w:t>20</w:t>
      </w:r>
      <w:r>
        <w:rPr>
          <w:rFonts w:ascii="Times New Roman" w:hAnsi="Times New Roman" w:eastAsia="方正仿宋_GBK" w:cs="Times New Roman"/>
          <w:color w:val="auto"/>
          <w:sz w:val="32"/>
          <w:szCs w:val="32"/>
        </w:rPr>
        <w:t>%</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年，规模以上高技术产业（制造业）企业法人单位</w:t>
      </w:r>
      <w:r>
        <w:rPr>
          <w:rFonts w:ascii="Times New Roman" w:hAnsi="Times New Roman" w:eastAsia="方正仿宋_GBK" w:cs="Times New Roman"/>
          <w:color w:val="auto"/>
          <w:sz w:val="32"/>
          <w:szCs w:val="32"/>
        </w:rPr>
        <w:t>R&amp;D</w:t>
      </w:r>
      <w:r>
        <w:rPr>
          <w:rFonts w:hint="eastAsia" w:eastAsia="方正仿宋_GBK"/>
          <w:color w:val="auto"/>
          <w:sz w:val="32"/>
          <w:szCs w:val="32"/>
        </w:rPr>
        <w:t>（全称研究与试验发展，以下简称</w:t>
      </w:r>
      <w:r>
        <w:rPr>
          <w:rFonts w:ascii="Times New Roman" w:hAnsi="Times New Roman" w:eastAsia="方正仿宋_GBK" w:cs="Times New Roman"/>
          <w:color w:val="auto"/>
          <w:sz w:val="32"/>
          <w:szCs w:val="32"/>
        </w:rPr>
        <w:t>R&amp;D</w:t>
      </w:r>
      <w:r>
        <w:rPr>
          <w:rFonts w:hint="eastAsia" w:eastAsia="方正仿宋_GBK"/>
          <w:color w:val="auto"/>
          <w:sz w:val="32"/>
          <w:szCs w:val="32"/>
        </w:rPr>
        <w:t>）经费支出</w:t>
      </w:r>
      <w:r>
        <w:rPr>
          <w:rFonts w:ascii="Times New Roman" w:hAnsi="Times New Roman" w:eastAsia="方正仿宋_GBK" w:cs="Times New Roman"/>
          <w:color w:val="auto"/>
          <w:sz w:val="32"/>
          <w:szCs w:val="32"/>
        </w:rPr>
        <w:t>2.53</w:t>
      </w:r>
      <w:r>
        <w:rPr>
          <w:rFonts w:hint="eastAsia" w:eastAsia="方正仿宋_GBK"/>
          <w:color w:val="auto"/>
          <w:sz w:val="32"/>
          <w:szCs w:val="32"/>
        </w:rPr>
        <w:t>亿元，占规模以上制造业的比重为</w:t>
      </w:r>
      <w:r>
        <w:rPr>
          <w:rFonts w:ascii="Times New Roman" w:hAnsi="Times New Roman" w:eastAsia="方正仿宋_GBK" w:cs="Times New Roman"/>
          <w:color w:val="auto"/>
          <w:sz w:val="32"/>
          <w:szCs w:val="32"/>
        </w:rPr>
        <w:t>24.5%</w:t>
      </w:r>
      <w:r>
        <w:rPr>
          <w:rFonts w:hint="eastAsia" w:eastAsia="方正仿宋_GBK"/>
          <w:color w:val="auto"/>
          <w:sz w:val="32"/>
          <w:szCs w:val="32"/>
        </w:rPr>
        <w:t xml:space="preserve">， </w:t>
      </w:r>
      <w:r>
        <w:rPr>
          <w:rFonts w:ascii="Times New Roman" w:hAnsi="Times New Roman" w:eastAsia="方正仿宋_GBK" w:cs="Times New Roman"/>
          <w:color w:val="auto"/>
          <w:sz w:val="32"/>
          <w:szCs w:val="32"/>
        </w:rPr>
        <w:t>R&amp;D</w:t>
      </w:r>
      <w:r>
        <w:rPr>
          <w:rFonts w:hint="eastAsia" w:eastAsia="方正仿宋_GBK"/>
          <w:color w:val="auto"/>
          <w:sz w:val="32"/>
          <w:szCs w:val="32"/>
        </w:rPr>
        <w:t>经费与营业收入之比为</w:t>
      </w:r>
      <w:r>
        <w:rPr>
          <w:rFonts w:ascii="Times New Roman" w:hAnsi="Times New Roman" w:eastAsia="方正仿宋_GBK" w:cs="Times New Roman"/>
          <w:color w:val="auto"/>
          <w:sz w:val="32"/>
          <w:szCs w:val="32"/>
        </w:rPr>
        <w:t>0.66%</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年，规模以上高技术产业（制造业）企业法人单位全年专利申请量</w:t>
      </w:r>
      <w:r>
        <w:rPr>
          <w:rFonts w:ascii="Times New Roman" w:hAnsi="Times New Roman" w:eastAsia="方正仿宋_GBK" w:cs="Times New Roman"/>
          <w:color w:val="auto"/>
          <w:sz w:val="32"/>
          <w:szCs w:val="32"/>
        </w:rPr>
        <w:t>104</w:t>
      </w:r>
      <w:r>
        <w:rPr>
          <w:rFonts w:hint="eastAsia" w:eastAsia="方正仿宋_GBK"/>
          <w:color w:val="auto"/>
          <w:sz w:val="32"/>
          <w:szCs w:val="32"/>
        </w:rPr>
        <w:t>件，其中发明专利申请</w:t>
      </w:r>
      <w:r>
        <w:rPr>
          <w:rFonts w:ascii="Times New Roman" w:hAnsi="Times New Roman" w:eastAsia="方正仿宋_GBK" w:cs="Times New Roman"/>
          <w:color w:val="auto"/>
          <w:sz w:val="32"/>
          <w:szCs w:val="32"/>
        </w:rPr>
        <w:t>39</w:t>
      </w:r>
      <w:r>
        <w:rPr>
          <w:rFonts w:hint="eastAsia" w:eastAsia="方正仿宋_GBK"/>
          <w:color w:val="auto"/>
          <w:sz w:val="32"/>
          <w:szCs w:val="32"/>
        </w:rPr>
        <w:t>件，发明专利申请所占比重为</w:t>
      </w:r>
      <w:r>
        <w:rPr>
          <w:rFonts w:ascii="Times New Roman" w:hAnsi="Times New Roman" w:eastAsia="方正仿宋_GBK" w:cs="Times New Roman"/>
          <w:color w:val="auto"/>
          <w:sz w:val="32"/>
          <w:szCs w:val="32"/>
        </w:rPr>
        <w:t>37.5%</w:t>
      </w:r>
      <w:r>
        <w:rPr>
          <w:rFonts w:hint="eastAsia" w:eastAsia="方正仿宋_GBK"/>
          <w:color w:val="auto"/>
          <w:sz w:val="32"/>
          <w:szCs w:val="32"/>
        </w:rPr>
        <w:t>，比规模以上制造业平均水平高</w:t>
      </w:r>
      <w:r>
        <w:rPr>
          <w:rFonts w:ascii="Times New Roman" w:hAnsi="Times New Roman" w:eastAsia="方正仿宋_GBK" w:cs="Times New Roman"/>
          <w:color w:val="auto"/>
          <w:sz w:val="32"/>
          <w:szCs w:val="32"/>
        </w:rPr>
        <w:t>6</w:t>
      </w:r>
      <w:r>
        <w:rPr>
          <w:rFonts w:hint="eastAsia" w:eastAsia="方正仿宋_GBK"/>
          <w:color w:val="auto"/>
          <w:sz w:val="32"/>
          <w:szCs w:val="32"/>
        </w:rPr>
        <w:t>个百分点。</w:t>
      </w:r>
    </w:p>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三、工业企业研究与试</w:t>
      </w:r>
      <w:r>
        <w:rPr>
          <w:rFonts w:ascii="方正黑体_GBK" w:eastAsia="方正黑体_GBK"/>
          <w:color w:val="auto"/>
          <w:sz w:val="32"/>
          <w:szCs w:val="32"/>
        </w:rPr>
        <w:t>验发展</w:t>
      </w:r>
      <w:r>
        <w:rPr>
          <w:rFonts w:hint="eastAsia" w:ascii="方正黑体_GBK" w:eastAsia="方正黑体_GBK"/>
          <w:color w:val="auto"/>
          <w:sz w:val="32"/>
          <w:szCs w:val="32"/>
        </w:rPr>
        <w:t>活动</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年，开展</w:t>
      </w:r>
      <w:r>
        <w:rPr>
          <w:rFonts w:ascii="Times New Roman" w:hAnsi="Times New Roman" w:eastAsia="方正仿宋_GBK" w:cs="Times New Roman"/>
          <w:color w:val="auto"/>
          <w:sz w:val="32"/>
          <w:szCs w:val="32"/>
        </w:rPr>
        <w:t>R&amp;D</w:t>
      </w:r>
      <w:r>
        <w:rPr>
          <w:rFonts w:hint="eastAsia" w:eastAsia="方正仿宋_GBK"/>
          <w:color w:val="auto"/>
          <w:sz w:val="32"/>
          <w:szCs w:val="32"/>
        </w:rPr>
        <w:t>活动的规模以上工业企业法人单位</w:t>
      </w:r>
      <w:r>
        <w:rPr>
          <w:rFonts w:ascii="Times New Roman" w:hAnsi="Times New Roman" w:eastAsia="方正仿宋_GBK" w:cs="Times New Roman"/>
          <w:color w:val="auto"/>
          <w:sz w:val="32"/>
          <w:szCs w:val="32"/>
        </w:rPr>
        <w:t>74</w:t>
      </w:r>
      <w:r>
        <w:rPr>
          <w:rFonts w:hint="eastAsia" w:eastAsia="方正仿宋_GBK"/>
          <w:color w:val="auto"/>
          <w:sz w:val="32"/>
          <w:szCs w:val="32"/>
        </w:rPr>
        <w:t>个，比</w:t>
      </w:r>
      <w:r>
        <w:rPr>
          <w:rFonts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ascii="Times New Roman" w:hAnsi="Times New Roman" w:eastAsia="方正仿宋_GBK" w:cs="Times New Roman"/>
          <w:color w:val="auto"/>
          <w:sz w:val="32"/>
          <w:szCs w:val="32"/>
        </w:rPr>
        <w:t>105.6%</w:t>
      </w:r>
      <w:r>
        <w:rPr>
          <w:rFonts w:hint="eastAsia" w:eastAsia="方正仿宋_GBK"/>
          <w:color w:val="auto"/>
          <w:sz w:val="32"/>
          <w:szCs w:val="32"/>
        </w:rPr>
        <w:t>，占全部规模以上工业企业法人单位的</w:t>
      </w:r>
      <w:r>
        <w:rPr>
          <w:rFonts w:ascii="Times New Roman" w:hAnsi="Times New Roman" w:eastAsia="方正仿宋_GBK" w:cs="Times New Roman"/>
          <w:color w:val="auto"/>
          <w:sz w:val="32"/>
          <w:szCs w:val="32"/>
        </w:rPr>
        <w:t>42.3%</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年，规模以上工业企业法人单位</w:t>
      </w:r>
      <w:r>
        <w:rPr>
          <w:rFonts w:ascii="Times New Roman" w:hAnsi="Times New Roman" w:eastAsia="方正仿宋_GBK" w:cs="Times New Roman"/>
          <w:color w:val="auto"/>
          <w:sz w:val="32"/>
          <w:szCs w:val="32"/>
        </w:rPr>
        <w:t>R&amp;D</w:t>
      </w:r>
      <w:r>
        <w:rPr>
          <w:rFonts w:hint="eastAsia" w:eastAsia="方正仿宋_GBK"/>
          <w:color w:val="auto"/>
          <w:sz w:val="32"/>
          <w:szCs w:val="32"/>
        </w:rPr>
        <w:t>人员折合全时当量</w:t>
      </w:r>
      <w:r>
        <w:rPr>
          <w:rFonts w:ascii="Times New Roman" w:hAnsi="Times New Roman" w:eastAsia="方正仿宋_GBK" w:cs="Times New Roman"/>
          <w:color w:val="auto"/>
          <w:sz w:val="32"/>
          <w:szCs w:val="32"/>
        </w:rPr>
        <w:t>2638</w:t>
      </w:r>
      <w:r>
        <w:rPr>
          <w:rFonts w:hint="eastAsia" w:eastAsia="方正仿宋_GBK"/>
          <w:color w:val="auto"/>
          <w:sz w:val="32"/>
          <w:szCs w:val="32"/>
        </w:rPr>
        <w:t>人年，比</w:t>
      </w:r>
      <w:r>
        <w:rPr>
          <w:rFonts w:ascii="Times New Roman" w:hAnsi="Times New Roman" w:eastAsia="方正小标宋_GBK" w:cs="Times New Roman"/>
          <w:color w:val="auto"/>
          <w:sz w:val="32"/>
          <w:szCs w:val="32"/>
        </w:rPr>
        <w:t>2013</w:t>
      </w:r>
      <w:r>
        <w:rPr>
          <w:rFonts w:hint="eastAsia" w:eastAsia="方正仿宋_GBK"/>
          <w:color w:val="auto"/>
          <w:sz w:val="32"/>
          <w:szCs w:val="32"/>
        </w:rPr>
        <w:t>年增长</w:t>
      </w:r>
      <w:r>
        <w:rPr>
          <w:rFonts w:ascii="Times New Roman" w:hAnsi="Times New Roman" w:eastAsia="方正仿宋_GBK" w:cs="Times New Roman"/>
          <w:color w:val="auto"/>
          <w:sz w:val="32"/>
          <w:szCs w:val="32"/>
        </w:rPr>
        <w:t>93.8%</w:t>
      </w:r>
      <w:r>
        <w:rPr>
          <w:rFonts w:hint="eastAsia" w:eastAsia="方正仿宋_GBK"/>
          <w:color w:val="auto"/>
          <w:sz w:val="32"/>
          <w:szCs w:val="32"/>
        </w:rPr>
        <w:t>。</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年，规模以上工业企业法人单位</w:t>
      </w:r>
      <w:r>
        <w:rPr>
          <w:rFonts w:ascii="Times New Roman" w:hAnsi="Times New Roman" w:eastAsia="方正仿宋_GBK" w:cs="Times New Roman"/>
          <w:color w:val="auto"/>
          <w:sz w:val="32"/>
          <w:szCs w:val="32"/>
        </w:rPr>
        <w:t>R&amp;D</w:t>
      </w:r>
      <w:r>
        <w:rPr>
          <w:rFonts w:hint="eastAsia" w:eastAsia="方正仿宋_GBK"/>
          <w:color w:val="auto"/>
          <w:sz w:val="32"/>
          <w:szCs w:val="32"/>
        </w:rPr>
        <w:t>经费支出</w:t>
      </w:r>
      <w:r>
        <w:rPr>
          <w:rFonts w:ascii="Times New Roman" w:hAnsi="Times New Roman" w:eastAsia="方正小标宋_GBK" w:cs="Times New Roman"/>
          <w:color w:val="auto"/>
          <w:sz w:val="32"/>
          <w:szCs w:val="32"/>
        </w:rPr>
        <w:t>10.33</w:t>
      </w:r>
      <w:r>
        <w:rPr>
          <w:rFonts w:hint="eastAsia" w:eastAsia="方正仿宋_GBK"/>
          <w:color w:val="auto"/>
          <w:sz w:val="32"/>
          <w:szCs w:val="32"/>
        </w:rPr>
        <w:t>亿元，比</w:t>
      </w:r>
      <w:r>
        <w:rPr>
          <w:rFonts w:ascii="Times New Roman" w:hAnsi="Times New Roman" w:eastAsia="方正仿宋_GBK" w:cs="Times New Roman"/>
          <w:color w:val="auto"/>
          <w:sz w:val="32"/>
          <w:szCs w:val="32"/>
        </w:rPr>
        <w:t>2013年</w:t>
      </w:r>
      <w:r>
        <w:rPr>
          <w:rFonts w:hint="eastAsia" w:eastAsia="方正仿宋_GBK"/>
          <w:color w:val="auto"/>
          <w:sz w:val="32"/>
          <w:szCs w:val="32"/>
        </w:rPr>
        <w:t>增长</w:t>
      </w:r>
      <w:r>
        <w:rPr>
          <w:rFonts w:ascii="Times New Roman" w:hAnsi="Times New Roman" w:eastAsia="方正仿宋_GBK" w:cs="Times New Roman"/>
          <w:color w:val="auto"/>
          <w:sz w:val="32"/>
          <w:szCs w:val="32"/>
        </w:rPr>
        <w:t>53.6%</w:t>
      </w:r>
      <w:r>
        <w:rPr>
          <w:rFonts w:hint="eastAsia" w:eastAsia="方正仿宋_GBK"/>
          <w:color w:val="auto"/>
          <w:sz w:val="32"/>
          <w:szCs w:val="32"/>
        </w:rPr>
        <w:t>，</w:t>
      </w:r>
      <w:r>
        <w:rPr>
          <w:rFonts w:ascii="Times New Roman" w:hAnsi="Times New Roman" w:eastAsia="方正仿宋_GBK" w:cs="Times New Roman"/>
          <w:color w:val="auto"/>
          <w:sz w:val="32"/>
          <w:szCs w:val="32"/>
        </w:rPr>
        <w:t>R&amp;D</w:t>
      </w:r>
      <w:r>
        <w:rPr>
          <w:rFonts w:hint="eastAsia" w:eastAsia="方正仿宋_GBK"/>
          <w:color w:val="auto"/>
          <w:sz w:val="32"/>
          <w:szCs w:val="32"/>
        </w:rPr>
        <w:t>经费与营业收入之比为</w:t>
      </w:r>
      <w:r>
        <w:rPr>
          <w:rFonts w:ascii="Times New Roman" w:hAnsi="Times New Roman" w:eastAsia="方正仿宋_GBK" w:cs="Times New Roman"/>
          <w:color w:val="auto"/>
          <w:sz w:val="32"/>
          <w:szCs w:val="32"/>
        </w:rPr>
        <w:t>1.18%。</w:t>
      </w:r>
      <w:r>
        <w:rPr>
          <w:rFonts w:hint="eastAsia" w:eastAsia="方正仿宋_GBK"/>
          <w:color w:val="auto"/>
          <w:sz w:val="32"/>
          <w:szCs w:val="32"/>
        </w:rPr>
        <w:t>规模以上工业企业法人单位分行业</w:t>
      </w:r>
      <w:r>
        <w:rPr>
          <w:rFonts w:ascii="Times New Roman" w:hAnsi="Times New Roman" w:eastAsia="方正仿宋_GBK" w:cs="Times New Roman"/>
          <w:color w:val="auto"/>
          <w:sz w:val="32"/>
          <w:szCs w:val="32"/>
        </w:rPr>
        <w:t>R&amp;D</w:t>
      </w:r>
      <w:r>
        <w:rPr>
          <w:rFonts w:hint="eastAsia" w:eastAsia="方正仿宋_GBK"/>
          <w:color w:val="auto"/>
          <w:sz w:val="32"/>
          <w:szCs w:val="32"/>
        </w:rPr>
        <w:t>经费支出及</w:t>
      </w:r>
      <w:r>
        <w:rPr>
          <w:rFonts w:ascii="Times New Roman" w:hAnsi="Times New Roman" w:eastAsia="方正仿宋_GBK" w:cs="Times New Roman"/>
          <w:color w:val="auto"/>
          <w:sz w:val="32"/>
          <w:szCs w:val="32"/>
        </w:rPr>
        <w:t>R&amp;D</w:t>
      </w:r>
      <w:r>
        <w:rPr>
          <w:rFonts w:hint="eastAsia" w:eastAsia="方正仿宋_GBK"/>
          <w:color w:val="auto"/>
          <w:sz w:val="32"/>
          <w:szCs w:val="32"/>
        </w:rPr>
        <w:t>经费与营业收入之比详见表</w:t>
      </w:r>
      <w:r>
        <w:rPr>
          <w:rFonts w:ascii="Times New Roman" w:hAnsi="Times New Roman" w:eastAsia="方正仿宋_GBK" w:cs="Times New Roman"/>
          <w:color w:val="auto"/>
          <w:sz w:val="32"/>
          <w:szCs w:val="32"/>
        </w:rPr>
        <w:t>6-1。</w:t>
      </w:r>
    </w:p>
    <w:p>
      <w:pPr>
        <w:snapToGrid w:val="0"/>
        <w:spacing w:line="600" w:lineRule="exac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2018</w:t>
      </w:r>
      <w:r>
        <w:rPr>
          <w:rFonts w:hint="eastAsia" w:eastAsia="方正仿宋_GBK"/>
          <w:color w:val="auto"/>
          <w:sz w:val="32"/>
          <w:szCs w:val="32"/>
        </w:rPr>
        <w:t>年，规模以上工业企业法人单位全年专利申请量</w:t>
      </w:r>
      <w:r>
        <w:rPr>
          <w:rFonts w:ascii="Times New Roman" w:hAnsi="Times New Roman" w:eastAsia="方正仿宋_GBK" w:cs="Times New Roman"/>
          <w:color w:val="auto"/>
          <w:sz w:val="32"/>
          <w:szCs w:val="32"/>
        </w:rPr>
        <w:t>931</w:t>
      </w:r>
      <w:r>
        <w:rPr>
          <w:rFonts w:hint="eastAsia" w:eastAsia="方正仿宋_GBK"/>
          <w:color w:val="auto"/>
          <w:sz w:val="32"/>
          <w:szCs w:val="32"/>
        </w:rPr>
        <w:t>件，其中发明专利申请</w:t>
      </w:r>
      <w:r>
        <w:rPr>
          <w:rFonts w:ascii="Times New Roman" w:hAnsi="Times New Roman" w:eastAsia="方正仿宋_GBK" w:cs="Times New Roman"/>
          <w:color w:val="auto"/>
          <w:sz w:val="32"/>
          <w:szCs w:val="32"/>
        </w:rPr>
        <w:t>293</w:t>
      </w:r>
      <w:r>
        <w:rPr>
          <w:rFonts w:hint="eastAsia" w:eastAsia="方正仿宋_GBK"/>
          <w:color w:val="auto"/>
          <w:sz w:val="32"/>
          <w:szCs w:val="32"/>
        </w:rPr>
        <w:t>件，分别比</w:t>
      </w:r>
      <w:r>
        <w:rPr>
          <w:rFonts w:ascii="Times New Roman" w:hAnsi="Times New Roman" w:eastAsia="方正仿宋_GBK" w:cs="Times New Roman"/>
          <w:color w:val="auto"/>
          <w:sz w:val="32"/>
          <w:szCs w:val="32"/>
        </w:rPr>
        <w:t>2013</w:t>
      </w:r>
      <w:r>
        <w:rPr>
          <w:rFonts w:hint="eastAsia" w:eastAsia="方正仿宋_GBK"/>
          <w:color w:val="auto"/>
          <w:sz w:val="32"/>
          <w:szCs w:val="32"/>
        </w:rPr>
        <w:t>年增长</w:t>
      </w:r>
      <w:r>
        <w:rPr>
          <w:rFonts w:ascii="Times New Roman" w:hAnsi="Times New Roman" w:eastAsia="方正仿宋_GBK" w:cs="Times New Roman"/>
          <w:color w:val="auto"/>
          <w:sz w:val="32"/>
          <w:szCs w:val="32"/>
        </w:rPr>
        <w:t>5.4%和49.5%</w:t>
      </w:r>
      <w:r>
        <w:rPr>
          <w:rFonts w:hint="eastAsia" w:eastAsia="方正仿宋_GBK"/>
          <w:color w:val="auto"/>
          <w:sz w:val="32"/>
          <w:szCs w:val="32"/>
        </w:rPr>
        <w:t>；发明专利申请所占比重为</w:t>
      </w:r>
      <w:r>
        <w:rPr>
          <w:rFonts w:ascii="Times New Roman" w:hAnsi="Times New Roman" w:eastAsia="方正仿宋_GBK" w:cs="Times New Roman"/>
          <w:color w:val="auto"/>
          <w:sz w:val="32"/>
          <w:szCs w:val="32"/>
        </w:rPr>
        <w:t>31.5%，比2013</w:t>
      </w:r>
      <w:r>
        <w:rPr>
          <w:rFonts w:hint="eastAsia" w:eastAsia="方正仿宋_GBK"/>
          <w:color w:val="auto"/>
          <w:sz w:val="32"/>
          <w:szCs w:val="32"/>
        </w:rPr>
        <w:t>年提高</w:t>
      </w:r>
      <w:r>
        <w:rPr>
          <w:rFonts w:ascii="Times New Roman" w:hAnsi="Times New Roman" w:eastAsia="方正仿宋_GBK" w:cs="Times New Roman"/>
          <w:color w:val="auto"/>
          <w:sz w:val="32"/>
          <w:szCs w:val="32"/>
        </w:rPr>
        <w:t>9.3</w:t>
      </w:r>
      <w:r>
        <w:rPr>
          <w:rFonts w:hint="eastAsia" w:eastAsia="方正仿宋_GBK"/>
          <w:color w:val="auto"/>
          <w:sz w:val="32"/>
          <w:szCs w:val="32"/>
        </w:rPr>
        <w:t>个百分点。</w:t>
      </w:r>
    </w:p>
    <w:p>
      <w:pPr>
        <w:spacing w:line="400" w:lineRule="exact"/>
        <w:ind w:left="57" w:right="57"/>
        <w:jc w:val="center"/>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表</w:t>
      </w:r>
      <w:r>
        <w:rPr>
          <w:rFonts w:ascii="方正小标宋_GBK" w:hAnsi="宋体" w:eastAsia="方正小标宋_GBK" w:cs="宋体"/>
          <w:bCs/>
          <w:color w:val="auto"/>
          <w:kern w:val="0"/>
          <w:sz w:val="28"/>
          <w:szCs w:val="28"/>
        </w:rPr>
        <w:t>6-1</w:t>
      </w:r>
      <w:r>
        <w:rPr>
          <w:rFonts w:hint="eastAsia" w:ascii="方正小标宋_GBK" w:hAnsi="宋体" w:eastAsia="方正小标宋_GBK" w:cs="宋体"/>
          <w:bCs/>
          <w:color w:val="auto"/>
          <w:kern w:val="0"/>
          <w:sz w:val="28"/>
          <w:szCs w:val="28"/>
        </w:rPr>
        <w:t>　按行业大类分组的规模以上工业企业法人单位</w:t>
      </w:r>
      <w:r>
        <w:rPr>
          <w:rFonts w:ascii="方正小标宋_GBK" w:hAnsi="宋体" w:eastAsia="方正小标宋_GBK" w:cs="宋体"/>
          <w:bCs/>
          <w:color w:val="auto"/>
          <w:kern w:val="0"/>
          <w:sz w:val="28"/>
          <w:szCs w:val="28"/>
        </w:rPr>
        <w:t>R&amp;D</w:t>
      </w:r>
      <w:r>
        <w:rPr>
          <w:rFonts w:hint="eastAsia" w:ascii="方正小标宋_GBK" w:hAnsi="宋体" w:eastAsia="方正小标宋_GBK" w:cs="宋体"/>
          <w:bCs/>
          <w:color w:val="auto"/>
          <w:kern w:val="0"/>
          <w:sz w:val="28"/>
          <w:szCs w:val="28"/>
        </w:rPr>
        <w:t>经费支出</w:t>
      </w:r>
    </w:p>
    <w:p>
      <w:pPr>
        <w:spacing w:line="400" w:lineRule="exact"/>
        <w:ind w:left="57" w:right="57"/>
        <w:jc w:val="center"/>
        <w:rPr>
          <w:rFonts w:ascii="方正小标宋_GBK" w:hAnsi="宋体" w:eastAsia="方正小标宋_GBK" w:cs="宋体"/>
          <w:bCs/>
          <w:color w:val="auto"/>
          <w:kern w:val="0"/>
          <w:sz w:val="28"/>
          <w:szCs w:val="28"/>
        </w:rPr>
      </w:pPr>
      <w:r>
        <w:rPr>
          <w:rFonts w:hint="eastAsia" w:ascii="方正小标宋_GBK" w:hAnsi="宋体" w:eastAsia="方正小标宋_GBK" w:cs="宋体"/>
          <w:bCs/>
          <w:color w:val="auto"/>
          <w:kern w:val="0"/>
          <w:sz w:val="28"/>
          <w:szCs w:val="28"/>
        </w:rPr>
        <w:t>及R&amp;D经费与营业收入之比</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794"/>
        <w:gridCol w:w="1560"/>
        <w:gridCol w:w="19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794" w:type="dxa"/>
            <w:tcBorders>
              <w:top w:val="single" w:color="auto" w:sz="12" w:space="0"/>
              <w:left w:val="nil"/>
              <w:bottom w:val="single" w:color="auto" w:sz="4" w:space="0"/>
              <w:right w:val="single" w:color="auto" w:sz="4" w:space="0"/>
            </w:tcBorders>
            <w:vAlign w:val="center"/>
          </w:tcPr>
          <w:p>
            <w:pPr>
              <w:widowControl/>
              <w:spacing w:line="240" w:lineRule="exact"/>
              <w:ind w:left="57" w:right="57" w:firstLine="420"/>
              <w:jc w:val="center"/>
              <w:rPr>
                <w:rFonts w:ascii="宋体" w:hAnsi="宋体" w:cs="宋体"/>
                <w:b/>
                <w:color w:val="auto"/>
                <w:kern w:val="0"/>
                <w:szCs w:val="21"/>
              </w:rPr>
            </w:pPr>
            <w:r>
              <w:rPr>
                <w:rFonts w:hint="eastAsia" w:ascii="宋体" w:hAnsi="宋体" w:cs="宋体"/>
                <w:b/>
                <w:color w:val="auto"/>
                <w:kern w:val="0"/>
                <w:szCs w:val="21"/>
              </w:rPr>
              <w:t>　</w:t>
            </w:r>
          </w:p>
        </w:tc>
        <w:tc>
          <w:tcPr>
            <w:tcW w:w="1560" w:type="dxa"/>
            <w:tcBorders>
              <w:top w:val="single" w:color="auto" w:sz="12" w:space="0"/>
              <w:left w:val="single" w:color="auto" w:sz="4" w:space="0"/>
              <w:bottom w:val="single" w:color="auto" w:sz="4" w:space="0"/>
              <w:right w:val="single" w:color="auto" w:sz="4" w:space="0"/>
            </w:tcBorders>
            <w:vAlign w:val="center"/>
          </w:tcPr>
          <w:p>
            <w:pPr>
              <w:widowControl/>
              <w:spacing w:line="240" w:lineRule="exact"/>
              <w:ind w:left="57" w:right="57"/>
              <w:jc w:val="center"/>
              <w:rPr>
                <w:rFonts w:eastAsia="黑体"/>
                <w:color w:val="auto"/>
                <w:kern w:val="0"/>
                <w:szCs w:val="21"/>
              </w:rPr>
            </w:pPr>
            <w:r>
              <w:rPr>
                <w:rFonts w:eastAsia="黑体"/>
                <w:color w:val="auto"/>
                <w:kern w:val="0"/>
                <w:szCs w:val="21"/>
              </w:rPr>
              <w:t>R&amp;D经费支出</w:t>
            </w:r>
          </w:p>
          <w:p>
            <w:pPr>
              <w:widowControl/>
              <w:spacing w:line="240" w:lineRule="exact"/>
              <w:ind w:left="57" w:right="57"/>
              <w:jc w:val="center"/>
              <w:rPr>
                <w:rFonts w:eastAsia="黑体"/>
                <w:color w:val="auto"/>
                <w:kern w:val="0"/>
                <w:szCs w:val="21"/>
              </w:rPr>
            </w:pPr>
            <w:r>
              <w:rPr>
                <w:rFonts w:eastAsia="黑体"/>
                <w:color w:val="auto"/>
                <w:kern w:val="0"/>
                <w:szCs w:val="21"/>
              </w:rPr>
              <w:t>（</w:t>
            </w:r>
            <w:r>
              <w:rPr>
                <w:rFonts w:hint="eastAsia" w:eastAsia="黑体"/>
                <w:color w:val="auto"/>
                <w:kern w:val="0"/>
                <w:szCs w:val="21"/>
              </w:rPr>
              <w:t>万</w:t>
            </w:r>
            <w:r>
              <w:rPr>
                <w:rFonts w:eastAsia="黑体"/>
                <w:color w:val="auto"/>
                <w:kern w:val="0"/>
                <w:szCs w:val="21"/>
              </w:rPr>
              <w:t>元）</w:t>
            </w:r>
          </w:p>
        </w:tc>
        <w:tc>
          <w:tcPr>
            <w:tcW w:w="1952" w:type="dxa"/>
            <w:tcBorders>
              <w:top w:val="single" w:color="auto" w:sz="12" w:space="0"/>
              <w:left w:val="single" w:color="auto" w:sz="4" w:space="0"/>
              <w:bottom w:val="single" w:color="auto" w:sz="4" w:space="0"/>
              <w:right w:val="nil"/>
            </w:tcBorders>
            <w:vAlign w:val="center"/>
          </w:tcPr>
          <w:p>
            <w:pPr>
              <w:widowControl/>
              <w:spacing w:line="240" w:lineRule="exact"/>
              <w:ind w:left="57" w:right="57"/>
              <w:jc w:val="center"/>
              <w:rPr>
                <w:rFonts w:eastAsia="黑体"/>
                <w:color w:val="auto"/>
                <w:kern w:val="0"/>
                <w:szCs w:val="21"/>
              </w:rPr>
            </w:pPr>
            <w:r>
              <w:rPr>
                <w:rFonts w:eastAsia="黑体"/>
                <w:color w:val="auto"/>
                <w:kern w:val="0"/>
                <w:szCs w:val="21"/>
              </w:rPr>
              <w:t>R&amp;D经费与营业收入之比（%）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single" w:color="auto" w:sz="4" w:space="0"/>
              <w:left w:val="nil"/>
              <w:bottom w:val="nil"/>
              <w:right w:val="single" w:color="auto" w:sz="4" w:space="0"/>
            </w:tcBorders>
            <w:vAlign w:val="center"/>
          </w:tcPr>
          <w:p>
            <w:pPr>
              <w:widowControl/>
              <w:spacing w:line="240" w:lineRule="exact"/>
              <w:ind w:left="57" w:right="57"/>
              <w:jc w:val="center"/>
              <w:rPr>
                <w:rFonts w:ascii="宋体" w:hAnsi="宋体" w:cs="宋体"/>
                <w:color w:val="auto"/>
                <w:kern w:val="0"/>
                <w:szCs w:val="21"/>
              </w:rPr>
            </w:pPr>
            <w:r>
              <w:rPr>
                <w:rFonts w:hint="eastAsia" w:ascii="宋体" w:hAnsi="宋体" w:cs="宋体"/>
                <w:b/>
                <w:bCs/>
                <w:color w:val="auto"/>
                <w:kern w:val="0"/>
                <w:szCs w:val="21"/>
              </w:rPr>
              <w:t>合　计</w:t>
            </w:r>
          </w:p>
        </w:tc>
        <w:tc>
          <w:tcPr>
            <w:tcW w:w="1560" w:type="dxa"/>
            <w:tcBorders>
              <w:top w:val="single" w:color="auto" w:sz="4" w:space="0"/>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b/>
                <w:color w:val="auto"/>
                <w:szCs w:val="21"/>
              </w:rPr>
            </w:pPr>
            <w:r>
              <w:rPr>
                <w:rFonts w:ascii="Times New Roman" w:hAnsi="Times New Roman" w:cs="Times New Roman"/>
                <w:b/>
                <w:color w:val="auto"/>
                <w:szCs w:val="21"/>
              </w:rPr>
              <w:t>103298.4</w:t>
            </w:r>
          </w:p>
        </w:tc>
        <w:tc>
          <w:tcPr>
            <w:tcW w:w="1952" w:type="dxa"/>
            <w:tcBorders>
              <w:top w:val="single" w:color="auto" w:sz="4" w:space="0"/>
              <w:left w:val="single" w:color="auto" w:sz="4" w:space="0"/>
              <w:bottom w:val="nil"/>
              <w:right w:val="nil"/>
            </w:tcBorders>
            <w:vAlign w:val="center"/>
          </w:tcPr>
          <w:p>
            <w:pPr>
              <w:widowControl/>
              <w:spacing w:line="240" w:lineRule="exact"/>
              <w:ind w:left="57" w:right="57"/>
              <w:jc w:val="right"/>
              <w:rPr>
                <w:rFonts w:ascii="Times New Roman" w:hAnsi="Times New Roman" w:cs="Times New Roman"/>
                <w:b/>
                <w:color w:val="auto"/>
                <w:szCs w:val="21"/>
              </w:rPr>
            </w:pPr>
            <w:r>
              <w:rPr>
                <w:rFonts w:ascii="Times New Roman" w:hAnsi="Times New Roman" w:cs="Times New Roman"/>
                <w:b/>
                <w:color w:val="auto"/>
                <w:szCs w:val="21"/>
              </w:rPr>
              <w:t>1.18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widowControl/>
              <w:spacing w:line="240" w:lineRule="exact"/>
              <w:ind w:left="57" w:right="57"/>
              <w:rPr>
                <w:rFonts w:ascii="宋体" w:hAnsi="宋体" w:cs="宋体"/>
                <w:b/>
                <w:color w:val="auto"/>
                <w:kern w:val="0"/>
                <w:szCs w:val="21"/>
              </w:rPr>
            </w:pPr>
            <w:r>
              <w:rPr>
                <w:rFonts w:hint="eastAsia" w:ascii="宋体" w:hAnsi="宋体" w:cs="宋体"/>
                <w:b/>
                <w:color w:val="auto"/>
                <w:kern w:val="0"/>
                <w:szCs w:val="21"/>
              </w:rPr>
              <w:t>采矿业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b/>
                <w:color w:val="auto"/>
                <w:szCs w:val="21"/>
              </w:rPr>
            </w:pPr>
          </w:p>
        </w:tc>
        <w:tc>
          <w:tcPr>
            <w:tcW w:w="1952" w:type="dxa"/>
            <w:tcBorders>
              <w:top w:val="nil"/>
              <w:left w:val="single" w:color="auto" w:sz="4" w:space="0"/>
              <w:bottom w:val="nil"/>
              <w:right w:val="nil"/>
            </w:tcBorders>
            <w:vAlign w:val="center"/>
          </w:tcPr>
          <w:p>
            <w:pPr>
              <w:widowControl/>
              <w:spacing w:line="240" w:lineRule="exact"/>
              <w:ind w:left="57" w:right="57"/>
              <w:jc w:val="right"/>
              <w:rPr>
                <w:rFonts w:ascii="Times New Roman" w:hAnsi="Times New Roman" w:cs="Times New Roman"/>
                <w:b/>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煤炭开采和洗选业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石油和天然气开采业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非金属矿采选业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widowControl/>
              <w:spacing w:line="240" w:lineRule="exact"/>
              <w:ind w:left="57" w:right="57"/>
              <w:rPr>
                <w:rFonts w:ascii="宋体" w:hAnsi="宋体" w:cs="宋体"/>
                <w:b/>
                <w:color w:val="auto"/>
                <w:kern w:val="0"/>
                <w:szCs w:val="21"/>
              </w:rPr>
            </w:pPr>
            <w:r>
              <w:rPr>
                <w:rFonts w:hint="eastAsia" w:ascii="宋体" w:hAnsi="宋体" w:cs="宋体"/>
                <w:b/>
                <w:color w:val="auto"/>
                <w:kern w:val="0"/>
                <w:szCs w:val="21"/>
              </w:rPr>
              <w:t>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b/>
                <w:color w:val="auto"/>
                <w:szCs w:val="21"/>
              </w:rPr>
            </w:pPr>
            <w:r>
              <w:rPr>
                <w:rFonts w:ascii="Times New Roman" w:hAnsi="Times New Roman" w:cs="Times New Roman"/>
                <w:b/>
                <w:color w:val="auto"/>
                <w:szCs w:val="21"/>
              </w:rPr>
              <w:t xml:space="preserve">103298.4 </w:t>
            </w:r>
          </w:p>
        </w:tc>
        <w:tc>
          <w:tcPr>
            <w:tcW w:w="1952" w:type="dxa"/>
            <w:tcBorders>
              <w:top w:val="nil"/>
              <w:left w:val="single" w:color="auto" w:sz="4" w:space="0"/>
              <w:bottom w:val="nil"/>
              <w:right w:val="nil"/>
            </w:tcBorders>
            <w:vAlign w:val="center"/>
          </w:tcPr>
          <w:p>
            <w:pPr>
              <w:widowControl/>
              <w:spacing w:line="240" w:lineRule="exact"/>
              <w:ind w:left="57" w:right="57"/>
              <w:jc w:val="right"/>
              <w:rPr>
                <w:rFonts w:ascii="Times New Roman" w:hAnsi="Times New Roman" w:cs="Times New Roman"/>
                <w:b/>
                <w:color w:val="auto"/>
                <w:szCs w:val="21"/>
              </w:rPr>
            </w:pPr>
            <w:r>
              <w:rPr>
                <w:rFonts w:ascii="Times New Roman" w:hAnsi="Times New Roman" w:cs="Times New Roman"/>
                <w:b/>
                <w:color w:val="auto"/>
                <w:szCs w:val="21"/>
              </w:rPr>
              <w:t>1.18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农副食品加工业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843.4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0.92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食品制造业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330.6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0.37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single" w:color="auto" w:sz="12" w:space="0"/>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酒、饮料和精制茶制造业</w:t>
            </w:r>
          </w:p>
        </w:tc>
        <w:tc>
          <w:tcPr>
            <w:tcW w:w="1560" w:type="dxa"/>
            <w:tcBorders>
              <w:top w:val="nil"/>
              <w:left w:val="single" w:color="auto" w:sz="4" w:space="0"/>
              <w:bottom w:val="single" w:color="auto" w:sz="12" w:space="0"/>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  </w:t>
            </w:r>
          </w:p>
        </w:tc>
        <w:tc>
          <w:tcPr>
            <w:tcW w:w="1952" w:type="dxa"/>
            <w:tcBorders>
              <w:top w:val="nil"/>
              <w:left w:val="single" w:color="auto" w:sz="4" w:space="0"/>
              <w:bottom w:val="single" w:color="auto" w:sz="12" w:space="0"/>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single" w:color="auto" w:sz="12" w:space="0"/>
              <w:left w:val="nil"/>
              <w:bottom w:val="single" w:color="auto" w:sz="4" w:space="0"/>
              <w:right w:val="single" w:color="auto" w:sz="4" w:space="0"/>
            </w:tcBorders>
            <w:vAlign w:val="center"/>
          </w:tcPr>
          <w:p>
            <w:pPr>
              <w:widowControl/>
              <w:spacing w:line="240" w:lineRule="exact"/>
              <w:ind w:left="57" w:right="57" w:firstLine="420"/>
              <w:jc w:val="center"/>
              <w:rPr>
                <w:color w:val="auto"/>
                <w:szCs w:val="21"/>
              </w:rPr>
            </w:pPr>
            <w:r>
              <w:rPr>
                <w:rFonts w:hint="eastAsia" w:ascii="宋体" w:hAnsi="宋体" w:cs="宋体"/>
                <w:b/>
                <w:color w:val="auto"/>
                <w:kern w:val="0"/>
                <w:szCs w:val="21"/>
              </w:rPr>
              <w:t>　</w:t>
            </w:r>
          </w:p>
        </w:tc>
        <w:tc>
          <w:tcPr>
            <w:tcW w:w="1560" w:type="dxa"/>
            <w:tcBorders>
              <w:top w:val="single" w:color="auto" w:sz="12" w:space="0"/>
              <w:left w:val="single" w:color="auto" w:sz="4" w:space="0"/>
              <w:bottom w:val="single" w:color="auto" w:sz="4" w:space="0"/>
              <w:right w:val="single" w:color="auto" w:sz="4" w:space="0"/>
            </w:tcBorders>
            <w:vAlign w:val="center"/>
          </w:tcPr>
          <w:p>
            <w:pPr>
              <w:widowControl/>
              <w:spacing w:line="240" w:lineRule="exact"/>
              <w:ind w:left="57" w:right="57"/>
              <w:jc w:val="center"/>
              <w:rPr>
                <w:rFonts w:eastAsia="黑体"/>
                <w:color w:val="auto"/>
                <w:kern w:val="0"/>
                <w:szCs w:val="21"/>
              </w:rPr>
            </w:pPr>
            <w:r>
              <w:rPr>
                <w:rFonts w:eastAsia="黑体"/>
                <w:color w:val="auto"/>
                <w:kern w:val="0"/>
                <w:szCs w:val="21"/>
              </w:rPr>
              <w:t>R&amp;D经费支出</w:t>
            </w:r>
          </w:p>
          <w:p>
            <w:pPr>
              <w:widowControl/>
              <w:spacing w:line="240" w:lineRule="exact"/>
              <w:ind w:left="57" w:right="57"/>
              <w:jc w:val="center"/>
              <w:rPr>
                <w:rFonts w:ascii="Times New Roman" w:hAnsi="Times New Roman" w:cs="Times New Roman"/>
                <w:color w:val="auto"/>
                <w:szCs w:val="21"/>
              </w:rPr>
            </w:pPr>
            <w:r>
              <w:rPr>
                <w:rFonts w:eastAsia="黑体"/>
                <w:color w:val="auto"/>
                <w:kern w:val="0"/>
                <w:szCs w:val="21"/>
              </w:rPr>
              <w:t>（</w:t>
            </w:r>
            <w:r>
              <w:rPr>
                <w:rFonts w:hint="eastAsia" w:eastAsia="黑体"/>
                <w:color w:val="auto"/>
                <w:kern w:val="0"/>
                <w:szCs w:val="21"/>
              </w:rPr>
              <w:t>万</w:t>
            </w:r>
            <w:r>
              <w:rPr>
                <w:rFonts w:eastAsia="黑体"/>
                <w:color w:val="auto"/>
                <w:kern w:val="0"/>
                <w:szCs w:val="21"/>
              </w:rPr>
              <w:t>元）</w:t>
            </w:r>
          </w:p>
        </w:tc>
        <w:tc>
          <w:tcPr>
            <w:tcW w:w="1952" w:type="dxa"/>
            <w:tcBorders>
              <w:top w:val="single" w:color="auto" w:sz="12" w:space="0"/>
              <w:left w:val="single" w:color="auto" w:sz="4" w:space="0"/>
              <w:bottom w:val="single" w:color="auto" w:sz="4" w:space="0"/>
              <w:right w:val="nil"/>
            </w:tcBorders>
            <w:vAlign w:val="center"/>
          </w:tcPr>
          <w:p>
            <w:pPr>
              <w:widowControl/>
              <w:spacing w:line="240" w:lineRule="exact"/>
              <w:ind w:left="57" w:right="57"/>
              <w:jc w:val="center"/>
              <w:rPr>
                <w:rFonts w:ascii="Times New Roman" w:hAnsi="Times New Roman" w:cs="Times New Roman"/>
                <w:color w:val="auto"/>
                <w:szCs w:val="21"/>
              </w:rPr>
            </w:pPr>
            <w:r>
              <w:rPr>
                <w:rFonts w:eastAsia="黑体"/>
                <w:color w:val="auto"/>
                <w:kern w:val="0"/>
                <w:szCs w:val="21"/>
              </w:rPr>
              <w:t>R&amp;D经费与营业收入之比（%）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single" w:color="auto" w:sz="4" w:space="0"/>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烟草制品业</w:t>
            </w:r>
          </w:p>
        </w:tc>
        <w:tc>
          <w:tcPr>
            <w:tcW w:w="1560" w:type="dxa"/>
            <w:tcBorders>
              <w:top w:val="single" w:color="auto" w:sz="4" w:space="0"/>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3731.0 </w:t>
            </w:r>
          </w:p>
        </w:tc>
        <w:tc>
          <w:tcPr>
            <w:tcW w:w="1952" w:type="dxa"/>
            <w:tcBorders>
              <w:top w:val="single" w:color="auto" w:sz="4" w:space="0"/>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0.26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纺织业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纺织服装、服饰业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皮革、毛皮、羽毛及其制品和制鞋业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木材加工和木、竹、藤、棕、草制品业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家具制造业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造纸和纸制品业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29.0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0.09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印刷和记录媒介复制业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2201.6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3.06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文教、工美、体育和娱乐用品制造业</w:t>
            </w:r>
          </w:p>
        </w:tc>
        <w:tc>
          <w:tcPr>
            <w:tcW w:w="1560" w:type="dxa"/>
            <w:tcBorders>
              <w:top w:val="nil"/>
              <w:left w:val="single" w:color="auto" w:sz="4" w:space="0"/>
              <w:bottom w:val="nil"/>
              <w:right w:val="single" w:color="auto" w:sz="4" w:space="0"/>
            </w:tcBorders>
            <w:vAlign w:val="center"/>
          </w:tcPr>
          <w:p>
            <w:pPr>
              <w:widowControl/>
              <w:wordWrap w:val="0"/>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石油、煤炭及其他燃料加工业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化学原料和化学制品制造业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4081.2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3.55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医药制造业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11404.1</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3.08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化学纤维制造业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橡胶和塑料制品业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857.1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0.91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非金属矿物制品业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598.9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0.18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黑色金属冶炼和压延加工业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有色金属冶炼和压延加工业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金属制品业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2839.7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1.00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通用设备制造业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25341.9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6.21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专用设备制造业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2499.3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3.88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汽车制造业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11606.8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3.51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铁路、船舶、航空航天和其他运输设备制造业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14268.2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3.16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电气机械和器材制造业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473.8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0.07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计算机、通信和其他电子设备制造业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11826.2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 xml:space="preserve">0.35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仪器仪表制造业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1525.9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1.</w:t>
            </w:r>
            <w:r>
              <w:rPr>
                <w:rFonts w:hint="eastAsia" w:ascii="Times New Roman" w:hAnsi="Times New Roman" w:cs="Times New Roman"/>
                <w:color w:val="auto"/>
                <w:szCs w:val="21"/>
              </w:rPr>
              <w:t>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其他制造业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r>
              <w:rPr>
                <w:rFonts w:ascii="Times New Roman" w:hAnsi="Times New Roman" w:cs="Times New Roman"/>
                <w:color w:val="auto"/>
                <w:szCs w:val="21"/>
              </w:rPr>
              <w:t xml:space="preserve">8839.7 </w:t>
            </w: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r>
              <w:rPr>
                <w:rFonts w:ascii="Times New Roman" w:hAnsi="Times New Roman" w:cs="Times New Roman"/>
                <w:color w:val="auto"/>
                <w:szCs w:val="21"/>
              </w:rPr>
              <w:t>9.48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废弃资源综合利用业　</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tcPr>
          <w:p>
            <w:pPr>
              <w:widowControl/>
              <w:spacing w:line="240" w:lineRule="exact"/>
              <w:ind w:left="57" w:right="57" w:firstLine="420" w:firstLineChars="200"/>
              <w:rPr>
                <w:rFonts w:ascii="宋体" w:hAnsi="宋体" w:cs="宋体"/>
                <w:color w:val="auto"/>
                <w:kern w:val="0"/>
                <w:szCs w:val="21"/>
              </w:rPr>
            </w:pPr>
            <w:r>
              <w:rPr>
                <w:rFonts w:hint="eastAsia"/>
                <w:color w:val="auto"/>
                <w:szCs w:val="21"/>
              </w:rPr>
              <w:t>金属制品、机械和设备修理业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widowControl/>
              <w:spacing w:line="240" w:lineRule="exact"/>
              <w:ind w:left="57" w:right="57"/>
              <w:rPr>
                <w:rFonts w:ascii="宋体" w:hAnsi="宋体" w:cs="宋体"/>
                <w:b/>
                <w:color w:val="auto"/>
                <w:kern w:val="0"/>
                <w:szCs w:val="21"/>
              </w:rPr>
            </w:pPr>
            <w:r>
              <w:rPr>
                <w:rFonts w:hint="eastAsia" w:ascii="宋体" w:hAnsi="宋体" w:cs="宋体"/>
                <w:b/>
                <w:color w:val="auto"/>
                <w:kern w:val="0"/>
                <w:szCs w:val="21"/>
              </w:rPr>
              <w:t>电力、热力、燃气及水生产和供应业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b/>
                <w:color w:val="auto"/>
                <w:szCs w:val="21"/>
              </w:rPr>
            </w:pPr>
          </w:p>
        </w:tc>
        <w:tc>
          <w:tcPr>
            <w:tcW w:w="1952" w:type="dxa"/>
            <w:tcBorders>
              <w:top w:val="nil"/>
              <w:left w:val="single" w:color="auto" w:sz="4" w:space="0"/>
              <w:bottom w:val="nil"/>
              <w:right w:val="nil"/>
            </w:tcBorders>
            <w:vAlign w:val="center"/>
          </w:tcPr>
          <w:p>
            <w:pPr>
              <w:widowControl/>
              <w:spacing w:line="240" w:lineRule="exact"/>
              <w:ind w:left="57" w:right="57"/>
              <w:jc w:val="right"/>
              <w:rPr>
                <w:rFonts w:ascii="Times New Roman" w:hAnsi="Times New Roman" w:cs="Times New Roman"/>
                <w:b/>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widowControl/>
              <w:spacing w:line="240" w:lineRule="exact"/>
              <w:ind w:left="57" w:right="57"/>
              <w:rPr>
                <w:rFonts w:ascii="宋体" w:hAnsi="宋体" w:cs="宋体"/>
                <w:color w:val="auto"/>
                <w:kern w:val="0"/>
                <w:szCs w:val="21"/>
              </w:rPr>
            </w:pPr>
            <w:r>
              <w:rPr>
                <w:rFonts w:hint="eastAsia" w:ascii="宋体" w:hAnsi="宋体" w:cs="宋体"/>
                <w:color w:val="auto"/>
                <w:kern w:val="0"/>
                <w:szCs w:val="21"/>
              </w:rPr>
              <w:t>　　电力、热力生产和供应业</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widowControl/>
              <w:spacing w:line="240" w:lineRule="exact"/>
              <w:ind w:left="57" w:right="57"/>
              <w:rPr>
                <w:rFonts w:ascii="宋体" w:hAnsi="宋体" w:cs="宋体"/>
                <w:color w:val="auto"/>
                <w:kern w:val="0"/>
                <w:szCs w:val="21"/>
              </w:rPr>
            </w:pPr>
            <w:r>
              <w:rPr>
                <w:rFonts w:hint="eastAsia" w:ascii="宋体" w:hAnsi="宋体" w:cs="宋体"/>
                <w:color w:val="auto"/>
                <w:kern w:val="0"/>
                <w:szCs w:val="21"/>
              </w:rPr>
              <w:t>　　燃气生产和供应业　</w:t>
            </w:r>
          </w:p>
        </w:tc>
        <w:tc>
          <w:tcPr>
            <w:tcW w:w="1560" w:type="dxa"/>
            <w:tcBorders>
              <w:top w:val="nil"/>
              <w:left w:val="single" w:color="auto" w:sz="4" w:space="0"/>
              <w:bottom w:val="nil"/>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nil"/>
              <w:right w:val="nil"/>
            </w:tcBorders>
            <w:vAlign w:val="center"/>
          </w:tcPr>
          <w:p>
            <w:pPr>
              <w:spacing w:line="240" w:lineRule="exact"/>
              <w:jc w:val="right"/>
              <w:rPr>
                <w:rFonts w:ascii="Times New Roman" w:hAnsi="Times New Roman" w:cs="Times New Roman"/>
                <w:color w:val="auto"/>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794" w:type="dxa"/>
            <w:tcBorders>
              <w:top w:val="nil"/>
              <w:left w:val="nil"/>
              <w:bottom w:val="single" w:color="auto" w:sz="12" w:space="0"/>
              <w:right w:val="single" w:color="auto" w:sz="4" w:space="0"/>
            </w:tcBorders>
            <w:vAlign w:val="center"/>
          </w:tcPr>
          <w:p>
            <w:pPr>
              <w:widowControl/>
              <w:spacing w:line="240" w:lineRule="exact"/>
              <w:ind w:left="57" w:right="57"/>
              <w:rPr>
                <w:rFonts w:ascii="宋体" w:hAnsi="宋体" w:cs="宋体"/>
                <w:color w:val="auto"/>
                <w:kern w:val="0"/>
                <w:szCs w:val="21"/>
              </w:rPr>
            </w:pPr>
            <w:r>
              <w:rPr>
                <w:rFonts w:hint="eastAsia" w:ascii="宋体" w:hAnsi="宋体" w:cs="宋体"/>
                <w:color w:val="auto"/>
                <w:kern w:val="0"/>
                <w:szCs w:val="21"/>
              </w:rPr>
              <w:t>　　水的生产和供应业　</w:t>
            </w:r>
          </w:p>
        </w:tc>
        <w:tc>
          <w:tcPr>
            <w:tcW w:w="1560" w:type="dxa"/>
            <w:tcBorders>
              <w:top w:val="nil"/>
              <w:left w:val="single" w:color="auto" w:sz="4" w:space="0"/>
              <w:bottom w:val="single" w:color="auto" w:sz="12" w:space="0"/>
              <w:right w:val="single" w:color="auto" w:sz="4" w:space="0"/>
            </w:tcBorders>
            <w:vAlign w:val="center"/>
          </w:tcPr>
          <w:p>
            <w:pPr>
              <w:widowControl/>
              <w:spacing w:line="240" w:lineRule="exact"/>
              <w:ind w:left="57" w:right="57"/>
              <w:jc w:val="right"/>
              <w:rPr>
                <w:rFonts w:ascii="Times New Roman" w:hAnsi="Times New Roman" w:cs="Times New Roman"/>
                <w:color w:val="auto"/>
                <w:szCs w:val="21"/>
              </w:rPr>
            </w:pPr>
          </w:p>
        </w:tc>
        <w:tc>
          <w:tcPr>
            <w:tcW w:w="1952" w:type="dxa"/>
            <w:tcBorders>
              <w:top w:val="nil"/>
              <w:left w:val="single" w:color="auto" w:sz="4" w:space="0"/>
              <w:bottom w:val="single" w:color="auto" w:sz="12" w:space="0"/>
              <w:right w:val="nil"/>
            </w:tcBorders>
            <w:vAlign w:val="center"/>
          </w:tcPr>
          <w:p>
            <w:pPr>
              <w:spacing w:line="240" w:lineRule="exact"/>
              <w:jc w:val="right"/>
              <w:rPr>
                <w:rFonts w:ascii="Times New Roman" w:hAnsi="Times New Roman" w:cs="Times New Roman"/>
                <w:color w:val="auto"/>
                <w:szCs w:val="21"/>
              </w:rPr>
            </w:pPr>
          </w:p>
        </w:tc>
      </w:tr>
    </w:tbl>
    <w:p>
      <w:pPr>
        <w:snapToGrid w:val="0"/>
        <w:spacing w:line="60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四、文化及相关产业</w:t>
      </w:r>
    </w:p>
    <w:p>
      <w:pPr>
        <w:snapToGrid w:val="0"/>
        <w:spacing w:line="600" w:lineRule="exact"/>
        <w:ind w:firstLine="640" w:firstLineChars="200"/>
        <w:rPr>
          <w:rFonts w:hint="eastAsia" w:eastAsia="方正仿宋_GBK"/>
          <w:color w:val="auto"/>
          <w:sz w:val="32"/>
          <w:szCs w:val="32"/>
          <w:lang w:eastAsia="zh-CN"/>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w:t>
      </w:r>
      <w:r>
        <w:rPr>
          <w:rFonts w:hint="eastAsia" w:eastAsia="方正仿宋_GBK"/>
          <w:color w:val="auto"/>
          <w:sz w:val="32"/>
          <w:szCs w:val="32"/>
          <w:lang w:eastAsia="zh-CN"/>
        </w:rPr>
        <w:t>区</w:t>
      </w:r>
      <w:r>
        <w:rPr>
          <w:rFonts w:hint="eastAsia" w:eastAsia="方正仿宋_GBK"/>
          <w:color w:val="auto"/>
          <w:sz w:val="32"/>
          <w:szCs w:val="32"/>
        </w:rPr>
        <w:t>有文化及相关产业法人单位</w:t>
      </w:r>
      <w:r>
        <w:rPr>
          <w:rFonts w:hint="default" w:ascii="Times New Roman" w:hAnsi="Times New Roman" w:eastAsia="方正仿宋_GBK" w:cs="Times New Roman"/>
          <w:color w:val="auto"/>
          <w:sz w:val="32"/>
          <w:szCs w:val="32"/>
          <w:lang w:val="en-US" w:eastAsia="zh-CN"/>
        </w:rPr>
        <w:t>3757</w:t>
      </w:r>
      <w:r>
        <w:rPr>
          <w:rFonts w:hint="eastAsia" w:eastAsia="方正仿宋_GBK"/>
          <w:color w:val="auto"/>
          <w:sz w:val="32"/>
          <w:szCs w:val="32"/>
        </w:rPr>
        <w:t>个，比</w:t>
      </w:r>
      <w:r>
        <w:rPr>
          <w:rFonts w:hint="default" w:ascii="Times New Roman" w:hAnsi="Times New Roman" w:eastAsia="方正仿宋_GBK" w:cs="Times New Roman"/>
          <w:color w:val="auto"/>
          <w:sz w:val="32"/>
          <w:szCs w:val="32"/>
        </w:rPr>
        <w:t>2013</w:t>
      </w:r>
      <w:r>
        <w:rPr>
          <w:rFonts w:hint="eastAsia" w:eastAsia="方正仿宋_GBK"/>
          <w:color w:val="auto"/>
          <w:sz w:val="32"/>
          <w:szCs w:val="32"/>
        </w:rPr>
        <w:t>年末增长</w:t>
      </w:r>
      <w:r>
        <w:rPr>
          <w:rFonts w:hint="default" w:ascii="Times New Roman" w:hAnsi="Times New Roman" w:eastAsia="方正仿宋_GBK" w:cs="Times New Roman"/>
          <w:color w:val="auto"/>
          <w:sz w:val="32"/>
          <w:szCs w:val="32"/>
          <w:lang w:val="en-US" w:eastAsia="zh-CN"/>
        </w:rPr>
        <w:t>202.0</w:t>
      </w:r>
      <w:r>
        <w:rPr>
          <w:rFonts w:hint="default" w:ascii="Times New Roman" w:hAnsi="Times New Roman" w:eastAsia="方正仿宋_GBK" w:cs="Times New Roman"/>
          <w:color w:val="auto"/>
          <w:sz w:val="32"/>
          <w:szCs w:val="32"/>
        </w:rPr>
        <w:t>%</w:t>
      </w:r>
      <w:r>
        <w:rPr>
          <w:rFonts w:hint="eastAsia" w:eastAsia="方正仿宋_GBK"/>
          <w:color w:val="auto"/>
          <w:sz w:val="32"/>
          <w:szCs w:val="32"/>
        </w:rPr>
        <w:t>；从业人员</w:t>
      </w:r>
      <w:r>
        <w:rPr>
          <w:rFonts w:hint="default" w:ascii="Times New Roman" w:hAnsi="Times New Roman" w:eastAsia="方正仿宋_GBK" w:cs="Times New Roman"/>
          <w:color w:val="auto"/>
          <w:sz w:val="32"/>
          <w:szCs w:val="32"/>
          <w:lang w:val="en-US" w:eastAsia="zh-CN"/>
        </w:rPr>
        <w:t>2.80</w:t>
      </w:r>
      <w:r>
        <w:rPr>
          <w:rFonts w:hint="eastAsia" w:eastAsia="方正仿宋_GBK"/>
          <w:color w:val="auto"/>
          <w:sz w:val="32"/>
          <w:szCs w:val="32"/>
        </w:rPr>
        <w:t>万人</w:t>
      </w:r>
      <w:r>
        <w:rPr>
          <w:rFonts w:hint="eastAsia" w:eastAsia="方正仿宋_GBK"/>
          <w:color w:val="auto"/>
          <w:sz w:val="32"/>
          <w:szCs w:val="32"/>
          <w:lang w:eastAsia="zh-CN"/>
        </w:rPr>
        <w:t>，</w:t>
      </w:r>
      <w:r>
        <w:rPr>
          <w:rFonts w:hint="eastAsia" w:eastAsia="方正仿宋_GBK"/>
          <w:color w:val="auto"/>
          <w:sz w:val="32"/>
          <w:szCs w:val="32"/>
        </w:rPr>
        <w:t>资产总计</w:t>
      </w:r>
      <w:r>
        <w:rPr>
          <w:rFonts w:hint="default" w:ascii="Times New Roman" w:hAnsi="Times New Roman" w:eastAsia="方正仿宋_GBK" w:cs="Times New Roman"/>
          <w:color w:val="auto"/>
          <w:sz w:val="32"/>
          <w:szCs w:val="32"/>
          <w:lang w:val="en-US" w:eastAsia="zh-CN"/>
        </w:rPr>
        <w:t>472.60</w:t>
      </w:r>
      <w:r>
        <w:rPr>
          <w:rFonts w:hint="eastAsia" w:eastAsia="方正仿宋_GBK"/>
          <w:color w:val="auto"/>
          <w:sz w:val="32"/>
          <w:szCs w:val="32"/>
        </w:rPr>
        <w:t>亿元</w:t>
      </w:r>
      <w:r>
        <w:rPr>
          <w:rFonts w:hint="eastAsia" w:eastAsia="方正仿宋_GBK"/>
          <w:color w:val="auto"/>
          <w:sz w:val="32"/>
          <w:szCs w:val="32"/>
          <w:lang w:eastAsia="zh-CN"/>
        </w:rPr>
        <w:t>。</w:t>
      </w:r>
    </w:p>
    <w:p>
      <w:pPr>
        <w:snapToGrid w:val="0"/>
        <w:spacing w:line="600" w:lineRule="exact"/>
        <w:ind w:firstLine="640" w:firstLineChars="200"/>
        <w:rPr>
          <w:rFonts w:hint="eastAsia" w:eastAsia="方正仿宋_GBK"/>
          <w:color w:val="auto"/>
          <w:sz w:val="32"/>
          <w:szCs w:val="32"/>
          <w:lang w:eastAsia="zh-CN"/>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w:t>
      </w:r>
      <w:r>
        <w:rPr>
          <w:rFonts w:hint="eastAsia" w:eastAsia="方正仿宋_GBK"/>
          <w:color w:val="auto"/>
          <w:sz w:val="32"/>
          <w:szCs w:val="32"/>
          <w:lang w:eastAsia="zh-CN"/>
        </w:rPr>
        <w:t>区</w:t>
      </w:r>
      <w:r>
        <w:rPr>
          <w:rFonts w:hint="eastAsia" w:eastAsia="方正仿宋_GBK"/>
          <w:color w:val="auto"/>
          <w:sz w:val="32"/>
          <w:szCs w:val="32"/>
        </w:rPr>
        <w:t>有经营性文化产业法人单位</w:t>
      </w:r>
      <w:r>
        <w:rPr>
          <w:rFonts w:hint="default" w:ascii="Times New Roman" w:hAnsi="Times New Roman" w:eastAsia="方正仿宋_GBK" w:cs="Times New Roman"/>
          <w:color w:val="auto"/>
          <w:sz w:val="32"/>
          <w:szCs w:val="32"/>
          <w:lang w:val="en-US" w:eastAsia="zh-CN"/>
        </w:rPr>
        <w:t>3660</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lang w:val="en-US" w:eastAsia="zh-CN"/>
        </w:rPr>
        <w:t>2.71</w:t>
      </w:r>
      <w:r>
        <w:rPr>
          <w:rFonts w:hint="eastAsia" w:eastAsia="方正仿宋_GBK"/>
          <w:color w:val="auto"/>
          <w:sz w:val="32"/>
          <w:szCs w:val="32"/>
        </w:rPr>
        <w:t>万人，资产总计</w:t>
      </w:r>
      <w:r>
        <w:rPr>
          <w:rFonts w:hint="default" w:ascii="Times New Roman" w:hAnsi="Times New Roman" w:eastAsia="方正仿宋_GBK" w:cs="Times New Roman"/>
          <w:color w:val="auto"/>
          <w:sz w:val="32"/>
          <w:szCs w:val="32"/>
          <w:lang w:val="en-US" w:eastAsia="zh-CN"/>
        </w:rPr>
        <w:t>464.09</w:t>
      </w:r>
      <w:r>
        <w:rPr>
          <w:rFonts w:hint="eastAsia" w:eastAsia="方正仿宋_GBK"/>
          <w:color w:val="auto"/>
          <w:sz w:val="32"/>
          <w:szCs w:val="32"/>
        </w:rPr>
        <w:t>亿元，全年实现营业收入</w:t>
      </w:r>
      <w:r>
        <w:rPr>
          <w:rFonts w:hint="default" w:ascii="Times New Roman" w:hAnsi="Times New Roman" w:eastAsia="方正仿宋_GBK" w:cs="Times New Roman"/>
          <w:color w:val="auto"/>
          <w:sz w:val="32"/>
          <w:szCs w:val="32"/>
          <w:lang w:val="en-US" w:eastAsia="zh-CN"/>
        </w:rPr>
        <w:t>115.29</w:t>
      </w:r>
      <w:r>
        <w:rPr>
          <w:rFonts w:hint="eastAsia" w:eastAsia="方正仿宋_GBK"/>
          <w:color w:val="auto"/>
          <w:sz w:val="32"/>
          <w:szCs w:val="32"/>
        </w:rPr>
        <w:t>亿元</w:t>
      </w:r>
      <w:r>
        <w:rPr>
          <w:rFonts w:hint="eastAsia" w:eastAsia="方正仿宋_GBK"/>
          <w:color w:val="auto"/>
          <w:sz w:val="32"/>
          <w:szCs w:val="32"/>
          <w:lang w:eastAsia="zh-CN"/>
        </w:rPr>
        <w:t>。</w:t>
      </w:r>
    </w:p>
    <w:p>
      <w:pPr>
        <w:snapToGrid w:val="0"/>
        <w:spacing w:line="600" w:lineRule="exact"/>
        <w:ind w:firstLine="640" w:firstLineChars="200"/>
        <w:rPr>
          <w:rFonts w:hint="eastAsia" w:eastAsia="方正仿宋_GBK"/>
          <w:color w:val="auto"/>
          <w:sz w:val="32"/>
          <w:szCs w:val="32"/>
        </w:rPr>
      </w:pPr>
      <w:r>
        <w:rPr>
          <w:rFonts w:hint="default" w:ascii="Times New Roman" w:hAnsi="Times New Roman" w:eastAsia="方正仿宋_GBK" w:cs="Times New Roman"/>
          <w:color w:val="auto"/>
          <w:sz w:val="32"/>
          <w:szCs w:val="32"/>
        </w:rPr>
        <w:t>2018</w:t>
      </w:r>
      <w:r>
        <w:rPr>
          <w:rFonts w:hint="eastAsia" w:eastAsia="方正仿宋_GBK"/>
          <w:color w:val="auto"/>
          <w:sz w:val="32"/>
          <w:szCs w:val="32"/>
        </w:rPr>
        <w:t>年末，全</w:t>
      </w:r>
      <w:r>
        <w:rPr>
          <w:rFonts w:hint="eastAsia" w:eastAsia="方正仿宋_GBK"/>
          <w:color w:val="auto"/>
          <w:sz w:val="32"/>
          <w:szCs w:val="32"/>
          <w:lang w:eastAsia="zh-CN"/>
        </w:rPr>
        <w:t>区</w:t>
      </w:r>
      <w:r>
        <w:rPr>
          <w:rFonts w:hint="eastAsia" w:eastAsia="方正仿宋_GBK"/>
          <w:color w:val="auto"/>
          <w:sz w:val="32"/>
          <w:szCs w:val="32"/>
        </w:rPr>
        <w:t>有公益性文化事业（含社团）法人单位</w:t>
      </w:r>
      <w:r>
        <w:rPr>
          <w:rFonts w:hint="default" w:ascii="Times New Roman" w:hAnsi="Times New Roman" w:eastAsia="方正仿宋_GBK" w:cs="Times New Roman"/>
          <w:color w:val="auto"/>
          <w:sz w:val="32"/>
          <w:szCs w:val="32"/>
          <w:lang w:val="en-US" w:eastAsia="zh-CN"/>
        </w:rPr>
        <w:t>97</w:t>
      </w:r>
      <w:r>
        <w:rPr>
          <w:rFonts w:hint="eastAsia" w:eastAsia="方正仿宋_GBK"/>
          <w:color w:val="auto"/>
          <w:sz w:val="32"/>
          <w:szCs w:val="32"/>
        </w:rPr>
        <w:t>个，从业人员</w:t>
      </w:r>
      <w:r>
        <w:rPr>
          <w:rFonts w:hint="default" w:ascii="Times New Roman" w:hAnsi="Times New Roman" w:eastAsia="方正仿宋_GBK" w:cs="Times New Roman"/>
          <w:color w:val="auto"/>
          <w:sz w:val="32"/>
          <w:szCs w:val="32"/>
          <w:lang w:val="en-US" w:eastAsia="zh-CN"/>
        </w:rPr>
        <w:t>0.09</w:t>
      </w:r>
      <w:r>
        <w:rPr>
          <w:rFonts w:hint="eastAsia" w:eastAsia="方正仿宋_GBK"/>
          <w:color w:val="auto"/>
          <w:sz w:val="32"/>
          <w:szCs w:val="32"/>
        </w:rPr>
        <w:t>万人，资产总计</w:t>
      </w:r>
      <w:r>
        <w:rPr>
          <w:rFonts w:hint="default" w:ascii="Times New Roman" w:hAnsi="Times New Roman" w:eastAsia="方正仿宋_GBK" w:cs="Times New Roman"/>
          <w:color w:val="auto"/>
          <w:sz w:val="32"/>
          <w:szCs w:val="32"/>
          <w:lang w:val="en-US" w:eastAsia="zh-CN"/>
        </w:rPr>
        <w:t>8.51</w:t>
      </w:r>
      <w:r>
        <w:rPr>
          <w:rFonts w:hint="eastAsia" w:eastAsia="方正仿宋_GBK"/>
          <w:color w:val="auto"/>
          <w:sz w:val="32"/>
          <w:szCs w:val="32"/>
        </w:rPr>
        <w:t>亿元，全年支出（费用）</w:t>
      </w:r>
      <w:r>
        <w:rPr>
          <w:rFonts w:hint="default" w:ascii="Times New Roman" w:hAnsi="Times New Roman" w:eastAsia="方正仿宋_GBK" w:cs="Times New Roman"/>
          <w:color w:val="auto"/>
          <w:sz w:val="32"/>
          <w:szCs w:val="32"/>
          <w:lang w:val="en-US" w:eastAsia="zh-CN"/>
        </w:rPr>
        <w:t>1.88</w:t>
      </w:r>
      <w:r>
        <w:rPr>
          <w:rFonts w:hint="eastAsia" w:eastAsia="方正仿宋_GBK"/>
          <w:color w:val="auto"/>
          <w:sz w:val="32"/>
          <w:szCs w:val="32"/>
        </w:rPr>
        <w:t>亿元。</w:t>
      </w:r>
    </w:p>
    <w:p>
      <w:pPr>
        <w:spacing w:line="560" w:lineRule="exact"/>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注释：</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[1]</w:t>
      </w:r>
      <w:r>
        <w:rPr>
          <w:rFonts w:eastAsia="方正仿宋_GBK"/>
          <w:color w:val="auto"/>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4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[2]</w:t>
      </w:r>
      <w:r>
        <w:rPr>
          <w:rFonts w:eastAsia="方正仿宋_GBK"/>
          <w:color w:val="auto"/>
          <w:kern w:val="0"/>
          <w:sz w:val="28"/>
          <w:szCs w:val="28"/>
        </w:rPr>
        <w:t>战略性新兴产业：根据《国务院关于加快培育和发展战略性新兴产业的决定》（国发〔</w:t>
      </w:r>
      <w:r>
        <w:rPr>
          <w:rFonts w:hint="default" w:ascii="Times New Roman" w:hAnsi="Times New Roman" w:eastAsia="方正仿宋_GBK" w:cs="Times New Roman"/>
          <w:color w:val="auto"/>
          <w:kern w:val="0"/>
          <w:sz w:val="28"/>
          <w:szCs w:val="28"/>
        </w:rPr>
        <w:t>2010</w:t>
      </w:r>
      <w:r>
        <w:rPr>
          <w:rFonts w:eastAsia="方正仿宋_GBK"/>
          <w:color w:val="auto"/>
          <w:kern w:val="0"/>
          <w:sz w:val="28"/>
          <w:szCs w:val="28"/>
        </w:rPr>
        <w:t>〕</w:t>
      </w:r>
      <w:r>
        <w:rPr>
          <w:rFonts w:hint="default" w:ascii="Times New Roman" w:hAnsi="Times New Roman" w:eastAsia="方正仿宋_GBK" w:cs="Times New Roman"/>
          <w:color w:val="auto"/>
          <w:kern w:val="0"/>
          <w:sz w:val="28"/>
          <w:szCs w:val="28"/>
        </w:rPr>
        <w:t>32</w:t>
      </w:r>
      <w:r>
        <w:rPr>
          <w:rFonts w:eastAsia="方正仿宋_GBK"/>
          <w:color w:val="auto"/>
          <w:kern w:val="0"/>
          <w:sz w:val="28"/>
          <w:szCs w:val="28"/>
        </w:rPr>
        <w:t>号）的精神和国家统计局制定的《战略性新兴产业分类（</w:t>
      </w:r>
      <w:r>
        <w:rPr>
          <w:rFonts w:hint="default" w:ascii="Times New Roman" w:hAnsi="Times New Roman" w:eastAsia="方正仿宋_GBK" w:cs="Times New Roman"/>
          <w:color w:val="auto"/>
          <w:kern w:val="0"/>
          <w:sz w:val="28"/>
          <w:szCs w:val="28"/>
        </w:rPr>
        <w:t>2018</w:t>
      </w:r>
      <w:r>
        <w:rPr>
          <w:rFonts w:eastAsia="方正仿宋_GBK"/>
          <w:color w:val="auto"/>
          <w:kern w:val="0"/>
          <w:sz w:val="28"/>
          <w:szCs w:val="28"/>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Pr>
          <w:rFonts w:hint="default" w:ascii="Times New Roman" w:hAnsi="Times New Roman" w:eastAsia="方正仿宋_GBK" w:cs="Times New Roman"/>
          <w:color w:val="auto"/>
          <w:kern w:val="0"/>
          <w:sz w:val="28"/>
          <w:szCs w:val="28"/>
        </w:rPr>
        <w:t>9</w:t>
      </w:r>
      <w:r>
        <w:rPr>
          <w:rFonts w:eastAsia="方正仿宋_GBK"/>
          <w:color w:val="auto"/>
          <w:kern w:val="0"/>
          <w:sz w:val="28"/>
          <w:szCs w:val="28"/>
        </w:rPr>
        <w:t>大领域。</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[3]</w:t>
      </w:r>
      <w:r>
        <w:rPr>
          <w:rFonts w:eastAsia="方正仿宋_GBK"/>
          <w:color w:val="auto"/>
          <w:kern w:val="0"/>
          <w:sz w:val="28"/>
          <w:szCs w:val="28"/>
        </w:rPr>
        <w:t>规模以上工业：是指年主营业务收入</w:t>
      </w:r>
      <w:r>
        <w:rPr>
          <w:rFonts w:hint="default" w:ascii="Times New Roman" w:hAnsi="Times New Roman" w:eastAsia="方正仿宋_GBK" w:cs="Times New Roman"/>
          <w:color w:val="auto"/>
          <w:kern w:val="0"/>
          <w:sz w:val="28"/>
          <w:szCs w:val="28"/>
        </w:rPr>
        <w:t>2000</w:t>
      </w:r>
      <w:r>
        <w:rPr>
          <w:rFonts w:eastAsia="方正仿宋_GBK"/>
          <w:color w:val="auto"/>
          <w:kern w:val="0"/>
          <w:sz w:val="28"/>
          <w:szCs w:val="28"/>
        </w:rPr>
        <w:t>万元及以上的工业法人单位。</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[4]</w:t>
      </w:r>
      <w:r>
        <w:rPr>
          <w:rFonts w:eastAsia="方正仿宋_GBK"/>
          <w:color w:val="auto"/>
          <w:kern w:val="0"/>
          <w:sz w:val="28"/>
          <w:szCs w:val="28"/>
        </w:rPr>
        <w:t>高</w:t>
      </w:r>
      <w:r>
        <w:rPr>
          <w:rFonts w:eastAsia="方正仿宋_GBK"/>
          <w:color w:val="auto"/>
          <w:spacing w:val="-6"/>
          <w:kern w:val="0"/>
          <w:sz w:val="28"/>
          <w:szCs w:val="28"/>
        </w:rPr>
        <w:t>技术制造业：按照《高技术产业（制造业）分类（</w:t>
      </w:r>
      <w:r>
        <w:rPr>
          <w:rFonts w:hint="default" w:ascii="Times New Roman" w:hAnsi="Times New Roman" w:eastAsia="方正仿宋_GBK" w:cs="Times New Roman"/>
          <w:color w:val="auto"/>
          <w:spacing w:val="-6"/>
          <w:kern w:val="0"/>
          <w:sz w:val="28"/>
          <w:szCs w:val="28"/>
        </w:rPr>
        <w:t>2017</w:t>
      </w:r>
      <w:r>
        <w:rPr>
          <w:rFonts w:eastAsia="方正仿宋_GBK"/>
          <w:color w:val="auto"/>
          <w:spacing w:val="-6"/>
          <w:kern w:val="0"/>
          <w:sz w:val="28"/>
          <w:szCs w:val="28"/>
        </w:rPr>
        <w:t>）》，高技术制造业是指国民经济行业中</w:t>
      </w:r>
      <w:r>
        <w:rPr>
          <w:rFonts w:hint="default" w:ascii="Times New Roman" w:hAnsi="Times New Roman" w:eastAsia="方正仿宋_GBK" w:cs="Times New Roman"/>
          <w:color w:val="auto"/>
          <w:spacing w:val="-6"/>
          <w:kern w:val="0"/>
          <w:sz w:val="28"/>
          <w:szCs w:val="28"/>
        </w:rPr>
        <w:t>R&amp;D</w:t>
      </w:r>
      <w:r>
        <w:rPr>
          <w:rFonts w:eastAsia="方正仿宋_GBK"/>
          <w:color w:val="auto"/>
          <w:spacing w:val="-6"/>
          <w:kern w:val="0"/>
          <w:sz w:val="28"/>
          <w:szCs w:val="28"/>
        </w:rPr>
        <w:t>投入强度相对高的制造业行业，包括：医药制造，航空、航天器及设备制造，电子及通信设备制造，计算机及办公设备制造，医疗仪器设备及仪器仪表制造，信息化学品制造等</w:t>
      </w:r>
      <w:r>
        <w:rPr>
          <w:rFonts w:hint="default" w:ascii="Times New Roman" w:hAnsi="Times New Roman" w:eastAsia="方正仿宋_GBK" w:cs="Times New Roman"/>
          <w:color w:val="auto"/>
          <w:spacing w:val="-6"/>
          <w:kern w:val="0"/>
          <w:sz w:val="28"/>
          <w:szCs w:val="28"/>
        </w:rPr>
        <w:t>6</w:t>
      </w:r>
      <w:r>
        <w:rPr>
          <w:rFonts w:eastAsia="方正仿宋_GBK"/>
          <w:color w:val="auto"/>
          <w:spacing w:val="-6"/>
          <w:kern w:val="0"/>
          <w:sz w:val="28"/>
          <w:szCs w:val="28"/>
        </w:rPr>
        <w:t>大类。</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[5]</w:t>
      </w:r>
      <w:r>
        <w:rPr>
          <w:rFonts w:eastAsia="方正仿宋_GBK"/>
          <w:color w:val="auto"/>
          <w:kern w:val="0"/>
          <w:sz w:val="28"/>
          <w:szCs w:val="28"/>
        </w:rPr>
        <w:t>研究与试验发展：是指为增加知识存量（也包括有关人类、文化和社会的知识）以及设计已有知识的新应用而进行的创造性、系统性工作，包括基础研究、应用研究和试验发展三种类型。</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[6]</w:t>
      </w:r>
      <w:r>
        <w:rPr>
          <w:rFonts w:eastAsia="方正仿宋_GBK"/>
          <w:color w:val="auto"/>
          <w:kern w:val="0"/>
          <w:sz w:val="28"/>
          <w:szCs w:val="28"/>
        </w:rPr>
        <w:t>文化及相关产业：根据《文化及相关产业分类（</w:t>
      </w:r>
      <w:r>
        <w:rPr>
          <w:rFonts w:hint="default" w:ascii="Times New Roman" w:hAnsi="Times New Roman" w:eastAsia="方正仿宋_GBK" w:cs="Times New Roman"/>
          <w:color w:val="auto"/>
          <w:kern w:val="0"/>
          <w:sz w:val="28"/>
          <w:szCs w:val="28"/>
        </w:rPr>
        <w:t>2018</w:t>
      </w:r>
      <w:r>
        <w:rPr>
          <w:rFonts w:eastAsia="方正仿宋_GBK"/>
          <w:color w:val="auto"/>
          <w:kern w:val="0"/>
          <w:sz w:val="28"/>
          <w:szCs w:val="28"/>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pPr>
        <w:spacing w:line="560" w:lineRule="exact"/>
        <w:ind w:firstLine="560" w:firstLineChars="200"/>
        <w:rPr>
          <w:rFonts w:eastAsia="方正仿宋_GBK"/>
          <w:color w:val="auto"/>
          <w:kern w:val="0"/>
          <w:sz w:val="28"/>
          <w:szCs w:val="28"/>
        </w:rPr>
      </w:pPr>
      <w:r>
        <w:rPr>
          <w:rFonts w:hint="default" w:ascii="Times New Roman" w:hAnsi="Times New Roman" w:eastAsia="方正仿宋_GBK" w:cs="Times New Roman"/>
          <w:color w:val="auto"/>
          <w:kern w:val="0"/>
          <w:sz w:val="28"/>
          <w:szCs w:val="28"/>
        </w:rPr>
        <w:t>[7]</w:t>
      </w:r>
      <w:r>
        <w:rPr>
          <w:rFonts w:eastAsia="方正仿宋_GBK"/>
          <w:color w:val="auto"/>
          <w:kern w:val="0"/>
          <w:sz w:val="28"/>
          <w:szCs w:val="28"/>
        </w:rPr>
        <w:t>表中的合计数和部分计算数据因小数取舍而产生的误差，均未作机械调整。</w:t>
      </w: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snapToGrid w:val="0"/>
        <w:spacing w:line="600" w:lineRule="exact"/>
        <w:ind w:firstLine="640" w:firstLineChars="200"/>
        <w:rPr>
          <w:rFonts w:hint="eastAsia" w:eastAsia="仿宋_GB2312"/>
          <w:color w:val="auto"/>
          <w:sz w:val="32"/>
          <w:szCs w:val="32"/>
        </w:rPr>
      </w:pPr>
    </w:p>
    <w:p>
      <w:pPr>
        <w:rPr>
          <w:color w:val="auto"/>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eastAsia="方正小标宋_GBK" w:cs="Times New Roman"/>
          <w:bCs/>
          <w:color w:val="auto"/>
          <w:kern w:val="0"/>
          <w:sz w:val="36"/>
          <w:szCs w:val="36"/>
        </w:rPr>
      </w:pPr>
      <w:r>
        <w:rPr>
          <w:rFonts w:hint="eastAsia" w:ascii="Times New Roman" w:hAnsi="Times New Roman" w:eastAsia="方正小标宋_GBK" w:cs="Times New Roman"/>
          <w:bCs/>
          <w:color w:val="auto"/>
          <w:kern w:val="0"/>
          <w:sz w:val="36"/>
          <w:szCs w:val="36"/>
        </w:rPr>
        <w:t>南岸区第四次全国经济普查公报（第七号）</w:t>
      </w:r>
    </w:p>
    <w:p>
      <w:pPr>
        <w:keepNext w:val="0"/>
        <w:keepLines w:val="0"/>
        <w:pageBreakBefore w:val="0"/>
        <w:kinsoku/>
        <w:wordWrap/>
        <w:overflowPunct/>
        <w:topLinePunct w:val="0"/>
        <w:autoSpaceDE/>
        <w:autoSpaceDN/>
        <w:bidi w:val="0"/>
        <w:adjustRightInd/>
        <w:spacing w:before="100" w:beforeAutospacing="1" w:line="600" w:lineRule="exact"/>
        <w:jc w:val="center"/>
        <w:textAlignment w:val="auto"/>
        <w:rPr>
          <w:rFonts w:ascii="Times New Roman" w:hAnsi="Times New Roman" w:eastAsia="方正楷体_GBK" w:cs="Times New Roman"/>
          <w:bCs/>
          <w:color w:val="auto"/>
          <w:kern w:val="0"/>
          <w:sz w:val="32"/>
          <w:szCs w:val="36"/>
        </w:rPr>
      </w:pPr>
      <w:r>
        <w:rPr>
          <w:rFonts w:hint="eastAsia" w:ascii="Times New Roman" w:hAnsi="Times New Roman" w:eastAsia="方正楷体_GBK" w:cs="Times New Roman"/>
          <w:bCs/>
          <w:color w:val="auto"/>
          <w:kern w:val="0"/>
          <w:sz w:val="32"/>
          <w:szCs w:val="36"/>
        </w:rPr>
        <w:t>——分镇（街）单位和从业人员情况</w:t>
      </w: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楷体_GBK" w:cs="Times New Roman"/>
          <w:bCs/>
          <w:color w:val="auto"/>
          <w:kern w:val="0"/>
          <w:sz w:val="32"/>
          <w:szCs w:val="36"/>
        </w:rPr>
      </w:pP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楷体_GBK" w:cs="Times New Roman"/>
          <w:bCs/>
          <w:color w:val="auto"/>
          <w:kern w:val="0"/>
          <w:sz w:val="32"/>
          <w:szCs w:val="36"/>
        </w:rPr>
      </w:pPr>
      <w:r>
        <w:rPr>
          <w:rFonts w:hint="eastAsia" w:ascii="Times New Roman" w:hAnsi="Times New Roman" w:eastAsia="方正楷体_GBK" w:cs="Times New Roman"/>
          <w:bCs/>
          <w:color w:val="auto"/>
          <w:kern w:val="0"/>
          <w:sz w:val="32"/>
          <w:szCs w:val="36"/>
        </w:rPr>
        <w:t>南岸区统计局</w:t>
      </w: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楷体_GBK" w:cs="Times New Roman"/>
          <w:bCs/>
          <w:color w:val="auto"/>
          <w:kern w:val="0"/>
          <w:sz w:val="32"/>
          <w:szCs w:val="36"/>
        </w:rPr>
      </w:pPr>
      <w:r>
        <w:rPr>
          <w:rFonts w:hint="eastAsia" w:ascii="Times New Roman" w:hAnsi="Times New Roman" w:eastAsia="方正楷体_GBK" w:cs="Times New Roman"/>
          <w:bCs/>
          <w:color w:val="auto"/>
          <w:kern w:val="0"/>
          <w:sz w:val="32"/>
          <w:szCs w:val="36"/>
        </w:rPr>
        <w:t>南岸区</w:t>
      </w:r>
      <w:r>
        <w:rPr>
          <w:rFonts w:ascii="Times New Roman" w:hAnsi="Times New Roman" w:eastAsia="方正楷体_GBK" w:cs="Times New Roman"/>
          <w:bCs/>
          <w:color w:val="auto"/>
          <w:kern w:val="0"/>
          <w:sz w:val="32"/>
          <w:szCs w:val="36"/>
        </w:rPr>
        <w:t>人民政府</w:t>
      </w:r>
      <w:r>
        <w:rPr>
          <w:rFonts w:hint="eastAsia" w:ascii="Times New Roman" w:hAnsi="Times New Roman" w:eastAsia="方正楷体_GBK" w:cs="Times New Roman"/>
          <w:bCs/>
          <w:color w:val="auto"/>
          <w:kern w:val="0"/>
          <w:sz w:val="32"/>
          <w:szCs w:val="36"/>
        </w:rPr>
        <w:t>第四次全国经济普查领导小组办公室</w:t>
      </w: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楷体_GBK" w:cs="Times New Roman"/>
          <w:bCs/>
          <w:color w:val="auto"/>
          <w:kern w:val="0"/>
          <w:sz w:val="32"/>
          <w:szCs w:val="36"/>
        </w:rPr>
      </w:pPr>
      <w:r>
        <w:rPr>
          <w:rFonts w:hint="eastAsia" w:ascii="Times New Roman" w:hAnsi="Times New Roman" w:eastAsia="方正楷体_GBK" w:cs="Times New Roman"/>
          <w:bCs/>
          <w:color w:val="auto"/>
          <w:kern w:val="0"/>
          <w:sz w:val="32"/>
          <w:szCs w:val="36"/>
        </w:rPr>
        <w:t>20</w:t>
      </w:r>
      <w:r>
        <w:rPr>
          <w:rFonts w:ascii="Times New Roman" w:hAnsi="Times New Roman" w:eastAsia="方正楷体_GBK" w:cs="Times New Roman"/>
          <w:bCs/>
          <w:color w:val="auto"/>
          <w:kern w:val="0"/>
          <w:sz w:val="32"/>
          <w:szCs w:val="36"/>
        </w:rPr>
        <w:t>20</w:t>
      </w:r>
      <w:r>
        <w:rPr>
          <w:rFonts w:hint="eastAsia" w:ascii="Times New Roman" w:hAnsi="Times New Roman" w:eastAsia="方正楷体_GBK" w:cs="Times New Roman"/>
          <w:bCs/>
          <w:color w:val="auto"/>
          <w:kern w:val="0"/>
          <w:sz w:val="32"/>
          <w:szCs w:val="36"/>
        </w:rPr>
        <w:t>年</w:t>
      </w:r>
      <w:r>
        <w:rPr>
          <w:rFonts w:hint="eastAsia" w:ascii="Times New Roman" w:hAnsi="Times New Roman" w:eastAsia="方正楷体_GBK" w:cs="Times New Roman"/>
          <w:bCs/>
          <w:color w:val="auto"/>
          <w:kern w:val="0"/>
          <w:sz w:val="32"/>
          <w:szCs w:val="36"/>
          <w:lang w:val="en-US" w:eastAsia="zh-CN"/>
        </w:rPr>
        <w:t>4</w:t>
      </w:r>
      <w:r>
        <w:rPr>
          <w:rFonts w:hint="eastAsia" w:ascii="Times New Roman" w:hAnsi="Times New Roman" w:eastAsia="方正楷体_GBK" w:cs="Times New Roman"/>
          <w:bCs/>
          <w:color w:val="auto"/>
          <w:kern w:val="0"/>
          <w:sz w:val="32"/>
          <w:szCs w:val="36"/>
        </w:rPr>
        <w:t>月</w:t>
      </w:r>
      <w:r>
        <w:rPr>
          <w:rFonts w:hint="eastAsia" w:ascii="Times New Roman" w:hAnsi="Times New Roman" w:eastAsia="方正楷体_GBK" w:cs="Times New Roman"/>
          <w:bCs/>
          <w:color w:val="auto"/>
          <w:kern w:val="0"/>
          <w:sz w:val="32"/>
          <w:szCs w:val="36"/>
          <w:lang w:val="en-US" w:eastAsia="zh-CN"/>
        </w:rPr>
        <w:t>22</w:t>
      </w:r>
      <w:r>
        <w:rPr>
          <w:rFonts w:hint="eastAsia" w:ascii="Times New Roman" w:hAnsi="Times New Roman" w:eastAsia="方正楷体_GBK" w:cs="Times New Roman"/>
          <w:bCs/>
          <w:color w:val="auto"/>
          <w:kern w:val="0"/>
          <w:sz w:val="32"/>
          <w:szCs w:val="36"/>
        </w:rPr>
        <w:t>日</w:t>
      </w:r>
    </w:p>
    <w:p>
      <w:pPr>
        <w:keepNext w:val="0"/>
        <w:keepLines w:val="0"/>
        <w:pageBreakBefore w:val="0"/>
        <w:kinsoku/>
        <w:wordWrap/>
        <w:overflowPunct/>
        <w:topLinePunct w:val="0"/>
        <w:autoSpaceDE/>
        <w:autoSpaceDN/>
        <w:bidi w:val="0"/>
        <w:adjustRightInd/>
        <w:spacing w:line="600" w:lineRule="exact"/>
        <w:textAlignment w:val="auto"/>
        <w:rPr>
          <w:rFonts w:asciiTheme="minorEastAsia" w:hAnsiTheme="minorEastAsia"/>
          <w:color w:val="auto"/>
          <w:sz w:val="32"/>
          <w:szCs w:val="32"/>
        </w:rPr>
      </w:pPr>
      <w:r>
        <w:rPr>
          <w:rFonts w:cs="Calibri" w:asciiTheme="minorEastAsia" w:hAnsiTheme="minorEastAsia"/>
          <w:color w:val="auto"/>
          <w:sz w:val="32"/>
          <w:szCs w:val="32"/>
        </w:rPr>
        <w:t>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根据第四次全国经济普查结果，现将我区分镇（街）的单位和从业人员基本情况公布如下：</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color w:val="auto"/>
          <w:sz w:val="32"/>
          <w:szCs w:val="32"/>
        </w:rPr>
      </w:pPr>
      <w:r>
        <w:rPr>
          <w:rFonts w:hint="eastAsia" w:ascii="方正黑体_GBK" w:eastAsia="方正黑体_GBK"/>
          <w:color w:val="auto"/>
          <w:sz w:val="32"/>
          <w:szCs w:val="32"/>
        </w:rPr>
        <w:t>一、单位基本情况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2018</w:t>
      </w:r>
      <w:r>
        <w:rPr>
          <w:rFonts w:hint="eastAsia" w:ascii="方正仿宋_GBK" w:hAnsi="方正仿宋_GBK" w:eastAsia="方正仿宋_GBK" w:cs="方正仿宋_GBK"/>
          <w:color w:val="auto"/>
          <w:sz w:val="32"/>
          <w:szCs w:val="32"/>
        </w:rPr>
        <w:t>年末，在第二产业和第三产业法人单位中，位居前三位的镇（街）是：南坪街道</w:t>
      </w:r>
      <w:r>
        <w:rPr>
          <w:rFonts w:hint="default" w:ascii="Times New Roman" w:hAnsi="Times New Roman" w:eastAsia="方正仿宋_GBK" w:cs="Times New Roman"/>
          <w:color w:val="auto"/>
          <w:sz w:val="32"/>
          <w:szCs w:val="32"/>
        </w:rPr>
        <w:t>5749</w:t>
      </w:r>
      <w:r>
        <w:rPr>
          <w:rFonts w:hint="eastAsia" w:ascii="方正仿宋_GBK" w:hAnsi="方正仿宋_GBK" w:eastAsia="方正仿宋_GBK" w:cs="方正仿宋_GBK"/>
          <w:color w:val="auto"/>
          <w:sz w:val="32"/>
          <w:szCs w:val="32"/>
        </w:rPr>
        <w:t>个，占</w:t>
      </w:r>
      <w:r>
        <w:rPr>
          <w:rFonts w:hint="default" w:ascii="Times New Roman" w:hAnsi="Times New Roman" w:eastAsia="方正仿宋_GBK" w:cs="Times New Roman"/>
          <w:color w:val="auto"/>
          <w:sz w:val="32"/>
          <w:szCs w:val="32"/>
        </w:rPr>
        <w:t>22.3%</w:t>
      </w:r>
      <w:r>
        <w:rPr>
          <w:rFonts w:hint="eastAsia" w:ascii="方正仿宋_GBK" w:hAnsi="方正仿宋_GBK" w:eastAsia="方正仿宋_GBK" w:cs="方正仿宋_GBK"/>
          <w:color w:val="auto"/>
          <w:sz w:val="32"/>
          <w:szCs w:val="32"/>
        </w:rPr>
        <w:t>；长生桥镇</w:t>
      </w:r>
      <w:r>
        <w:rPr>
          <w:rFonts w:hint="default" w:ascii="Times New Roman" w:hAnsi="Times New Roman" w:eastAsia="方正仿宋_GBK" w:cs="Times New Roman"/>
          <w:color w:val="auto"/>
          <w:sz w:val="32"/>
          <w:szCs w:val="32"/>
        </w:rPr>
        <w:t>3227</w:t>
      </w:r>
      <w:r>
        <w:rPr>
          <w:rFonts w:hint="eastAsia" w:ascii="方正仿宋_GBK" w:hAnsi="方正仿宋_GBK" w:eastAsia="方正仿宋_GBK" w:cs="方正仿宋_GBK"/>
          <w:color w:val="auto"/>
          <w:sz w:val="32"/>
          <w:szCs w:val="32"/>
        </w:rPr>
        <w:t>个，占</w:t>
      </w:r>
      <w:r>
        <w:rPr>
          <w:rFonts w:hint="default" w:ascii="Times New Roman" w:hAnsi="Times New Roman" w:eastAsia="方正仿宋_GBK" w:cs="Times New Roman"/>
          <w:color w:val="auto"/>
          <w:sz w:val="32"/>
          <w:szCs w:val="32"/>
        </w:rPr>
        <w:t>12.5%</w:t>
      </w:r>
      <w:r>
        <w:rPr>
          <w:rFonts w:hint="eastAsia" w:ascii="方正仿宋_GBK" w:hAnsi="方正仿宋_GBK" w:eastAsia="方正仿宋_GBK" w:cs="方正仿宋_GBK"/>
          <w:color w:val="auto"/>
          <w:sz w:val="32"/>
          <w:szCs w:val="32"/>
        </w:rPr>
        <w:t>；铜元局街道</w:t>
      </w:r>
      <w:r>
        <w:rPr>
          <w:rFonts w:hint="default" w:ascii="Times New Roman" w:hAnsi="Times New Roman" w:eastAsia="方正仿宋_GBK" w:cs="Times New Roman"/>
          <w:color w:val="auto"/>
          <w:sz w:val="32"/>
          <w:szCs w:val="32"/>
        </w:rPr>
        <w:t>3087</w:t>
      </w:r>
      <w:r>
        <w:rPr>
          <w:rFonts w:hint="eastAsia" w:ascii="方正仿宋_GBK" w:hAnsi="方正仿宋_GBK" w:eastAsia="方正仿宋_GBK" w:cs="方正仿宋_GBK"/>
          <w:color w:val="auto"/>
          <w:sz w:val="32"/>
          <w:szCs w:val="32"/>
        </w:rPr>
        <w:t>个，占</w:t>
      </w:r>
      <w:r>
        <w:rPr>
          <w:rFonts w:hint="default" w:ascii="Times New Roman" w:hAnsi="Times New Roman" w:eastAsia="方正仿宋_GBK" w:cs="Times New Roman"/>
          <w:color w:val="auto"/>
          <w:sz w:val="32"/>
          <w:szCs w:val="32"/>
        </w:rPr>
        <w:t>12.0%</w:t>
      </w:r>
      <w:r>
        <w:rPr>
          <w:rFonts w:hint="eastAsia" w:ascii="方正仿宋_GBK" w:hAnsi="方正仿宋_GBK" w:eastAsia="方正仿宋_GBK" w:cs="方正仿宋_GBK"/>
          <w:color w:val="auto"/>
          <w:sz w:val="32"/>
          <w:szCs w:val="32"/>
        </w:rPr>
        <w:t>。按镇（街）分组的单位情况详见表</w:t>
      </w:r>
      <w:r>
        <w:rPr>
          <w:rFonts w:hint="default" w:ascii="Times New Roman" w:hAnsi="Times New Roman" w:eastAsia="方正仿宋_GBK" w:cs="Times New Roman"/>
          <w:color w:val="auto"/>
          <w:sz w:val="32"/>
          <w:szCs w:val="32"/>
        </w:rPr>
        <w:t>7-1</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spacing w:line="600" w:lineRule="exact"/>
        <w:ind w:firstLine="1400" w:firstLineChars="500"/>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kern w:val="0"/>
          <w:sz w:val="28"/>
          <w:szCs w:val="28"/>
        </w:rPr>
        <w:t>表7-1　按地区分组的法人单位和产业活动单位</w:t>
      </w:r>
    </w:p>
    <w:tbl>
      <w:tblPr>
        <w:tblStyle w:val="4"/>
        <w:tblW w:w="4549" w:type="pct"/>
        <w:tblInd w:w="380" w:type="dxa"/>
        <w:tblLayout w:type="autofit"/>
        <w:tblCellMar>
          <w:top w:w="0" w:type="dxa"/>
          <w:left w:w="108" w:type="dxa"/>
          <w:bottom w:w="0" w:type="dxa"/>
          <w:right w:w="108" w:type="dxa"/>
        </w:tblCellMar>
      </w:tblPr>
      <w:tblGrid>
        <w:gridCol w:w="2325"/>
        <w:gridCol w:w="1651"/>
        <w:gridCol w:w="1420"/>
        <w:gridCol w:w="1540"/>
        <w:gridCol w:w="1307"/>
      </w:tblGrid>
      <w:tr>
        <w:tblPrEx>
          <w:tblCellMar>
            <w:top w:w="0" w:type="dxa"/>
            <w:left w:w="108" w:type="dxa"/>
            <w:bottom w:w="0" w:type="dxa"/>
            <w:right w:w="108" w:type="dxa"/>
          </w:tblCellMar>
        </w:tblPrEx>
        <w:trPr>
          <w:trHeight w:val="402" w:hRule="atLeast"/>
        </w:trPr>
        <w:tc>
          <w:tcPr>
            <w:tcW w:w="1410" w:type="pct"/>
            <w:vMerge w:val="restart"/>
            <w:tcBorders>
              <w:top w:val="single" w:color="auto" w:sz="12"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镇（街）</w:t>
            </w:r>
          </w:p>
        </w:tc>
        <w:tc>
          <w:tcPr>
            <w:tcW w:w="1862" w:type="pct"/>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法人单位</w:t>
            </w:r>
          </w:p>
        </w:tc>
        <w:tc>
          <w:tcPr>
            <w:tcW w:w="1726" w:type="pct"/>
            <w:gridSpan w:val="2"/>
            <w:tcBorders>
              <w:top w:val="single" w:color="auto" w:sz="12" w:space="0"/>
              <w:left w:val="single" w:color="auto" w:sz="4" w:space="0"/>
              <w:bottom w:val="single" w:color="auto" w:sz="4" w:space="0"/>
              <w:right w:val="nil"/>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产业活动单位</w:t>
            </w:r>
          </w:p>
        </w:tc>
      </w:tr>
      <w:tr>
        <w:tblPrEx>
          <w:tblCellMar>
            <w:top w:w="0" w:type="dxa"/>
            <w:left w:w="108" w:type="dxa"/>
            <w:bottom w:w="0" w:type="dxa"/>
            <w:right w:w="108" w:type="dxa"/>
          </w:tblCellMar>
        </w:tblPrEx>
        <w:trPr>
          <w:trHeight w:val="430" w:hRule="atLeast"/>
        </w:trPr>
        <w:tc>
          <w:tcPr>
            <w:tcW w:w="1410"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color w:val="auto"/>
                <w:kern w:val="0"/>
                <w:sz w:val="21"/>
                <w:szCs w:val="21"/>
              </w:rPr>
            </w:pP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数量(个)</w:t>
            </w:r>
          </w:p>
        </w:tc>
        <w:tc>
          <w:tcPr>
            <w:tcW w:w="8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比重(%)</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数量(个)</w:t>
            </w:r>
          </w:p>
        </w:tc>
        <w:tc>
          <w:tcPr>
            <w:tcW w:w="792"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比重(%)</w:t>
            </w:r>
          </w:p>
        </w:tc>
      </w:tr>
      <w:tr>
        <w:tblPrEx>
          <w:tblCellMar>
            <w:top w:w="0" w:type="dxa"/>
            <w:left w:w="108" w:type="dxa"/>
            <w:bottom w:w="0" w:type="dxa"/>
            <w:right w:w="108" w:type="dxa"/>
          </w:tblCellMar>
        </w:tblPrEx>
        <w:trPr>
          <w:trHeight w:val="270" w:hRule="atLeast"/>
        </w:trPr>
        <w:tc>
          <w:tcPr>
            <w:tcW w:w="1410" w:type="pct"/>
            <w:tcBorders>
              <w:top w:val="single" w:color="auto" w:sz="4" w:space="0"/>
              <w:right w:val="single" w:color="auto" w:sz="4" w:space="0"/>
            </w:tcBorders>
            <w:shd w:val="clear" w:color="auto" w:fill="auto"/>
            <w:noWrap/>
            <w:vAlign w:val="center"/>
          </w:tcPr>
          <w:p>
            <w:pPr>
              <w:widowControl/>
              <w:jc w:val="center"/>
              <w:rPr>
                <w:rFonts w:cs="宋体" w:asciiTheme="minorEastAsia" w:hAnsiTheme="minorEastAsia"/>
                <w:b/>
                <w:color w:val="auto"/>
                <w:kern w:val="0"/>
                <w:sz w:val="21"/>
                <w:szCs w:val="21"/>
              </w:rPr>
            </w:pPr>
            <w:r>
              <w:rPr>
                <w:rFonts w:hint="eastAsia" w:cs="宋体" w:asciiTheme="minorEastAsia" w:hAnsiTheme="minorEastAsia"/>
                <w:b/>
                <w:color w:val="auto"/>
                <w:kern w:val="0"/>
                <w:sz w:val="21"/>
                <w:szCs w:val="21"/>
              </w:rPr>
              <w:t>合  计</w:t>
            </w:r>
          </w:p>
        </w:tc>
        <w:tc>
          <w:tcPr>
            <w:tcW w:w="1001"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25747</w:t>
            </w:r>
          </w:p>
        </w:tc>
        <w:tc>
          <w:tcPr>
            <w:tcW w:w="861"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100</w:t>
            </w:r>
          </w:p>
        </w:tc>
        <w:tc>
          <w:tcPr>
            <w:tcW w:w="934"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29595</w:t>
            </w:r>
          </w:p>
        </w:tc>
        <w:tc>
          <w:tcPr>
            <w:tcW w:w="792" w:type="pct"/>
            <w:tcBorders>
              <w:top w:val="single" w:color="auto" w:sz="4" w:space="0"/>
              <w:left w:val="single" w:color="auto" w:sz="4" w:space="0"/>
            </w:tcBorders>
            <w:shd w:val="clear" w:color="auto" w:fill="auto"/>
            <w:noWrap/>
            <w:vAlign w:val="center"/>
          </w:tcPr>
          <w:p>
            <w:pPr>
              <w:widowControl/>
              <w:ind w:right="1"/>
              <w:jc w:val="right"/>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100</w:t>
            </w:r>
          </w:p>
        </w:tc>
      </w:tr>
      <w:tr>
        <w:tblPrEx>
          <w:tblCellMar>
            <w:top w:w="0" w:type="dxa"/>
            <w:left w:w="108" w:type="dxa"/>
            <w:bottom w:w="0" w:type="dxa"/>
            <w:right w:w="108" w:type="dxa"/>
          </w:tblCellMar>
        </w:tblPrEx>
        <w:trPr>
          <w:trHeight w:val="298"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铜元局街道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3087</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12.0</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3453</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13.4</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花园路街道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3044</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11.8</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3447</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13.4</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南坪街道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5749</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22.3</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6877</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26.7</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海棠溪街道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2579</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10.0</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2892</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11.2</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龙门浩街道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380</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1.5</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441</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1.7</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弹子石街道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767</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987</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3.8</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南山街道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870</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3.4</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947</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3.7</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天文街道</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772</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979</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3.8</w:t>
            </w:r>
          </w:p>
        </w:tc>
      </w:tr>
      <w:tr>
        <w:tblPrEx>
          <w:tblCellMar>
            <w:top w:w="0" w:type="dxa"/>
            <w:left w:w="108" w:type="dxa"/>
            <w:bottom w:w="0" w:type="dxa"/>
            <w:right w:w="108" w:type="dxa"/>
          </w:tblCellMar>
        </w:tblPrEx>
        <w:trPr>
          <w:trHeight w:val="270" w:hRule="atLeast"/>
        </w:trPr>
        <w:tc>
          <w:tcPr>
            <w:tcW w:w="1410" w:type="pct"/>
            <w:tcBorders>
              <w:top w:val="nil"/>
              <w:bottom w:val="single" w:color="auto" w:sz="12" w:space="0"/>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南坪镇</w:t>
            </w:r>
          </w:p>
        </w:tc>
        <w:tc>
          <w:tcPr>
            <w:tcW w:w="1001"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2818</w:t>
            </w:r>
          </w:p>
        </w:tc>
        <w:tc>
          <w:tcPr>
            <w:tcW w:w="861"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10.9</w:t>
            </w:r>
          </w:p>
        </w:tc>
        <w:tc>
          <w:tcPr>
            <w:tcW w:w="934"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3157</w:t>
            </w:r>
          </w:p>
        </w:tc>
        <w:tc>
          <w:tcPr>
            <w:tcW w:w="792" w:type="pct"/>
            <w:tcBorders>
              <w:top w:val="nil"/>
              <w:left w:val="single" w:color="auto" w:sz="4" w:space="0"/>
              <w:bottom w:val="single" w:color="auto" w:sz="12"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12.3</w:t>
            </w:r>
          </w:p>
        </w:tc>
      </w:tr>
      <w:tr>
        <w:tblPrEx>
          <w:tblCellMar>
            <w:top w:w="0" w:type="dxa"/>
            <w:left w:w="108" w:type="dxa"/>
            <w:bottom w:w="0" w:type="dxa"/>
            <w:right w:w="108" w:type="dxa"/>
          </w:tblCellMar>
        </w:tblPrEx>
        <w:trPr>
          <w:trHeight w:val="383" w:hRule="atLeast"/>
        </w:trPr>
        <w:tc>
          <w:tcPr>
            <w:tcW w:w="1410" w:type="pct"/>
            <w:vMerge w:val="restart"/>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color w:val="auto"/>
                <w:kern w:val="0"/>
                <w:sz w:val="21"/>
                <w:szCs w:val="21"/>
              </w:rPr>
            </w:pPr>
            <w:r>
              <w:rPr>
                <w:rFonts w:hint="eastAsia" w:ascii="黑体" w:hAnsi="黑体" w:eastAsia="黑体" w:cs="黑体"/>
                <w:b w:val="0"/>
                <w:bCs/>
                <w:color w:val="auto"/>
                <w:kern w:val="0"/>
                <w:sz w:val="21"/>
                <w:szCs w:val="21"/>
              </w:rPr>
              <w:t>镇（街）</w:t>
            </w:r>
          </w:p>
        </w:tc>
        <w:tc>
          <w:tcPr>
            <w:tcW w:w="1862"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法人单位</w:t>
            </w:r>
          </w:p>
        </w:tc>
        <w:tc>
          <w:tcPr>
            <w:tcW w:w="1726" w:type="pct"/>
            <w:gridSpan w:val="2"/>
            <w:tcBorders>
              <w:top w:val="single" w:color="auto" w:sz="12" w:space="0"/>
              <w:left w:val="single" w:color="auto" w:sz="4" w:space="0"/>
              <w:bottom w:val="single" w:color="auto" w:sz="4" w:space="0"/>
              <w:right w:val="nil"/>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产业活动单位</w:t>
            </w:r>
          </w:p>
        </w:tc>
      </w:tr>
      <w:tr>
        <w:tblPrEx>
          <w:tblCellMar>
            <w:top w:w="0" w:type="dxa"/>
            <w:left w:w="108" w:type="dxa"/>
            <w:bottom w:w="0" w:type="dxa"/>
            <w:right w:w="108" w:type="dxa"/>
          </w:tblCellMar>
        </w:tblPrEx>
        <w:trPr>
          <w:trHeight w:val="397" w:hRule="atLeast"/>
        </w:trPr>
        <w:tc>
          <w:tcPr>
            <w:tcW w:w="1410" w:type="pct"/>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cs="宋体" w:asciiTheme="minorEastAsia" w:hAnsiTheme="minorEastAsia"/>
                <w:color w:val="auto"/>
                <w:kern w:val="0"/>
                <w:sz w:val="21"/>
                <w:szCs w:val="21"/>
              </w:rPr>
            </w:pPr>
          </w:p>
        </w:tc>
        <w:tc>
          <w:tcPr>
            <w:tcW w:w="10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数量(个)</w:t>
            </w:r>
          </w:p>
        </w:tc>
        <w:tc>
          <w:tcPr>
            <w:tcW w:w="8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比重(%)</w:t>
            </w:r>
          </w:p>
        </w:tc>
        <w:tc>
          <w:tcPr>
            <w:tcW w:w="9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数量(个)</w:t>
            </w:r>
          </w:p>
        </w:tc>
        <w:tc>
          <w:tcPr>
            <w:tcW w:w="79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default" w:ascii="黑体" w:hAnsi="黑体" w:eastAsia="黑体" w:cs="黑体"/>
                <w:b w:val="0"/>
                <w:bCs/>
                <w:color w:val="auto"/>
                <w:kern w:val="0"/>
                <w:sz w:val="21"/>
                <w:szCs w:val="21"/>
                <w:lang w:val="en-US" w:eastAsia="zh-CN" w:bidi="ar-SA"/>
              </w:rPr>
            </w:pPr>
            <w:r>
              <w:rPr>
                <w:rFonts w:hint="eastAsia" w:ascii="黑体" w:hAnsi="黑体" w:eastAsia="黑体" w:cs="黑体"/>
                <w:b w:val="0"/>
                <w:bCs/>
                <w:color w:val="auto"/>
                <w:kern w:val="0"/>
                <w:sz w:val="21"/>
                <w:szCs w:val="21"/>
              </w:rPr>
              <w:t>比重(%)</w:t>
            </w:r>
          </w:p>
        </w:tc>
      </w:tr>
      <w:tr>
        <w:tblPrEx>
          <w:tblCellMar>
            <w:top w:w="0" w:type="dxa"/>
            <w:left w:w="108" w:type="dxa"/>
            <w:bottom w:w="0" w:type="dxa"/>
            <w:right w:w="108" w:type="dxa"/>
          </w:tblCellMar>
        </w:tblPrEx>
        <w:trPr>
          <w:trHeight w:val="270" w:hRule="atLeast"/>
        </w:trPr>
        <w:tc>
          <w:tcPr>
            <w:tcW w:w="1410" w:type="pct"/>
            <w:tcBorders>
              <w:top w:val="single" w:color="auto" w:sz="4" w:space="0"/>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涂山镇</w:t>
            </w:r>
          </w:p>
        </w:tc>
        <w:tc>
          <w:tcPr>
            <w:tcW w:w="1001"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1564</w:t>
            </w:r>
          </w:p>
        </w:tc>
        <w:tc>
          <w:tcPr>
            <w:tcW w:w="861"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6.1</w:t>
            </w:r>
          </w:p>
        </w:tc>
        <w:tc>
          <w:tcPr>
            <w:tcW w:w="934" w:type="pct"/>
            <w:tcBorders>
              <w:top w:val="single" w:color="auto" w:sz="4" w:space="0"/>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1924</w:t>
            </w:r>
          </w:p>
        </w:tc>
        <w:tc>
          <w:tcPr>
            <w:tcW w:w="792" w:type="pct"/>
            <w:tcBorders>
              <w:top w:val="single" w:color="auto" w:sz="4" w:space="0"/>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7.5</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鸡冠石镇</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313</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1.2</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336</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1.3</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峡口镇</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196</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0.8</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212</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0.8</w:t>
            </w:r>
          </w:p>
        </w:tc>
      </w:tr>
      <w:tr>
        <w:tblPrEx>
          <w:tblCellMar>
            <w:top w:w="0" w:type="dxa"/>
            <w:left w:w="108" w:type="dxa"/>
            <w:bottom w:w="0" w:type="dxa"/>
            <w:right w:w="108" w:type="dxa"/>
          </w:tblCellMar>
        </w:tblPrEx>
        <w:trPr>
          <w:trHeight w:val="270" w:hRule="atLeast"/>
        </w:trPr>
        <w:tc>
          <w:tcPr>
            <w:tcW w:w="1410" w:type="pct"/>
            <w:tcBorders>
              <w:top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长生桥镇</w:t>
            </w:r>
          </w:p>
        </w:tc>
        <w:tc>
          <w:tcPr>
            <w:tcW w:w="100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3227</w:t>
            </w:r>
          </w:p>
        </w:tc>
        <w:tc>
          <w:tcPr>
            <w:tcW w:w="861"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12.5</w:t>
            </w:r>
          </w:p>
        </w:tc>
        <w:tc>
          <w:tcPr>
            <w:tcW w:w="934" w:type="pct"/>
            <w:tcBorders>
              <w:top w:val="nil"/>
              <w:left w:val="single" w:color="auto" w:sz="4"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3537</w:t>
            </w:r>
          </w:p>
        </w:tc>
        <w:tc>
          <w:tcPr>
            <w:tcW w:w="792" w:type="pct"/>
            <w:tcBorders>
              <w:top w:val="nil"/>
              <w:lef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13.7</w:t>
            </w:r>
          </w:p>
        </w:tc>
      </w:tr>
      <w:tr>
        <w:tblPrEx>
          <w:tblCellMar>
            <w:top w:w="0" w:type="dxa"/>
            <w:left w:w="108" w:type="dxa"/>
            <w:bottom w:w="0" w:type="dxa"/>
            <w:right w:w="108" w:type="dxa"/>
          </w:tblCellMar>
        </w:tblPrEx>
        <w:trPr>
          <w:trHeight w:val="270" w:hRule="atLeast"/>
        </w:trPr>
        <w:tc>
          <w:tcPr>
            <w:tcW w:w="1410" w:type="pct"/>
            <w:tcBorders>
              <w:top w:val="nil"/>
              <w:bottom w:val="nil"/>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迎龙镇</w:t>
            </w:r>
          </w:p>
        </w:tc>
        <w:tc>
          <w:tcPr>
            <w:tcW w:w="1001" w:type="pct"/>
            <w:tcBorders>
              <w:top w:val="nil"/>
              <w:left w:val="single" w:color="auto" w:sz="4" w:space="0"/>
              <w:bottom w:val="nil"/>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179</w:t>
            </w:r>
          </w:p>
        </w:tc>
        <w:tc>
          <w:tcPr>
            <w:tcW w:w="861" w:type="pct"/>
            <w:tcBorders>
              <w:top w:val="nil"/>
              <w:left w:val="single" w:color="auto" w:sz="4" w:space="0"/>
              <w:bottom w:val="nil"/>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0.7</w:t>
            </w:r>
          </w:p>
        </w:tc>
        <w:tc>
          <w:tcPr>
            <w:tcW w:w="934" w:type="pct"/>
            <w:tcBorders>
              <w:top w:val="nil"/>
              <w:left w:val="single" w:color="auto" w:sz="4" w:space="0"/>
              <w:bottom w:val="nil"/>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193</w:t>
            </w:r>
          </w:p>
        </w:tc>
        <w:tc>
          <w:tcPr>
            <w:tcW w:w="792" w:type="pct"/>
            <w:tcBorders>
              <w:top w:val="nil"/>
              <w:left w:val="single" w:color="auto" w:sz="4" w:space="0"/>
              <w:bottom w:val="nil"/>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0.7</w:t>
            </w:r>
          </w:p>
        </w:tc>
      </w:tr>
      <w:tr>
        <w:tblPrEx>
          <w:tblCellMar>
            <w:top w:w="0" w:type="dxa"/>
            <w:left w:w="108" w:type="dxa"/>
            <w:bottom w:w="0" w:type="dxa"/>
            <w:right w:w="108" w:type="dxa"/>
          </w:tblCellMar>
        </w:tblPrEx>
        <w:trPr>
          <w:trHeight w:val="270" w:hRule="atLeast"/>
        </w:trPr>
        <w:tc>
          <w:tcPr>
            <w:tcW w:w="1410" w:type="pct"/>
            <w:tcBorders>
              <w:top w:val="nil"/>
              <w:left w:val="nil"/>
              <w:bottom w:val="single" w:color="auto" w:sz="12" w:space="0"/>
              <w:right w:val="single" w:color="auto" w:sz="4" w:space="0"/>
            </w:tcBorders>
            <w:shd w:val="clear" w:color="auto" w:fill="auto"/>
            <w:noWrap/>
            <w:vAlign w:val="center"/>
          </w:tcPr>
          <w:p>
            <w:pPr>
              <w:widowControl/>
              <w:jc w:val="left"/>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广阳镇</w:t>
            </w:r>
          </w:p>
        </w:tc>
        <w:tc>
          <w:tcPr>
            <w:tcW w:w="1001"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202</w:t>
            </w:r>
          </w:p>
        </w:tc>
        <w:tc>
          <w:tcPr>
            <w:tcW w:w="861"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0.8</w:t>
            </w:r>
          </w:p>
        </w:tc>
        <w:tc>
          <w:tcPr>
            <w:tcW w:w="934" w:type="pct"/>
            <w:tcBorders>
              <w:top w:val="nil"/>
              <w:left w:val="single" w:color="auto" w:sz="4" w:space="0"/>
              <w:bottom w:val="single" w:color="auto" w:sz="12" w:space="0"/>
              <w:right w:val="single" w:color="auto" w:sz="4" w:space="0"/>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213</w:t>
            </w:r>
          </w:p>
        </w:tc>
        <w:tc>
          <w:tcPr>
            <w:tcW w:w="792" w:type="pct"/>
            <w:tcBorders>
              <w:top w:val="nil"/>
              <w:left w:val="single" w:color="auto" w:sz="4" w:space="0"/>
              <w:bottom w:val="single" w:color="auto" w:sz="12" w:space="0"/>
              <w:right w:val="nil"/>
            </w:tcBorders>
            <w:shd w:val="clear" w:color="auto" w:fill="auto"/>
            <w:noWrap/>
            <w:vAlign w:val="center"/>
          </w:tcPr>
          <w:p>
            <w:pPr>
              <w:widowControl/>
              <w:ind w:right="1"/>
              <w:jc w:val="righ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0.8</w:t>
            </w:r>
          </w:p>
        </w:tc>
      </w:tr>
    </w:tbl>
    <w:p>
      <w:pPr>
        <w:rPr>
          <w:rFonts w:asciiTheme="minorEastAsia" w:hAnsiTheme="minorEastAsia"/>
          <w:color w:val="auto"/>
          <w:szCs w:val="21"/>
        </w:rP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方正黑体_GBK" w:eastAsia="方正黑体_GBK"/>
          <w:color w:val="auto"/>
          <w:sz w:val="32"/>
          <w:szCs w:val="32"/>
        </w:rPr>
      </w:pPr>
      <w:r>
        <w:rPr>
          <w:rFonts w:hint="eastAsia" w:ascii="方正黑体_GBK" w:eastAsia="方正黑体_GBK"/>
          <w:color w:val="auto"/>
          <w:sz w:val="32"/>
          <w:szCs w:val="32"/>
        </w:rPr>
        <w:t>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default" w:ascii="Times New Roman" w:hAnsi="Times New Roman" w:eastAsia="方正仿宋_GBK" w:cs="Times New Roman"/>
          <w:color w:val="auto"/>
          <w:sz w:val="32"/>
          <w:szCs w:val="32"/>
        </w:rPr>
        <w:t>2018</w:t>
      </w:r>
      <w:r>
        <w:rPr>
          <w:rFonts w:hint="eastAsia" w:ascii="方正仿宋_GBK" w:hAnsi="方正仿宋_GBK" w:eastAsia="方正仿宋_GBK" w:cs="方正仿宋_GBK"/>
          <w:color w:val="auto"/>
          <w:sz w:val="32"/>
          <w:szCs w:val="32"/>
        </w:rPr>
        <w:t>年末，在法人单位从业人员中，位居前三位的镇（街）是：长生桥镇</w:t>
      </w:r>
      <w:r>
        <w:rPr>
          <w:rFonts w:hint="default" w:ascii="Times New Roman" w:hAnsi="Times New Roman" w:eastAsia="方正仿宋_GBK" w:cs="Times New Roman"/>
          <w:color w:val="auto"/>
          <w:sz w:val="32"/>
          <w:szCs w:val="32"/>
        </w:rPr>
        <w:t>91938</w:t>
      </w:r>
      <w:r>
        <w:rPr>
          <w:rFonts w:hint="eastAsia" w:ascii="方正仿宋_GBK" w:hAnsi="方正仿宋_GBK" w:eastAsia="方正仿宋_GBK" w:cs="方正仿宋_GBK"/>
          <w:color w:val="auto"/>
          <w:sz w:val="32"/>
          <w:szCs w:val="32"/>
        </w:rPr>
        <w:t>人，占</w:t>
      </w:r>
      <w:r>
        <w:rPr>
          <w:rFonts w:hint="default" w:ascii="Times New Roman" w:hAnsi="Times New Roman" w:eastAsia="方正仿宋_GBK" w:cs="Times New Roman"/>
          <w:color w:val="auto"/>
          <w:sz w:val="32"/>
          <w:szCs w:val="32"/>
        </w:rPr>
        <w:t>24.3%</w:t>
      </w:r>
      <w:r>
        <w:rPr>
          <w:rFonts w:hint="eastAsia" w:ascii="方正仿宋_GBK" w:hAnsi="方正仿宋_GBK" w:eastAsia="方正仿宋_GBK" w:cs="方正仿宋_GBK"/>
          <w:color w:val="auto"/>
          <w:sz w:val="32"/>
          <w:szCs w:val="32"/>
        </w:rPr>
        <w:t>；南坪街道</w:t>
      </w:r>
      <w:r>
        <w:rPr>
          <w:rFonts w:hint="default" w:ascii="Times New Roman" w:hAnsi="Times New Roman" w:eastAsia="方正仿宋_GBK" w:cs="Times New Roman"/>
          <w:color w:val="auto"/>
          <w:sz w:val="32"/>
          <w:szCs w:val="32"/>
        </w:rPr>
        <w:t>73529</w:t>
      </w:r>
      <w:r>
        <w:rPr>
          <w:rFonts w:hint="eastAsia" w:ascii="方正仿宋_GBK" w:hAnsi="方正仿宋_GBK" w:eastAsia="方正仿宋_GBK" w:cs="方正仿宋_GBK"/>
          <w:color w:val="auto"/>
          <w:sz w:val="32"/>
          <w:szCs w:val="32"/>
        </w:rPr>
        <w:t>人，占</w:t>
      </w:r>
      <w:r>
        <w:rPr>
          <w:rFonts w:hint="default" w:ascii="Times New Roman" w:hAnsi="Times New Roman" w:eastAsia="方正仿宋_GBK" w:cs="Times New Roman"/>
          <w:color w:val="auto"/>
          <w:sz w:val="32"/>
          <w:szCs w:val="32"/>
        </w:rPr>
        <w:t>19.4%</w:t>
      </w:r>
      <w:r>
        <w:rPr>
          <w:rFonts w:hint="eastAsia" w:ascii="方正仿宋_GBK" w:hAnsi="方正仿宋_GBK" w:eastAsia="方正仿宋_GBK" w:cs="方正仿宋_GBK"/>
          <w:color w:val="auto"/>
          <w:sz w:val="32"/>
          <w:szCs w:val="32"/>
        </w:rPr>
        <w:t>；花园路街镇</w:t>
      </w:r>
      <w:r>
        <w:rPr>
          <w:rFonts w:hint="default" w:ascii="Times New Roman" w:hAnsi="Times New Roman" w:eastAsia="方正仿宋_GBK" w:cs="Times New Roman"/>
          <w:color w:val="auto"/>
          <w:sz w:val="32"/>
          <w:szCs w:val="32"/>
        </w:rPr>
        <w:t>45505</w:t>
      </w:r>
      <w:r>
        <w:rPr>
          <w:rFonts w:hint="eastAsia" w:ascii="方正仿宋_GBK" w:hAnsi="方正仿宋_GBK" w:eastAsia="方正仿宋_GBK" w:cs="方正仿宋_GBK"/>
          <w:color w:val="auto"/>
          <w:sz w:val="32"/>
          <w:szCs w:val="32"/>
        </w:rPr>
        <w:t>人，占</w:t>
      </w:r>
      <w:r>
        <w:rPr>
          <w:rFonts w:hint="default" w:ascii="Times New Roman" w:hAnsi="Times New Roman" w:eastAsia="方正仿宋_GBK" w:cs="Times New Roman"/>
          <w:color w:val="auto"/>
          <w:sz w:val="32"/>
          <w:szCs w:val="32"/>
        </w:rPr>
        <w:t>12.0%</w:t>
      </w:r>
      <w:r>
        <w:rPr>
          <w:rFonts w:hint="eastAsia" w:ascii="方正仿宋_GBK" w:hAnsi="方正仿宋_GBK" w:eastAsia="方正仿宋_GBK" w:cs="方正仿宋_GBK"/>
          <w:color w:val="auto"/>
          <w:sz w:val="32"/>
          <w:szCs w:val="32"/>
        </w:rPr>
        <w:t>。按地区分组的法人单位从业人员情况详见表</w:t>
      </w:r>
      <w:r>
        <w:rPr>
          <w:rFonts w:hint="default" w:ascii="Times New Roman" w:hAnsi="Times New Roman" w:eastAsia="方正仿宋_GBK" w:cs="Times New Roman"/>
          <w:color w:val="auto"/>
          <w:sz w:val="32"/>
          <w:szCs w:val="32"/>
        </w:rPr>
        <w:t>7-2</w:t>
      </w:r>
      <w:r>
        <w:rPr>
          <w:rFonts w:hint="eastAsia" w:ascii="方正仿宋_GBK" w:hAnsi="方正仿宋_GBK" w:eastAsia="方正仿宋_GBK" w:cs="方正仿宋_GBK"/>
          <w:color w:val="auto"/>
          <w:sz w:val="32"/>
          <w:szCs w:val="32"/>
        </w:rPr>
        <w:t>。</w:t>
      </w:r>
      <w:r>
        <w:rPr>
          <w:rFonts w:hint="eastAsia" w:ascii="仿宋" w:hAnsi="仿宋"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80" w:firstLineChars="600"/>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kern w:val="0"/>
          <w:sz w:val="28"/>
          <w:szCs w:val="28"/>
        </w:rPr>
        <w:t>表7-2　按地区分组的法人单位从业人员</w:t>
      </w:r>
    </w:p>
    <w:tbl>
      <w:tblPr>
        <w:tblStyle w:val="4"/>
        <w:tblW w:w="4523" w:type="pct"/>
        <w:tblInd w:w="433"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9"/>
        <w:gridCol w:w="2561"/>
        <w:gridCol w:w="250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29" w:hRule="atLeast"/>
        </w:trPr>
        <w:tc>
          <w:tcPr>
            <w:tcW w:w="1908" w:type="pct"/>
            <w:vMerge w:val="restart"/>
            <w:tcBorders>
              <w:bottom w:val="single" w:color="auto" w:sz="4" w:space="0"/>
              <w:right w:val="single" w:color="auto" w:sz="4" w:space="0"/>
            </w:tcBorders>
            <w:shd w:val="clear" w:color="auto" w:fill="auto"/>
            <w:vAlign w:val="center"/>
          </w:tcPr>
          <w:p>
            <w:pPr>
              <w:widowControl/>
              <w:jc w:val="center"/>
              <w:rPr>
                <w:rFonts w:hint="eastAsia" w:ascii="黑体" w:hAnsi="黑体" w:eastAsia="黑体" w:cs="黑体"/>
                <w:b/>
                <w:color w:val="auto"/>
                <w:kern w:val="0"/>
                <w:sz w:val="21"/>
                <w:szCs w:val="21"/>
              </w:rPr>
            </w:pPr>
            <w:r>
              <w:rPr>
                <w:rFonts w:hint="eastAsia" w:ascii="黑体" w:hAnsi="黑体" w:eastAsia="黑体" w:cs="黑体"/>
                <w:b w:val="0"/>
                <w:bCs/>
                <w:color w:val="auto"/>
                <w:kern w:val="0"/>
                <w:sz w:val="21"/>
                <w:szCs w:val="21"/>
              </w:rPr>
              <w:t>镇（街）</w:t>
            </w:r>
          </w:p>
        </w:tc>
        <w:tc>
          <w:tcPr>
            <w:tcW w:w="1562" w:type="pct"/>
            <w:vMerge w:val="restart"/>
            <w:tcBorders>
              <w:left w:val="single" w:color="auto" w:sz="4" w:space="0"/>
              <w:bottom w:val="single" w:color="auto" w:sz="4" w:space="0"/>
              <w:right w:val="nil"/>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法人单位从业人员</w:t>
            </w:r>
          </w:p>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（人）</w:t>
            </w:r>
          </w:p>
        </w:tc>
        <w:tc>
          <w:tcPr>
            <w:tcW w:w="1528" w:type="pct"/>
            <w:tcBorders>
              <w:left w:val="nil"/>
              <w:bottom w:val="single" w:color="auto" w:sz="4" w:space="0"/>
            </w:tcBorders>
            <w:shd w:val="clear" w:color="auto" w:fill="auto"/>
            <w:vAlign w:val="center"/>
          </w:tcPr>
          <w:p>
            <w:pPr>
              <w:widowControl/>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rPr>
              <w:t>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908" w:type="pct"/>
            <w:vMerge w:val="continue"/>
            <w:tcBorders>
              <w:top w:val="single" w:color="auto" w:sz="4" w:space="0"/>
              <w:bottom w:val="single" w:color="auto" w:sz="4" w:space="0"/>
              <w:right w:val="single" w:color="auto" w:sz="4" w:space="0"/>
            </w:tcBorders>
            <w:vAlign w:val="center"/>
          </w:tcPr>
          <w:p>
            <w:pPr>
              <w:widowControl/>
              <w:jc w:val="left"/>
              <w:rPr>
                <w:rFonts w:hint="eastAsia" w:ascii="黑体" w:hAnsi="黑体" w:eastAsia="黑体" w:cs="黑体"/>
                <w:b/>
                <w:color w:val="auto"/>
                <w:kern w:val="0"/>
                <w:sz w:val="21"/>
                <w:szCs w:val="21"/>
              </w:rPr>
            </w:pPr>
          </w:p>
        </w:tc>
        <w:tc>
          <w:tcPr>
            <w:tcW w:w="15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color w:val="auto"/>
                <w:kern w:val="0"/>
                <w:sz w:val="21"/>
                <w:szCs w:val="21"/>
              </w:rPr>
            </w:pPr>
          </w:p>
        </w:tc>
        <w:tc>
          <w:tcPr>
            <w:tcW w:w="1528" w:type="pct"/>
            <w:tcBorders>
              <w:top w:val="single" w:color="auto" w:sz="4" w:space="0"/>
              <w:left w:val="single" w:color="auto" w:sz="4" w:space="0"/>
              <w:bottom w:val="single" w:color="auto" w:sz="4" w:space="0"/>
            </w:tcBorders>
            <w:shd w:val="clear" w:color="auto" w:fill="auto"/>
            <w:vAlign w:val="center"/>
          </w:tcPr>
          <w:p>
            <w:pPr>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其中:女性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single" w:color="auto" w:sz="4" w:space="0"/>
              <w:bottom w:val="nil"/>
              <w:right w:val="single" w:color="auto" w:sz="4" w:space="0"/>
            </w:tcBorders>
            <w:shd w:val="clear" w:color="auto" w:fill="auto"/>
            <w:vAlign w:val="center"/>
          </w:tcPr>
          <w:p>
            <w:pPr>
              <w:widowControl/>
              <w:jc w:val="center"/>
              <w:rPr>
                <w:rFonts w:cs="宋体" w:asciiTheme="minorEastAsia" w:hAnsiTheme="minorEastAsia"/>
                <w:b/>
                <w:color w:val="auto"/>
                <w:kern w:val="0"/>
                <w:sz w:val="21"/>
                <w:szCs w:val="21"/>
              </w:rPr>
            </w:pPr>
            <w:r>
              <w:rPr>
                <w:rFonts w:hint="eastAsia" w:cs="宋体" w:asciiTheme="minorEastAsia" w:hAnsiTheme="minorEastAsia"/>
                <w:b/>
                <w:color w:val="auto"/>
                <w:kern w:val="0"/>
                <w:sz w:val="21"/>
                <w:szCs w:val="21"/>
              </w:rPr>
              <w:t>合  计</w:t>
            </w:r>
          </w:p>
        </w:tc>
        <w:tc>
          <w:tcPr>
            <w:tcW w:w="1562" w:type="pct"/>
            <w:tcBorders>
              <w:top w:val="single" w:color="auto" w:sz="4" w:space="0"/>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378617</w:t>
            </w:r>
          </w:p>
        </w:tc>
        <w:tc>
          <w:tcPr>
            <w:tcW w:w="1528" w:type="pct"/>
            <w:tcBorders>
              <w:top w:val="single" w:color="auto" w:sz="4" w:space="0"/>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148991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铜元局街道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22086</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花园路街道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45505</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19938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南坪街道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73529</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30148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海棠溪街道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29837</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12917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龙门浩街道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3515</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1715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弹子石街道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13677</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南山街道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19310</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8895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天文街道</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12371</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5191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南坪镇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25255</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9178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涂山镇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23050</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6471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鸡冠石镇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4970</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1976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峡口镇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2800</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1143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长生桥镇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91938</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33700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bottom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迎龙镇</w:t>
            </w:r>
          </w:p>
        </w:tc>
        <w:tc>
          <w:tcPr>
            <w:tcW w:w="1562" w:type="pct"/>
            <w:tcBorders>
              <w:top w:val="nil"/>
              <w:left w:val="single" w:color="auto" w:sz="4" w:space="0"/>
              <w:bottom w:val="nil"/>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8199</w:t>
            </w:r>
          </w:p>
        </w:tc>
        <w:tc>
          <w:tcPr>
            <w:tcW w:w="1528" w:type="pct"/>
            <w:tcBorders>
              <w:top w:val="nil"/>
              <w:left w:val="single" w:color="auto" w:sz="4" w:space="0"/>
              <w:bottom w:val="nil"/>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8" w:type="pct"/>
            <w:tcBorders>
              <w:top w:val="nil"/>
              <w:right w:val="single" w:color="auto" w:sz="4" w:space="0"/>
            </w:tcBorders>
            <w:shd w:val="clear" w:color="auto" w:fill="auto"/>
            <w:vAlign w:val="center"/>
          </w:tcPr>
          <w:p>
            <w:pPr>
              <w:widowControl/>
              <w:rPr>
                <w:rFonts w:cs="宋体" w:asciiTheme="minorEastAsia" w:hAnsiTheme="minorEastAsia"/>
                <w:color w:val="auto"/>
                <w:kern w:val="0"/>
                <w:sz w:val="21"/>
                <w:szCs w:val="21"/>
              </w:rPr>
            </w:pPr>
            <w:r>
              <w:rPr>
                <w:rFonts w:hint="eastAsia" w:cs="宋体" w:asciiTheme="minorEastAsia" w:hAnsiTheme="minorEastAsia"/>
                <w:color w:val="auto"/>
                <w:kern w:val="0"/>
                <w:sz w:val="21"/>
                <w:szCs w:val="21"/>
              </w:rPr>
              <w:t xml:space="preserve">    广阳镇</w:t>
            </w:r>
          </w:p>
        </w:tc>
        <w:tc>
          <w:tcPr>
            <w:tcW w:w="1562" w:type="pct"/>
            <w:tcBorders>
              <w:top w:val="nil"/>
              <w:left w:val="single" w:color="auto" w:sz="4" w:space="0"/>
              <w:right w:val="single" w:color="auto" w:sz="4" w:space="0"/>
            </w:tcBorders>
            <w:shd w:val="clear" w:color="auto" w:fill="auto"/>
            <w:vAlign w:val="center"/>
          </w:tcPr>
          <w:p>
            <w:pPr>
              <w:widowControl/>
              <w:ind w:right="23" w:rightChars="11"/>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2575</w:t>
            </w:r>
          </w:p>
        </w:tc>
        <w:tc>
          <w:tcPr>
            <w:tcW w:w="1528" w:type="pct"/>
            <w:tcBorders>
              <w:top w:val="nil"/>
              <w:left w:val="single" w:color="auto" w:sz="4" w:space="0"/>
            </w:tcBorders>
            <w:shd w:val="clear" w:color="auto" w:fill="auto"/>
            <w:noWrap/>
            <w:vAlign w:val="center"/>
          </w:tcPr>
          <w:p>
            <w:pPr>
              <w:widowControl/>
              <w:ind w:right="42" w:rightChars="20"/>
              <w:jc w:val="righ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835</w:t>
            </w:r>
          </w:p>
        </w:tc>
      </w:tr>
    </w:tbl>
    <w:p>
      <w:pPr>
        <w:rPr>
          <w:color w:val="auto"/>
        </w:rPr>
      </w:pPr>
    </w:p>
    <w:sectPr>
      <w:pgSz w:w="11906" w:h="16838"/>
      <w:pgMar w:top="1587"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104140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420" w:leftChars="200" w:right="420" w:rightChars="200"/>
                            <w:jc w:val="center"/>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pt;height:144pt;width:144pt;mso-position-horizontal:outside;mso-position-horizontal-relative:margin;mso-wrap-style:none;z-index:251658240;mso-width-relative:page;mso-height-relative:page;" filled="f" stroked="f" coordsize="21600,21600" o:gfxdata="UEsDBAoAAAAAAIdO4kAAAAAAAAAAAAAAAAAEAAAAZHJzL1BLAwQUAAAACACHTuJALxN2WtQAAAAH&#10;AQAADwAAAGRycy9kb3ducmV2LnhtbE2PwU7DMBBE70j8g7VI3KjdNqqiEKcSFeGIRNMDRzdekkC8&#10;jmw3DX/PcoLjzKxm3pb7xY1ixhAHTxrWKwUCqfV2oE7DqakfchAxGbJm9IQavjHCvrq9KU1h/ZXe&#10;cD6mTnAJxcJo6FOaCilj26MzceUnJM4+fHAmsQydtMFcudyNcqPUTjozEC/0ZsJDj+3X8eI0HOqm&#10;CTPGML7jS739fH3K8HnR+v5urR5BJFzS3zH84jM6VMx09heyUYwa+JHE7i4Dwekmz9k4a9iqLANZ&#10;lfI/f/UD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8TdlrUAAAABw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ind w:left="420" w:leftChars="200" w:right="420" w:rightChars="200"/>
                      <w:jc w:val="center"/>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247" w:hRule="exact" w:wrap="around" w:vAnchor="text" w:hAnchor="margin" w:y="1" w:anchorLock="1"/>
      <w:ind w:left="420" w:leftChars="200" w:right="420" w:rightChars="200"/>
      <w:jc w:val="center"/>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22</w:t>
    </w:r>
    <w:r>
      <w:rPr>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61B0"/>
    <w:multiLevelType w:val="multilevel"/>
    <w:tmpl w:val="4C2B61B0"/>
    <w:lvl w:ilvl="0" w:tentative="0">
      <w:start w:val="2"/>
      <w:numFmt w:val="japaneseCounting"/>
      <w:lvlText w:val="%1、"/>
      <w:lvlJc w:val="left"/>
      <w:pPr>
        <w:ind w:left="1366" w:hanging="720"/>
      </w:pPr>
      <w:rPr>
        <w:rFonts w:hint="default"/>
      </w:rPr>
    </w:lvl>
    <w:lvl w:ilvl="1" w:tentative="0">
      <w:start w:val="1"/>
      <w:numFmt w:val="lowerLetter"/>
      <w:lvlText w:val="%2)"/>
      <w:lvlJc w:val="left"/>
      <w:pPr>
        <w:ind w:left="1486" w:hanging="420"/>
      </w:pPr>
    </w:lvl>
    <w:lvl w:ilvl="2" w:tentative="0">
      <w:start w:val="1"/>
      <w:numFmt w:val="lowerRoman"/>
      <w:lvlText w:val="%3."/>
      <w:lvlJc w:val="right"/>
      <w:pPr>
        <w:ind w:left="1906" w:hanging="420"/>
      </w:pPr>
    </w:lvl>
    <w:lvl w:ilvl="3" w:tentative="0">
      <w:start w:val="1"/>
      <w:numFmt w:val="decimal"/>
      <w:lvlText w:val="%4."/>
      <w:lvlJc w:val="left"/>
      <w:pPr>
        <w:ind w:left="2326" w:hanging="420"/>
      </w:pPr>
    </w:lvl>
    <w:lvl w:ilvl="4" w:tentative="0">
      <w:start w:val="1"/>
      <w:numFmt w:val="lowerLetter"/>
      <w:lvlText w:val="%5)"/>
      <w:lvlJc w:val="left"/>
      <w:pPr>
        <w:ind w:left="2746" w:hanging="420"/>
      </w:pPr>
    </w:lvl>
    <w:lvl w:ilvl="5" w:tentative="0">
      <w:start w:val="1"/>
      <w:numFmt w:val="lowerRoman"/>
      <w:lvlText w:val="%6."/>
      <w:lvlJc w:val="right"/>
      <w:pPr>
        <w:ind w:left="3166" w:hanging="420"/>
      </w:pPr>
    </w:lvl>
    <w:lvl w:ilvl="6" w:tentative="0">
      <w:start w:val="1"/>
      <w:numFmt w:val="decimal"/>
      <w:lvlText w:val="%7."/>
      <w:lvlJc w:val="left"/>
      <w:pPr>
        <w:ind w:left="3586" w:hanging="420"/>
      </w:pPr>
    </w:lvl>
    <w:lvl w:ilvl="7" w:tentative="0">
      <w:start w:val="1"/>
      <w:numFmt w:val="lowerLetter"/>
      <w:lvlText w:val="%8)"/>
      <w:lvlJc w:val="left"/>
      <w:pPr>
        <w:ind w:left="4006" w:hanging="420"/>
      </w:pPr>
    </w:lvl>
    <w:lvl w:ilvl="8" w:tentative="0">
      <w:start w:val="1"/>
      <w:numFmt w:val="lowerRoman"/>
      <w:lvlText w:val="%9."/>
      <w:lvlJc w:val="right"/>
      <w:pPr>
        <w:ind w:left="44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524BD"/>
    <w:rsid w:val="0023760B"/>
    <w:rsid w:val="003B2BA4"/>
    <w:rsid w:val="005100E2"/>
    <w:rsid w:val="00BF3918"/>
    <w:rsid w:val="00E103D7"/>
    <w:rsid w:val="00FF57EE"/>
    <w:rsid w:val="011E46FD"/>
    <w:rsid w:val="01791EED"/>
    <w:rsid w:val="01C94556"/>
    <w:rsid w:val="01CD5169"/>
    <w:rsid w:val="02590A7D"/>
    <w:rsid w:val="02856D02"/>
    <w:rsid w:val="02EC0D0E"/>
    <w:rsid w:val="031425A2"/>
    <w:rsid w:val="03F85CD9"/>
    <w:rsid w:val="052A3D53"/>
    <w:rsid w:val="05491845"/>
    <w:rsid w:val="056637B3"/>
    <w:rsid w:val="05B94EC8"/>
    <w:rsid w:val="05C85D78"/>
    <w:rsid w:val="06AE6ADF"/>
    <w:rsid w:val="075903B9"/>
    <w:rsid w:val="07B54AEA"/>
    <w:rsid w:val="089F6962"/>
    <w:rsid w:val="08D51FB4"/>
    <w:rsid w:val="09147DB9"/>
    <w:rsid w:val="09661E72"/>
    <w:rsid w:val="097809A0"/>
    <w:rsid w:val="09A01026"/>
    <w:rsid w:val="09F3656E"/>
    <w:rsid w:val="0B0A774C"/>
    <w:rsid w:val="0C523F40"/>
    <w:rsid w:val="0C615974"/>
    <w:rsid w:val="0C662C88"/>
    <w:rsid w:val="0C935212"/>
    <w:rsid w:val="0D0D017B"/>
    <w:rsid w:val="0D234A73"/>
    <w:rsid w:val="0D48797F"/>
    <w:rsid w:val="0D7E4F20"/>
    <w:rsid w:val="0D837AEF"/>
    <w:rsid w:val="0D9358EA"/>
    <w:rsid w:val="0DD07C91"/>
    <w:rsid w:val="0E1B0A9E"/>
    <w:rsid w:val="0E8854CE"/>
    <w:rsid w:val="0E9E7894"/>
    <w:rsid w:val="0EA10B96"/>
    <w:rsid w:val="0F2003FD"/>
    <w:rsid w:val="0F255EB9"/>
    <w:rsid w:val="0F7F20C3"/>
    <w:rsid w:val="10874572"/>
    <w:rsid w:val="10E2201B"/>
    <w:rsid w:val="10F639FB"/>
    <w:rsid w:val="112018CC"/>
    <w:rsid w:val="11260C6B"/>
    <w:rsid w:val="1135201B"/>
    <w:rsid w:val="116B00AF"/>
    <w:rsid w:val="117E25D0"/>
    <w:rsid w:val="11B642CB"/>
    <w:rsid w:val="12174398"/>
    <w:rsid w:val="1322457F"/>
    <w:rsid w:val="143A7FF3"/>
    <w:rsid w:val="145F618C"/>
    <w:rsid w:val="146E5CA9"/>
    <w:rsid w:val="14BC2001"/>
    <w:rsid w:val="14BC40F5"/>
    <w:rsid w:val="15204D75"/>
    <w:rsid w:val="153C07C1"/>
    <w:rsid w:val="15F17082"/>
    <w:rsid w:val="16855D68"/>
    <w:rsid w:val="16972E43"/>
    <w:rsid w:val="17070AA1"/>
    <w:rsid w:val="17122BFC"/>
    <w:rsid w:val="17243616"/>
    <w:rsid w:val="17A477D9"/>
    <w:rsid w:val="17D41588"/>
    <w:rsid w:val="180E2B69"/>
    <w:rsid w:val="18320873"/>
    <w:rsid w:val="18733056"/>
    <w:rsid w:val="18D014C6"/>
    <w:rsid w:val="19A3395A"/>
    <w:rsid w:val="19C852DC"/>
    <w:rsid w:val="19D64BE5"/>
    <w:rsid w:val="1A392593"/>
    <w:rsid w:val="1A421B15"/>
    <w:rsid w:val="1AE3147D"/>
    <w:rsid w:val="1B714B09"/>
    <w:rsid w:val="1BCC2236"/>
    <w:rsid w:val="1C7D2C5A"/>
    <w:rsid w:val="1C8E5505"/>
    <w:rsid w:val="1CC94CBA"/>
    <w:rsid w:val="1D820FEA"/>
    <w:rsid w:val="1DE64675"/>
    <w:rsid w:val="1E4B7505"/>
    <w:rsid w:val="1F035CA8"/>
    <w:rsid w:val="1F416203"/>
    <w:rsid w:val="1F48345A"/>
    <w:rsid w:val="20266CE9"/>
    <w:rsid w:val="213405F4"/>
    <w:rsid w:val="217024CE"/>
    <w:rsid w:val="229C392C"/>
    <w:rsid w:val="22A2338B"/>
    <w:rsid w:val="232537C8"/>
    <w:rsid w:val="23C26A10"/>
    <w:rsid w:val="23ED6A00"/>
    <w:rsid w:val="23F675D5"/>
    <w:rsid w:val="241D330B"/>
    <w:rsid w:val="24F86F9E"/>
    <w:rsid w:val="257E4855"/>
    <w:rsid w:val="25BF5BA3"/>
    <w:rsid w:val="2619217B"/>
    <w:rsid w:val="263D69CC"/>
    <w:rsid w:val="2644196D"/>
    <w:rsid w:val="26771BA3"/>
    <w:rsid w:val="27486EE5"/>
    <w:rsid w:val="27D35822"/>
    <w:rsid w:val="2884427B"/>
    <w:rsid w:val="298C7177"/>
    <w:rsid w:val="2A3C1F81"/>
    <w:rsid w:val="2A4D00E0"/>
    <w:rsid w:val="2A7D15AB"/>
    <w:rsid w:val="2B0E4020"/>
    <w:rsid w:val="2B186132"/>
    <w:rsid w:val="2B534412"/>
    <w:rsid w:val="2BC50EA6"/>
    <w:rsid w:val="2C0D132C"/>
    <w:rsid w:val="2D2816C9"/>
    <w:rsid w:val="2D396C66"/>
    <w:rsid w:val="2D682312"/>
    <w:rsid w:val="2D705D8C"/>
    <w:rsid w:val="2D901BD3"/>
    <w:rsid w:val="2DCD3CDA"/>
    <w:rsid w:val="2E3A763B"/>
    <w:rsid w:val="2ECA4EEF"/>
    <w:rsid w:val="2ECE2B58"/>
    <w:rsid w:val="2F9C0B18"/>
    <w:rsid w:val="2F9F58B6"/>
    <w:rsid w:val="30552053"/>
    <w:rsid w:val="310C5AD5"/>
    <w:rsid w:val="31305E9D"/>
    <w:rsid w:val="32F932E6"/>
    <w:rsid w:val="332A15CD"/>
    <w:rsid w:val="33383157"/>
    <w:rsid w:val="33C975D0"/>
    <w:rsid w:val="33E6322B"/>
    <w:rsid w:val="34047E2E"/>
    <w:rsid w:val="34D63E9F"/>
    <w:rsid w:val="360472BC"/>
    <w:rsid w:val="37077530"/>
    <w:rsid w:val="37CA0ED8"/>
    <w:rsid w:val="380F4D9C"/>
    <w:rsid w:val="381C1562"/>
    <w:rsid w:val="3820585C"/>
    <w:rsid w:val="382E306B"/>
    <w:rsid w:val="38C66344"/>
    <w:rsid w:val="38EF4C99"/>
    <w:rsid w:val="398079E7"/>
    <w:rsid w:val="39DB3B2D"/>
    <w:rsid w:val="3A3805EB"/>
    <w:rsid w:val="3A78203B"/>
    <w:rsid w:val="3AE45C63"/>
    <w:rsid w:val="3BAE7A1A"/>
    <w:rsid w:val="3BB045DF"/>
    <w:rsid w:val="3CCA4306"/>
    <w:rsid w:val="3D922736"/>
    <w:rsid w:val="3DA267C0"/>
    <w:rsid w:val="3DC60A09"/>
    <w:rsid w:val="3E09226A"/>
    <w:rsid w:val="3E524131"/>
    <w:rsid w:val="3E6A2A6F"/>
    <w:rsid w:val="3EB66821"/>
    <w:rsid w:val="3F0C0BD2"/>
    <w:rsid w:val="3F4C1FAE"/>
    <w:rsid w:val="3FB22FA7"/>
    <w:rsid w:val="3FBF1CEB"/>
    <w:rsid w:val="404D4ED6"/>
    <w:rsid w:val="40852C94"/>
    <w:rsid w:val="408544B4"/>
    <w:rsid w:val="40DA52CE"/>
    <w:rsid w:val="41027CEA"/>
    <w:rsid w:val="413B0BEE"/>
    <w:rsid w:val="41A83BEC"/>
    <w:rsid w:val="41AB55C2"/>
    <w:rsid w:val="41F110AA"/>
    <w:rsid w:val="427A3679"/>
    <w:rsid w:val="42C9141A"/>
    <w:rsid w:val="431F49ED"/>
    <w:rsid w:val="434D5157"/>
    <w:rsid w:val="44706DB6"/>
    <w:rsid w:val="447465A3"/>
    <w:rsid w:val="44883464"/>
    <w:rsid w:val="44942D4B"/>
    <w:rsid w:val="451D65D6"/>
    <w:rsid w:val="45340212"/>
    <w:rsid w:val="46786548"/>
    <w:rsid w:val="471A19C6"/>
    <w:rsid w:val="47E32447"/>
    <w:rsid w:val="48377C0F"/>
    <w:rsid w:val="48D073E9"/>
    <w:rsid w:val="49124A6F"/>
    <w:rsid w:val="491476BA"/>
    <w:rsid w:val="49190188"/>
    <w:rsid w:val="49193714"/>
    <w:rsid w:val="49517380"/>
    <w:rsid w:val="49A90BA8"/>
    <w:rsid w:val="4A790B1D"/>
    <w:rsid w:val="4AB23303"/>
    <w:rsid w:val="4ABF52E5"/>
    <w:rsid w:val="4AD50108"/>
    <w:rsid w:val="4AE12CD7"/>
    <w:rsid w:val="4B1A64A7"/>
    <w:rsid w:val="4BC267E6"/>
    <w:rsid w:val="4BE93AB5"/>
    <w:rsid w:val="4C9115A9"/>
    <w:rsid w:val="4CA04058"/>
    <w:rsid w:val="4CCC3291"/>
    <w:rsid w:val="4D413878"/>
    <w:rsid w:val="4D85636D"/>
    <w:rsid w:val="4FA976CC"/>
    <w:rsid w:val="4FBE422C"/>
    <w:rsid w:val="501F633E"/>
    <w:rsid w:val="50203A3C"/>
    <w:rsid w:val="50CE4003"/>
    <w:rsid w:val="50EA71FF"/>
    <w:rsid w:val="51485C8C"/>
    <w:rsid w:val="516C726B"/>
    <w:rsid w:val="518531F9"/>
    <w:rsid w:val="521805DC"/>
    <w:rsid w:val="5224110D"/>
    <w:rsid w:val="525C6B22"/>
    <w:rsid w:val="52D747C4"/>
    <w:rsid w:val="54BD3E47"/>
    <w:rsid w:val="553C08E9"/>
    <w:rsid w:val="5562376B"/>
    <w:rsid w:val="55B11A0F"/>
    <w:rsid w:val="55FE6A0B"/>
    <w:rsid w:val="564A0BC9"/>
    <w:rsid w:val="56582719"/>
    <w:rsid w:val="566E129A"/>
    <w:rsid w:val="567433C1"/>
    <w:rsid w:val="56796FF3"/>
    <w:rsid w:val="573C496F"/>
    <w:rsid w:val="57DC239E"/>
    <w:rsid w:val="57FD0442"/>
    <w:rsid w:val="58312C22"/>
    <w:rsid w:val="586D7118"/>
    <w:rsid w:val="58E7070F"/>
    <w:rsid w:val="59C1355E"/>
    <w:rsid w:val="59EB1F8E"/>
    <w:rsid w:val="5AEA4EEE"/>
    <w:rsid w:val="5BDD26D5"/>
    <w:rsid w:val="5C0850FB"/>
    <w:rsid w:val="5C66781D"/>
    <w:rsid w:val="5C67130D"/>
    <w:rsid w:val="5C810FD8"/>
    <w:rsid w:val="5CB224BE"/>
    <w:rsid w:val="5CD402A2"/>
    <w:rsid w:val="5DEA5479"/>
    <w:rsid w:val="5E6560ED"/>
    <w:rsid w:val="5E8C7557"/>
    <w:rsid w:val="5F12455C"/>
    <w:rsid w:val="5FC9570E"/>
    <w:rsid w:val="60791C22"/>
    <w:rsid w:val="619B4BFE"/>
    <w:rsid w:val="61AC3432"/>
    <w:rsid w:val="628F575E"/>
    <w:rsid w:val="62D9326C"/>
    <w:rsid w:val="637D2D2E"/>
    <w:rsid w:val="63830868"/>
    <w:rsid w:val="63A92329"/>
    <w:rsid w:val="642866FA"/>
    <w:rsid w:val="643B54CC"/>
    <w:rsid w:val="649B4BA3"/>
    <w:rsid w:val="64CC1EEC"/>
    <w:rsid w:val="651823C1"/>
    <w:rsid w:val="655036CC"/>
    <w:rsid w:val="65764F4A"/>
    <w:rsid w:val="65881D5B"/>
    <w:rsid w:val="662F5C7B"/>
    <w:rsid w:val="67762C37"/>
    <w:rsid w:val="682F28D5"/>
    <w:rsid w:val="683D7A8A"/>
    <w:rsid w:val="69505BC1"/>
    <w:rsid w:val="69772A56"/>
    <w:rsid w:val="69D87A75"/>
    <w:rsid w:val="6A880636"/>
    <w:rsid w:val="6A8E4650"/>
    <w:rsid w:val="6AB7570F"/>
    <w:rsid w:val="6B3D2020"/>
    <w:rsid w:val="6B510F08"/>
    <w:rsid w:val="6B5B54E3"/>
    <w:rsid w:val="6B784C28"/>
    <w:rsid w:val="6BC90D6C"/>
    <w:rsid w:val="6BDD556A"/>
    <w:rsid w:val="6C125CF3"/>
    <w:rsid w:val="6C8C7492"/>
    <w:rsid w:val="6CDF6BB1"/>
    <w:rsid w:val="6CE7506D"/>
    <w:rsid w:val="6D1020B8"/>
    <w:rsid w:val="6D7665F6"/>
    <w:rsid w:val="6DA672AC"/>
    <w:rsid w:val="6DD208E5"/>
    <w:rsid w:val="6E5E6FD5"/>
    <w:rsid w:val="6E6656C5"/>
    <w:rsid w:val="6ECB7B65"/>
    <w:rsid w:val="6FBA7409"/>
    <w:rsid w:val="70B42DDF"/>
    <w:rsid w:val="70DC0452"/>
    <w:rsid w:val="714E2103"/>
    <w:rsid w:val="71DA377A"/>
    <w:rsid w:val="71E31D39"/>
    <w:rsid w:val="722B4EBB"/>
    <w:rsid w:val="72321242"/>
    <w:rsid w:val="725E49A3"/>
    <w:rsid w:val="729D6EE3"/>
    <w:rsid w:val="72DA2C89"/>
    <w:rsid w:val="72DD5645"/>
    <w:rsid w:val="736A0473"/>
    <w:rsid w:val="73A94DE4"/>
    <w:rsid w:val="744C0F1E"/>
    <w:rsid w:val="74750B03"/>
    <w:rsid w:val="7485589D"/>
    <w:rsid w:val="752804E0"/>
    <w:rsid w:val="7532490B"/>
    <w:rsid w:val="75412E69"/>
    <w:rsid w:val="756F0CBC"/>
    <w:rsid w:val="757F4035"/>
    <w:rsid w:val="76427128"/>
    <w:rsid w:val="76556967"/>
    <w:rsid w:val="76735FFA"/>
    <w:rsid w:val="76766B67"/>
    <w:rsid w:val="776A30D1"/>
    <w:rsid w:val="777524BD"/>
    <w:rsid w:val="77A05836"/>
    <w:rsid w:val="77EE330F"/>
    <w:rsid w:val="782D1BC8"/>
    <w:rsid w:val="78C14005"/>
    <w:rsid w:val="78F43401"/>
    <w:rsid w:val="798A5618"/>
    <w:rsid w:val="7A943575"/>
    <w:rsid w:val="7AAC4F9B"/>
    <w:rsid w:val="7ABB1EF7"/>
    <w:rsid w:val="7AFE696C"/>
    <w:rsid w:val="7B3E0962"/>
    <w:rsid w:val="7B7D06DB"/>
    <w:rsid w:val="7B885E96"/>
    <w:rsid w:val="7BBE4689"/>
    <w:rsid w:val="7BCD2917"/>
    <w:rsid w:val="7C041DC9"/>
    <w:rsid w:val="7C42467E"/>
    <w:rsid w:val="7C5C736E"/>
    <w:rsid w:val="7CD21B3E"/>
    <w:rsid w:val="7CED45CF"/>
    <w:rsid w:val="7CF80360"/>
    <w:rsid w:val="7D695BB0"/>
    <w:rsid w:val="7E02758B"/>
    <w:rsid w:val="7F0312C6"/>
    <w:rsid w:val="7F125860"/>
    <w:rsid w:val="7FCD5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2020-04-13T07:37:00Z</dcterms:created>
  <dc:creator>Administrator</dc:creator>
  <cp:lastModifiedBy>iaun</cp:lastModifiedBy>
  <dcterms:modified xsi:type="dcterms:W3CDTF">2020-05-14T03:07:32Z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