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hd w:val="clear" w:color="auto" w:fill="FFFFFF"/>
        <w:spacing w:beforeAutospacing="0" w:afterAutospacing="0" w:line="560" w:lineRule="exact"/>
        <w:ind w:firstLine="880" w:firstLineChars="200"/>
        <w:jc w:val="both"/>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重庆市南岸区微型企业发展办公室</w:t>
      </w:r>
    </w:p>
    <w:p>
      <w:pPr>
        <w:pStyle w:val="8"/>
        <w:shd w:val="clear" w:color="auto" w:fill="FFFFFF"/>
        <w:spacing w:before="0" w:beforeAutospacing="0" w:after="0" w:afterAutospacing="0" w:line="560" w:lineRule="exact"/>
        <w:ind w:firstLine="1760" w:firstLineChars="400"/>
        <w:jc w:val="both"/>
        <w:outlineLvl w:val="0"/>
        <w:rPr>
          <w:rFonts w:ascii="方正小标宋_GBK" w:eastAsia="方正小标宋_GBK"/>
          <w:sz w:val="44"/>
          <w:szCs w:val="44"/>
        </w:rPr>
      </w:pPr>
      <w:r>
        <w:rPr>
          <w:rFonts w:hint="eastAsia" w:ascii="方正小标宋_GBK" w:eastAsia="方正小标宋_GBK"/>
          <w:sz w:val="44"/>
          <w:szCs w:val="44"/>
        </w:rPr>
        <w:t>2020年度部门决算情况说明</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880" w:firstLineChars="200"/>
        <w:jc w:val="both"/>
        <w:textAlignment w:val="auto"/>
        <w:rPr>
          <w:rFonts w:ascii="方正小标宋_GBK" w:eastAsia="方正小标宋_GBK"/>
          <w:sz w:val="44"/>
          <w:szCs w:val="44"/>
        </w:rPr>
      </w:pP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outlineLvl w:val="0"/>
        <w:rPr>
          <w:rStyle w:val="11"/>
          <w:rFonts w:ascii="方正黑体_GBK" w:eastAsia="方正黑体_GBK"/>
          <w:b w:val="0"/>
          <w:sz w:val="32"/>
          <w:szCs w:val="32"/>
        </w:rPr>
      </w:pPr>
      <w:r>
        <w:rPr>
          <w:rStyle w:val="11"/>
          <w:rFonts w:hint="eastAsia" w:ascii="方正黑体_GBK" w:eastAsia="方正黑体_GBK"/>
          <w:b w:val="0"/>
          <w:sz w:val="32"/>
          <w:szCs w:val="32"/>
        </w:rPr>
        <w:t>一、部门基本情况</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588" w:firstLineChars="183"/>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sz w:val="32"/>
          <w:szCs w:val="32"/>
          <w:shd w:val="clear" w:color="auto" w:fill="FFFFFF"/>
        </w:rPr>
        <w:t>（一）职能职责。</w:t>
      </w:r>
      <w:r>
        <w:rPr>
          <w:rFonts w:hint="eastAsia" w:ascii="方正仿宋_GBK" w:hAnsi="方正仿宋_GBK" w:eastAsia="方正仿宋_GBK" w:cs="方正仿宋_GBK"/>
          <w:sz w:val="32"/>
          <w:szCs w:val="32"/>
          <w:shd w:val="clear" w:color="auto" w:fill="FFFFFF"/>
          <w:lang w:eastAsia="zh-CN"/>
        </w:rPr>
        <w:t>本部门</w:t>
      </w:r>
      <w:r>
        <w:rPr>
          <w:rFonts w:hint="eastAsia" w:ascii="方正仿宋_GBK" w:hAnsi="方正仿宋_GBK" w:eastAsia="方正仿宋_GBK" w:cs="方正仿宋_GBK"/>
          <w:sz w:val="32"/>
          <w:szCs w:val="32"/>
          <w:shd w:val="clear" w:color="auto" w:fill="FFFFFF"/>
        </w:rPr>
        <w:t>属全额拨款公益一类事业单位。主要职责：负责组织协调促进微型企业发展的各项具体工作；</w:t>
      </w:r>
      <w:r>
        <w:rPr>
          <w:rFonts w:hint="eastAsia" w:ascii="方正仿宋_GBK" w:hAnsi="方正仿宋_GBK" w:eastAsia="方正仿宋_GBK" w:cs="方正仿宋_GBK"/>
          <w:sz w:val="32"/>
          <w:szCs w:val="32"/>
          <w:shd w:val="clear" w:color="auto" w:fill="FFFFFF"/>
          <w:lang w:eastAsia="zh-CN"/>
        </w:rPr>
        <w:t>发展</w:t>
      </w:r>
      <w:r>
        <w:rPr>
          <w:rFonts w:hint="eastAsia" w:ascii="方正仿宋_GBK" w:hAnsi="方正仿宋_GBK" w:eastAsia="方正仿宋_GBK" w:cs="方正仿宋_GBK"/>
          <w:sz w:val="32"/>
          <w:szCs w:val="32"/>
          <w:shd w:val="clear" w:color="auto" w:fill="FFFFFF"/>
        </w:rPr>
        <w:t>微型企业</w:t>
      </w:r>
      <w:r>
        <w:rPr>
          <w:rFonts w:hint="eastAsia" w:ascii="方正仿宋_GBK" w:hAnsi="方正仿宋_GBK" w:eastAsia="方正仿宋_GBK" w:cs="方正仿宋_GBK"/>
          <w:sz w:val="32"/>
          <w:szCs w:val="32"/>
          <w:shd w:val="clear" w:color="auto" w:fill="FFFFFF"/>
          <w:lang w:eastAsia="zh-CN"/>
        </w:rPr>
        <w:t>发展相关</w:t>
      </w:r>
      <w:r>
        <w:rPr>
          <w:rFonts w:hint="eastAsia" w:ascii="方正仿宋_GBK" w:hAnsi="方正仿宋_GBK" w:eastAsia="方正仿宋_GBK" w:cs="方正仿宋_GBK"/>
          <w:sz w:val="32"/>
          <w:szCs w:val="32"/>
          <w:shd w:val="clear" w:color="auto" w:fill="FFFFFF"/>
        </w:rPr>
        <w:t>规则制度的健全完善和检查落实；负责申诉受理、信息公开、统计上报等工作；完成区微型企业发展领导小组交办的各项任务。</w:t>
      </w:r>
    </w:p>
    <w:p>
      <w:pPr>
        <w:pStyle w:val="18"/>
        <w:keepNext w:val="0"/>
        <w:keepLines w:val="0"/>
        <w:pageBreakBefore w:val="0"/>
        <w:shd w:val="clear" w:color="auto" w:fill="FFFFFF"/>
        <w:kinsoku/>
        <w:wordWrap/>
        <w:overflowPunct/>
        <w:topLinePunct w:val="0"/>
        <w:autoSpaceDE w:val="0"/>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方正仿宋_GBK"/>
          <w:sz w:val="32"/>
          <w:szCs w:val="32"/>
          <w:shd w:val="clear" w:color="auto" w:fill="FFFFFF"/>
        </w:rPr>
      </w:pPr>
      <w:r>
        <w:rPr>
          <w:rFonts w:ascii="方正仿宋_GBK" w:hAnsi="方正仿宋_GBK" w:eastAsia="方正仿宋_GBK" w:cs="方正仿宋_GBK"/>
          <w:b/>
          <w:sz w:val="32"/>
          <w:szCs w:val="32"/>
          <w:shd w:val="clear" w:color="auto" w:fill="FFFFFF"/>
        </w:rPr>
        <w:t>（二）机构设置。</w:t>
      </w:r>
      <w:r>
        <w:rPr>
          <w:rFonts w:ascii="方正仿宋_GBK" w:hAnsi="方正仿宋_GBK" w:eastAsia="方正仿宋_GBK" w:cs="方正仿宋_GBK"/>
          <w:sz w:val="32"/>
          <w:szCs w:val="32"/>
          <w:shd w:val="clear" w:color="auto" w:fill="FFFFFF"/>
        </w:rPr>
        <w:t>下设综合管理部、招商部、企业服务部和产业发展部等四个部门。配备公务用车1辆。事业编制20名（其中：处级领导1正2副，科级领导4名），2020年末实有人数12人。</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outlineLvl w:val="1"/>
        <w:rPr>
          <w:rFonts w:ascii="方正仿宋_GBK" w:eastAsia="方正仿宋_GBK"/>
          <w:sz w:val="32"/>
          <w:szCs w:val="32"/>
        </w:rPr>
      </w:pPr>
      <w:r>
        <w:rPr>
          <w:rFonts w:hint="eastAsia" w:ascii="方正仿宋_GBK" w:eastAsia="方正仿宋_GBK"/>
          <w:b/>
          <w:sz w:val="32"/>
          <w:szCs w:val="32"/>
        </w:rPr>
        <w:t>（三）单位构成。</w:t>
      </w:r>
      <w:r>
        <w:rPr>
          <w:rFonts w:hint="eastAsia" w:ascii="方正仿宋_GBK" w:eastAsia="方正仿宋_GBK"/>
          <w:sz w:val="32"/>
          <w:szCs w:val="32"/>
        </w:rPr>
        <w:t>从预算单位构成看，纳入本部门2020年度决算编制的预算单位为重庆市南岸区微型企业发展办公室，本</w:t>
      </w:r>
      <w:r>
        <w:rPr>
          <w:rFonts w:hint="eastAsia" w:ascii="方正仿宋_GBK" w:eastAsia="方正仿宋_GBK"/>
          <w:sz w:val="32"/>
          <w:szCs w:val="32"/>
          <w:lang w:eastAsia="zh-CN"/>
        </w:rPr>
        <w:t>单位</w:t>
      </w:r>
      <w:r>
        <w:rPr>
          <w:rFonts w:hint="eastAsia" w:ascii="方正仿宋_GBK" w:eastAsia="方正仿宋_GBK"/>
          <w:sz w:val="32"/>
          <w:szCs w:val="32"/>
        </w:rPr>
        <w:t>无下级预算单位。</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outlineLvl w:val="0"/>
        <w:rPr>
          <w:rStyle w:val="11"/>
          <w:rFonts w:ascii="Times New Roman" w:hAnsi="Times New Roman" w:eastAsia="方正仿宋_GBK"/>
          <w:b w:val="0"/>
          <w:bCs w:val="0"/>
          <w:color w:val="FF0000"/>
          <w:sz w:val="32"/>
          <w:szCs w:val="32"/>
        </w:rPr>
      </w:pPr>
      <w:r>
        <w:rPr>
          <w:rStyle w:val="11"/>
          <w:rFonts w:hint="eastAsia" w:ascii="方正黑体_GBK" w:eastAsia="方正黑体_GBK"/>
          <w:b w:val="0"/>
          <w:sz w:val="32"/>
          <w:szCs w:val="32"/>
        </w:rPr>
        <w:t>二、部门决算情况说明</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outlineLvl w:val="0"/>
        <w:rPr>
          <w:rFonts w:ascii="方正仿宋_GBK" w:eastAsia="方正仿宋_GBK"/>
          <w:sz w:val="32"/>
          <w:szCs w:val="32"/>
        </w:rPr>
      </w:pPr>
      <w:r>
        <w:rPr>
          <w:rStyle w:val="11"/>
          <w:rFonts w:hint="eastAsia" w:ascii="方正仿宋_GBK" w:eastAsia="方正仿宋_GBK"/>
          <w:sz w:val="32"/>
          <w:szCs w:val="32"/>
        </w:rPr>
        <w:t>（一）收入支出决算总体情况说明</w:t>
      </w:r>
    </w:p>
    <w:p>
      <w:pPr>
        <w:keepNext w:val="0"/>
        <w:keepLines w:val="0"/>
        <w:pageBreakBefore w:val="0"/>
        <w:kinsoku/>
        <w:wordWrap/>
        <w:overflowPunct/>
        <w:topLinePunct w:val="0"/>
        <w:autoSpaceDN/>
        <w:bidi w:val="0"/>
        <w:spacing w:line="560" w:lineRule="exact"/>
        <w:ind w:firstLine="640"/>
        <w:jc w:val="both"/>
        <w:textAlignment w:val="auto"/>
        <w:rPr>
          <w:rFonts w:hint="eastAsia" w:ascii="方正仿宋_GBK" w:eastAsia="方正仿宋_GBK"/>
          <w:sz w:val="32"/>
          <w:szCs w:val="32"/>
        </w:rPr>
      </w:pPr>
      <w:r>
        <w:rPr>
          <w:rFonts w:hint="eastAsia" w:ascii="方正仿宋_GBK" w:eastAsia="方正仿宋_GBK"/>
          <w:b/>
          <w:sz w:val="32"/>
          <w:szCs w:val="32"/>
        </w:rPr>
        <w:t>1.总体情况。</w:t>
      </w:r>
      <w:r>
        <w:rPr>
          <w:rFonts w:hint="eastAsia" w:ascii="方正仿宋_GBK" w:eastAsia="方正仿宋_GBK"/>
          <w:sz w:val="32"/>
          <w:szCs w:val="32"/>
        </w:rPr>
        <w:t>2020年度收入总计336.43万元，支出总计336.43万元。收支较上年决算数增加33.76万元，增长11.</w:t>
      </w:r>
      <w:r>
        <w:rPr>
          <w:rFonts w:hint="eastAsia" w:ascii="方正仿宋_GBK" w:eastAsia="方正仿宋_GBK"/>
          <w:sz w:val="32"/>
          <w:szCs w:val="32"/>
          <w:lang w:val="en-US" w:eastAsia="zh-CN"/>
        </w:rPr>
        <w:t>15</w:t>
      </w:r>
      <w:r>
        <w:rPr>
          <w:rFonts w:hint="eastAsia" w:ascii="方正仿宋_GBK" w:eastAsia="方正仿宋_GBK"/>
          <w:sz w:val="32"/>
          <w:szCs w:val="32"/>
        </w:rPr>
        <w:t>%，主要原因是</w:t>
      </w:r>
      <w:r>
        <w:rPr>
          <w:rFonts w:hint="eastAsia" w:ascii="仿宋_GB2312" w:hAnsi="仿宋" w:eastAsia="仿宋_GB2312" w:cs="仿宋"/>
          <w:color w:val="000000"/>
          <w:sz w:val="32"/>
          <w:szCs w:val="32"/>
        </w:rPr>
        <w:t>本年</w:t>
      </w:r>
      <w:r>
        <w:rPr>
          <w:rFonts w:hint="eastAsia" w:ascii="仿宋_GB2312" w:hAnsi="仿宋" w:eastAsia="仿宋_GB2312" w:cs="仿宋"/>
          <w:color w:val="000000"/>
          <w:sz w:val="32"/>
          <w:szCs w:val="32"/>
          <w:lang w:eastAsia="zh-CN"/>
        </w:rPr>
        <w:t>项目支出增加</w:t>
      </w:r>
      <w:r>
        <w:rPr>
          <w:rFonts w:hint="eastAsia" w:ascii="仿宋_GB2312" w:hAnsi="仿宋" w:eastAsia="仿宋_GB2312" w:cs="仿宋"/>
          <w:color w:val="000000"/>
          <w:sz w:val="32"/>
          <w:szCs w:val="32"/>
        </w:rPr>
        <w:t>招商引资及</w:t>
      </w:r>
      <w:r>
        <w:rPr>
          <w:rFonts w:hint="eastAsia" w:ascii="仿宋_GB2312" w:hAnsi="仿宋" w:eastAsia="仿宋_GB2312" w:cs="仿宋"/>
          <w:color w:val="000000"/>
          <w:sz w:val="32"/>
          <w:szCs w:val="32"/>
          <w:lang w:eastAsia="zh-CN"/>
        </w:rPr>
        <w:t>解决</w:t>
      </w:r>
      <w:r>
        <w:rPr>
          <w:rFonts w:hint="eastAsia" w:ascii="仿宋_GB2312" w:hAnsi="仿宋" w:eastAsia="仿宋_GB2312" w:cs="仿宋"/>
          <w:color w:val="000000"/>
          <w:sz w:val="32"/>
          <w:szCs w:val="32"/>
        </w:rPr>
        <w:t>房屋租赁遗留问题</w:t>
      </w:r>
      <w:r>
        <w:rPr>
          <w:rFonts w:hint="eastAsia" w:ascii="仿宋_GB2312" w:hAnsi="仿宋" w:eastAsia="仿宋_GB2312" w:cs="仿宋"/>
          <w:color w:val="000000"/>
          <w:sz w:val="32"/>
          <w:szCs w:val="32"/>
          <w:lang w:eastAsia="zh-CN"/>
        </w:rPr>
        <w:t>等经费</w:t>
      </w:r>
      <w:r>
        <w:rPr>
          <w:rFonts w:hint="eastAsia" w:ascii="方正仿宋_GBK" w:eastAsia="方正仿宋_GBK"/>
          <w:sz w:val="32"/>
          <w:szCs w:val="32"/>
        </w:rPr>
        <w:t>47.22万元，</w:t>
      </w:r>
      <w:r>
        <w:rPr>
          <w:rFonts w:hint="eastAsia" w:ascii="方正仿宋_GBK" w:eastAsia="方正仿宋_GBK"/>
          <w:sz w:val="32"/>
          <w:szCs w:val="32"/>
          <w:lang w:eastAsia="zh-CN"/>
        </w:rPr>
        <w:t>基本支出中</w:t>
      </w:r>
      <w:r>
        <w:rPr>
          <w:rFonts w:hint="eastAsia" w:ascii="方正仿宋_GBK" w:eastAsia="方正仿宋_GBK"/>
          <w:sz w:val="32"/>
          <w:szCs w:val="32"/>
        </w:rPr>
        <w:t>人员经费减少</w:t>
      </w:r>
      <w:r>
        <w:rPr>
          <w:rFonts w:hint="eastAsia" w:ascii="方正仿宋_GBK" w:eastAsia="方正仿宋_GBK"/>
          <w:sz w:val="32"/>
          <w:szCs w:val="32"/>
          <w:lang w:eastAsia="zh-CN"/>
        </w:rPr>
        <w:t>与</w:t>
      </w:r>
      <w:r>
        <w:rPr>
          <w:rFonts w:hint="eastAsia" w:ascii="方正仿宋_GBK" w:eastAsia="方正仿宋_GBK"/>
          <w:sz w:val="32"/>
          <w:szCs w:val="32"/>
        </w:rPr>
        <w:t>公用经费增加</w:t>
      </w:r>
      <w:r>
        <w:rPr>
          <w:rFonts w:hint="eastAsia" w:ascii="方正仿宋_GBK" w:eastAsia="方正仿宋_GBK"/>
          <w:sz w:val="32"/>
          <w:szCs w:val="32"/>
          <w:lang w:eastAsia="zh-CN"/>
        </w:rPr>
        <w:t>品迭后减少</w:t>
      </w:r>
      <w:r>
        <w:rPr>
          <w:rFonts w:hint="eastAsia" w:ascii="方正仿宋_GBK" w:eastAsia="方正仿宋_GBK"/>
          <w:sz w:val="32"/>
          <w:szCs w:val="32"/>
          <w:lang w:val="en-US" w:eastAsia="zh-CN"/>
        </w:rPr>
        <w:t>13.46万元</w:t>
      </w:r>
      <w:r>
        <w:rPr>
          <w:rFonts w:hint="eastAsia" w:ascii="方正仿宋_GBK" w:eastAsia="方正仿宋_GBK"/>
          <w:sz w:val="32"/>
          <w:szCs w:val="32"/>
        </w:rPr>
        <w:t>。</w:t>
      </w:r>
    </w:p>
    <w:p>
      <w:pPr>
        <w:keepNext w:val="0"/>
        <w:keepLines w:val="0"/>
        <w:pageBreakBefore w:val="0"/>
        <w:kinsoku/>
        <w:wordWrap/>
        <w:overflowPunct/>
        <w:topLinePunct w:val="0"/>
        <w:autoSpaceDN/>
        <w:bidi w:val="0"/>
        <w:spacing w:line="560" w:lineRule="exact"/>
        <w:ind w:firstLine="640"/>
        <w:jc w:val="both"/>
        <w:textAlignment w:val="auto"/>
        <w:rPr>
          <w:rFonts w:hint="eastAsia" w:ascii="方正仿宋_GBK" w:eastAsia="方正仿宋_GBK"/>
          <w:sz w:val="32"/>
          <w:szCs w:val="32"/>
        </w:rPr>
      </w:pPr>
      <w:r>
        <w:rPr>
          <w:rFonts w:hint="eastAsia" w:ascii="方正仿宋_GBK" w:eastAsia="方正仿宋_GBK"/>
          <w:b/>
          <w:sz w:val="32"/>
          <w:szCs w:val="32"/>
        </w:rPr>
        <w:t>2.收入情况。</w:t>
      </w:r>
      <w:r>
        <w:rPr>
          <w:rFonts w:hint="eastAsia" w:ascii="方正仿宋_GBK" w:eastAsia="方正仿宋_GBK"/>
          <w:sz w:val="32"/>
          <w:szCs w:val="32"/>
        </w:rPr>
        <w:t>2020年度收入合计336.43万元，较上年决算数增加37.34万元，增长12.</w:t>
      </w:r>
      <w:r>
        <w:rPr>
          <w:rFonts w:hint="eastAsia" w:ascii="方正仿宋_GBK" w:eastAsia="方正仿宋_GBK"/>
          <w:sz w:val="32"/>
          <w:szCs w:val="32"/>
          <w:lang w:val="en-US" w:eastAsia="zh-CN"/>
        </w:rPr>
        <w:t>48</w:t>
      </w:r>
      <w:r>
        <w:rPr>
          <w:rFonts w:hint="eastAsia" w:ascii="方正仿宋_GBK" w:eastAsia="方正仿宋_GBK"/>
          <w:sz w:val="32"/>
          <w:szCs w:val="32"/>
        </w:rPr>
        <w:t>%，主要原因是本年</w:t>
      </w:r>
      <w:r>
        <w:rPr>
          <w:rFonts w:hint="eastAsia" w:ascii="方正仿宋_GBK" w:eastAsia="方正仿宋_GBK"/>
          <w:sz w:val="32"/>
          <w:szCs w:val="32"/>
          <w:lang w:eastAsia="zh-CN"/>
        </w:rPr>
        <w:t>项目支出中增加</w:t>
      </w:r>
      <w:r>
        <w:rPr>
          <w:rFonts w:hint="eastAsia" w:ascii="方正仿宋_GBK" w:eastAsia="方正仿宋_GBK"/>
          <w:sz w:val="32"/>
          <w:szCs w:val="32"/>
        </w:rPr>
        <w:t>招商引资及</w:t>
      </w:r>
      <w:r>
        <w:rPr>
          <w:rFonts w:hint="eastAsia" w:ascii="方正仿宋_GBK" w:eastAsia="方正仿宋_GBK"/>
          <w:sz w:val="32"/>
          <w:szCs w:val="32"/>
          <w:lang w:eastAsia="zh-CN"/>
        </w:rPr>
        <w:t>解决</w:t>
      </w:r>
      <w:r>
        <w:rPr>
          <w:rFonts w:hint="eastAsia" w:ascii="方正仿宋_GBK" w:eastAsia="方正仿宋_GBK"/>
          <w:sz w:val="32"/>
          <w:szCs w:val="32"/>
        </w:rPr>
        <w:t>房屋租赁遗留问题</w:t>
      </w:r>
      <w:r>
        <w:rPr>
          <w:rFonts w:hint="eastAsia" w:ascii="方正仿宋_GBK" w:eastAsia="方正仿宋_GBK"/>
          <w:sz w:val="32"/>
          <w:szCs w:val="32"/>
          <w:lang w:eastAsia="zh-CN"/>
        </w:rPr>
        <w:t>等经费</w:t>
      </w:r>
      <w:r>
        <w:rPr>
          <w:rFonts w:hint="eastAsia" w:ascii="方正仿宋_GBK" w:eastAsia="方正仿宋_GBK"/>
          <w:sz w:val="32"/>
          <w:szCs w:val="32"/>
        </w:rPr>
        <w:t>47.22万元，</w:t>
      </w:r>
      <w:r>
        <w:rPr>
          <w:rFonts w:hint="eastAsia" w:ascii="方正仿宋_GBK" w:eastAsia="方正仿宋_GBK"/>
          <w:sz w:val="32"/>
          <w:szCs w:val="32"/>
          <w:lang w:eastAsia="zh-CN"/>
        </w:rPr>
        <w:t>基本支出中</w:t>
      </w:r>
      <w:r>
        <w:rPr>
          <w:rFonts w:hint="eastAsia" w:ascii="方正仿宋_GBK" w:eastAsia="方正仿宋_GBK"/>
          <w:sz w:val="32"/>
          <w:szCs w:val="32"/>
        </w:rPr>
        <w:t>人员经费减少</w:t>
      </w:r>
      <w:r>
        <w:rPr>
          <w:rFonts w:hint="eastAsia" w:ascii="方正仿宋_GBK" w:eastAsia="方正仿宋_GBK"/>
          <w:sz w:val="32"/>
          <w:szCs w:val="32"/>
          <w:lang w:eastAsia="zh-CN"/>
        </w:rPr>
        <w:t>与</w:t>
      </w:r>
      <w:r>
        <w:rPr>
          <w:rFonts w:hint="eastAsia" w:ascii="方正仿宋_GBK" w:eastAsia="方正仿宋_GBK"/>
          <w:sz w:val="32"/>
          <w:szCs w:val="32"/>
        </w:rPr>
        <w:t>公用经费增加</w:t>
      </w:r>
      <w:r>
        <w:rPr>
          <w:rFonts w:hint="eastAsia" w:ascii="方正仿宋_GBK" w:eastAsia="方正仿宋_GBK"/>
          <w:sz w:val="32"/>
          <w:szCs w:val="32"/>
          <w:lang w:eastAsia="zh-CN"/>
        </w:rPr>
        <w:t>品迭后减少</w:t>
      </w:r>
      <w:r>
        <w:rPr>
          <w:rFonts w:hint="eastAsia" w:ascii="方正仿宋_GBK" w:eastAsia="方正仿宋_GBK"/>
          <w:sz w:val="32"/>
          <w:szCs w:val="32"/>
          <w:lang w:val="en-US" w:eastAsia="zh-CN"/>
        </w:rPr>
        <w:t>9.88万元。</w:t>
      </w:r>
      <w:r>
        <w:rPr>
          <w:rFonts w:hint="eastAsia" w:ascii="方正仿宋_GBK" w:eastAsia="方正仿宋_GBK"/>
          <w:sz w:val="32"/>
          <w:szCs w:val="32"/>
        </w:rPr>
        <w:t>其中：财政拨款收入336.34万元，占100%。</w:t>
      </w:r>
    </w:p>
    <w:p>
      <w:pPr>
        <w:keepNext w:val="0"/>
        <w:keepLines w:val="0"/>
        <w:pageBreakBefore w:val="0"/>
        <w:kinsoku/>
        <w:wordWrap/>
        <w:overflowPunct/>
        <w:topLinePunct w:val="0"/>
        <w:autoSpaceDN/>
        <w:bidi w:val="0"/>
        <w:spacing w:line="560" w:lineRule="exact"/>
        <w:ind w:firstLine="640"/>
        <w:jc w:val="both"/>
        <w:textAlignment w:val="auto"/>
        <w:rPr>
          <w:rFonts w:hint="eastAsia" w:ascii="方正仿宋_GBK" w:eastAsia="方正仿宋_GBK"/>
          <w:sz w:val="32"/>
          <w:szCs w:val="32"/>
        </w:rPr>
      </w:pPr>
      <w:r>
        <w:rPr>
          <w:rFonts w:hint="eastAsia" w:ascii="方正仿宋_GBK" w:eastAsia="方正仿宋_GBK"/>
          <w:b/>
          <w:sz w:val="32"/>
          <w:szCs w:val="32"/>
        </w:rPr>
        <w:t>3.支出情况。</w:t>
      </w:r>
      <w:r>
        <w:rPr>
          <w:rFonts w:hint="eastAsia" w:ascii="方正仿宋_GBK" w:eastAsia="方正仿宋_GBK"/>
          <w:sz w:val="32"/>
          <w:szCs w:val="32"/>
        </w:rPr>
        <w:t>2020年度支出合计335.01万元，较上年决算数增加32.34万元，增长10.</w:t>
      </w:r>
      <w:r>
        <w:rPr>
          <w:rFonts w:hint="eastAsia" w:ascii="方正仿宋_GBK" w:eastAsia="方正仿宋_GBK"/>
          <w:sz w:val="32"/>
          <w:szCs w:val="32"/>
          <w:lang w:val="en-US" w:eastAsia="zh-CN"/>
        </w:rPr>
        <w:t>68</w:t>
      </w:r>
      <w:r>
        <w:rPr>
          <w:rFonts w:hint="eastAsia" w:ascii="方正仿宋_GBK" w:eastAsia="方正仿宋_GBK"/>
          <w:sz w:val="32"/>
          <w:szCs w:val="32"/>
        </w:rPr>
        <w:t>%，主要原因是本年</w:t>
      </w:r>
      <w:r>
        <w:rPr>
          <w:rFonts w:hint="eastAsia" w:ascii="方正仿宋_GBK" w:eastAsia="方正仿宋_GBK"/>
          <w:sz w:val="32"/>
          <w:szCs w:val="32"/>
          <w:lang w:eastAsia="zh-CN"/>
        </w:rPr>
        <w:t>项目支出中增加</w:t>
      </w:r>
      <w:r>
        <w:rPr>
          <w:rFonts w:hint="eastAsia" w:ascii="方正仿宋_GBK" w:eastAsia="方正仿宋_GBK"/>
          <w:sz w:val="32"/>
          <w:szCs w:val="32"/>
        </w:rPr>
        <w:t>招商引资及</w:t>
      </w:r>
      <w:r>
        <w:rPr>
          <w:rFonts w:hint="eastAsia" w:ascii="方正仿宋_GBK" w:eastAsia="方正仿宋_GBK"/>
          <w:sz w:val="32"/>
          <w:szCs w:val="32"/>
          <w:lang w:eastAsia="zh-CN"/>
        </w:rPr>
        <w:t>解决</w:t>
      </w:r>
      <w:r>
        <w:rPr>
          <w:rFonts w:hint="eastAsia" w:ascii="方正仿宋_GBK" w:eastAsia="方正仿宋_GBK"/>
          <w:sz w:val="32"/>
          <w:szCs w:val="32"/>
        </w:rPr>
        <w:t>房屋租赁遗留问题</w:t>
      </w:r>
      <w:r>
        <w:rPr>
          <w:rFonts w:hint="eastAsia" w:ascii="方正仿宋_GBK" w:eastAsia="方正仿宋_GBK"/>
          <w:sz w:val="32"/>
          <w:szCs w:val="32"/>
          <w:lang w:eastAsia="zh-CN"/>
        </w:rPr>
        <w:t>等经费</w:t>
      </w:r>
      <w:r>
        <w:rPr>
          <w:rFonts w:hint="eastAsia" w:ascii="方正仿宋_GBK" w:eastAsia="方正仿宋_GBK"/>
          <w:sz w:val="32"/>
          <w:szCs w:val="32"/>
        </w:rPr>
        <w:t>47.22万元，</w:t>
      </w:r>
      <w:r>
        <w:rPr>
          <w:rFonts w:hint="eastAsia" w:ascii="方正仿宋_GBK" w:eastAsia="方正仿宋_GBK"/>
          <w:sz w:val="32"/>
          <w:szCs w:val="32"/>
          <w:lang w:eastAsia="zh-CN"/>
        </w:rPr>
        <w:t>基本支出中</w:t>
      </w:r>
      <w:r>
        <w:rPr>
          <w:rFonts w:hint="eastAsia" w:ascii="方正仿宋_GBK" w:eastAsia="方正仿宋_GBK"/>
          <w:sz w:val="32"/>
          <w:szCs w:val="32"/>
        </w:rPr>
        <w:t>人员经费减少</w:t>
      </w:r>
      <w:r>
        <w:rPr>
          <w:rFonts w:hint="eastAsia" w:ascii="方正仿宋_GBK" w:eastAsia="方正仿宋_GBK"/>
          <w:sz w:val="32"/>
          <w:szCs w:val="32"/>
          <w:lang w:eastAsia="zh-CN"/>
        </w:rPr>
        <w:t>与</w:t>
      </w:r>
      <w:r>
        <w:rPr>
          <w:rFonts w:hint="eastAsia" w:ascii="方正仿宋_GBK" w:eastAsia="方正仿宋_GBK"/>
          <w:sz w:val="32"/>
          <w:szCs w:val="32"/>
        </w:rPr>
        <w:t>公用经费增加</w:t>
      </w:r>
      <w:r>
        <w:rPr>
          <w:rFonts w:hint="eastAsia" w:ascii="方正仿宋_GBK" w:eastAsia="方正仿宋_GBK"/>
          <w:sz w:val="32"/>
          <w:szCs w:val="32"/>
          <w:lang w:eastAsia="zh-CN"/>
        </w:rPr>
        <w:t>品迭后减少</w:t>
      </w:r>
      <w:r>
        <w:rPr>
          <w:rFonts w:hint="eastAsia" w:ascii="方正仿宋_GBK" w:eastAsia="方正仿宋_GBK"/>
          <w:sz w:val="32"/>
          <w:szCs w:val="32"/>
          <w:lang w:val="en-US" w:eastAsia="zh-CN"/>
        </w:rPr>
        <w:t>14.88万元</w:t>
      </w:r>
      <w:r>
        <w:rPr>
          <w:rFonts w:hint="eastAsia" w:ascii="方正仿宋_GBK" w:eastAsia="方正仿宋_GBK"/>
          <w:sz w:val="32"/>
          <w:szCs w:val="32"/>
        </w:rPr>
        <w:t>。其中：基本支出287.79万元，占85.9%；项目支出47.22万元，占14.1%；此外，结余分配0万元。</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eastAsia="方正仿宋_GBK"/>
          <w:b/>
          <w:sz w:val="32"/>
          <w:szCs w:val="32"/>
        </w:rPr>
        <w:t>4.结转结余情况。</w:t>
      </w:r>
      <w:r>
        <w:rPr>
          <w:rFonts w:hint="eastAsia" w:ascii="方正仿宋_GBK" w:hAnsi="宋体" w:eastAsia="方正仿宋_GBK" w:cs="宋体"/>
          <w:sz w:val="32"/>
          <w:szCs w:val="32"/>
          <w:lang w:val="en-US" w:eastAsia="zh-CN" w:bidi="ar-SA"/>
        </w:rPr>
        <w:t>2020年度年末结转和结余1.42万元，较上年决算数增加1.42万元，增长100%，主要原因是上年度无年末结转和结余。</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outlineLvl w:val="0"/>
        <w:rPr>
          <w:rStyle w:val="11"/>
          <w:rFonts w:ascii="方正仿宋_GBK" w:eastAsia="方正仿宋_GBK"/>
          <w:sz w:val="32"/>
          <w:szCs w:val="32"/>
        </w:rPr>
      </w:pPr>
      <w:r>
        <w:rPr>
          <w:rStyle w:val="11"/>
          <w:rFonts w:hint="eastAsia" w:ascii="方正仿宋_GBK" w:eastAsia="方正仿宋_GBK"/>
          <w:sz w:val="32"/>
          <w:szCs w:val="32"/>
        </w:rPr>
        <w:t>（二）财政拨款收入支出决算总体情况说明</w:t>
      </w:r>
    </w:p>
    <w:p>
      <w:pPr>
        <w:keepNext w:val="0"/>
        <w:keepLines w:val="0"/>
        <w:pageBreakBefore w:val="0"/>
        <w:kinsoku/>
        <w:wordWrap/>
        <w:overflowPunct/>
        <w:topLinePunct w:val="0"/>
        <w:autoSpaceDN/>
        <w:bidi w:val="0"/>
        <w:spacing w:line="560" w:lineRule="exact"/>
        <w:ind w:firstLine="640"/>
        <w:jc w:val="both"/>
        <w:textAlignment w:val="auto"/>
        <w:rPr>
          <w:rFonts w:hint="eastAsia" w:ascii="方正仿宋_GBK" w:hAnsi="宋体" w:eastAsia="方正仿宋_GBK" w:cs="宋体"/>
          <w:sz w:val="32"/>
          <w:szCs w:val="32"/>
          <w:lang w:val="en-US" w:eastAsia="zh-CN" w:bidi="ar-SA"/>
        </w:rPr>
      </w:pPr>
      <w:r>
        <w:rPr>
          <w:rFonts w:hint="eastAsia" w:ascii="方正仿宋_GBK" w:eastAsia="方正仿宋_GBK"/>
          <w:b/>
          <w:sz w:val="32"/>
          <w:szCs w:val="32"/>
          <w:lang w:val="en-US" w:eastAsia="zh-CN"/>
        </w:rPr>
        <w:t>1.收入情况：</w:t>
      </w:r>
      <w:r>
        <w:rPr>
          <w:rFonts w:hint="eastAsia" w:ascii="方正仿宋_GBK" w:hAnsi="宋体" w:eastAsia="方正仿宋_GBK" w:cs="宋体"/>
          <w:sz w:val="32"/>
          <w:szCs w:val="32"/>
          <w:lang w:val="en-US" w:eastAsia="zh-CN" w:bidi="ar-SA"/>
        </w:rPr>
        <w:t>2020年度财政拨款收入336.43万元，较上年决算数增加33.76万元，增长11.15%，主要原因是本年项目支出增加招商引资及解决房屋租赁遗留问题等经费47.22万元，基本支出中人员经费减少与公用经费增加品迭后减少13.46万元。</w:t>
      </w:r>
    </w:p>
    <w:p>
      <w:pPr>
        <w:keepNext w:val="0"/>
        <w:keepLines w:val="0"/>
        <w:pageBreakBefore w:val="0"/>
        <w:kinsoku/>
        <w:wordWrap/>
        <w:overflowPunct/>
        <w:topLinePunct w:val="0"/>
        <w:autoSpaceDN/>
        <w:bidi w:val="0"/>
        <w:spacing w:line="560" w:lineRule="exact"/>
        <w:ind w:firstLine="640"/>
        <w:jc w:val="both"/>
        <w:textAlignment w:val="auto"/>
        <w:rPr>
          <w:rFonts w:hint="eastAsia" w:ascii="方正仿宋_GBK" w:hAnsi="宋体" w:eastAsia="方正仿宋_GBK" w:cs="宋体"/>
          <w:sz w:val="32"/>
          <w:szCs w:val="32"/>
          <w:lang w:val="en-US" w:eastAsia="zh-CN" w:bidi="ar-SA"/>
        </w:rPr>
      </w:pPr>
      <w:r>
        <w:rPr>
          <w:rStyle w:val="11"/>
          <w:rFonts w:hint="eastAsia" w:ascii="方正仿宋_GBK" w:hAnsi="Times New Roman" w:eastAsia="方正仿宋_GBK" w:cs="Times New Roman"/>
          <w:color w:val="auto"/>
          <w:sz w:val="32"/>
          <w:szCs w:val="32"/>
          <w:lang w:val="en-US" w:eastAsia="zh-CN"/>
        </w:rPr>
        <w:t>2.支出情况：</w:t>
      </w:r>
      <w:r>
        <w:rPr>
          <w:rFonts w:hint="eastAsia" w:ascii="方正仿宋_GBK" w:hAnsi="宋体" w:eastAsia="方正仿宋_GBK" w:cs="宋体"/>
          <w:sz w:val="32"/>
          <w:szCs w:val="32"/>
          <w:lang w:val="en-US" w:eastAsia="zh-CN" w:bidi="ar-SA"/>
        </w:rPr>
        <w:t>2020年度财政拨款支出336.43万元，较上年决算数增加33.76万元，增长11.15%，主要原因是本年项目支出增加招商引资及解决房屋租赁遗留问题等经费47.22万元，基本支出中人员经费减少与公用经费增加品迭后减少13.46万元。</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outlineLvl w:val="0"/>
        <w:rPr>
          <w:rStyle w:val="11"/>
        </w:rPr>
      </w:pPr>
      <w:r>
        <w:rPr>
          <w:rStyle w:val="11"/>
          <w:rFonts w:hint="eastAsia" w:ascii="方正仿宋_GBK" w:eastAsia="方正仿宋_GBK"/>
          <w:sz w:val="32"/>
          <w:szCs w:val="32"/>
        </w:rPr>
        <w:t>（三）一般公共预算财政拨款支出决算情况说明</w:t>
      </w:r>
    </w:p>
    <w:p>
      <w:pPr>
        <w:keepNext w:val="0"/>
        <w:keepLines w:val="0"/>
        <w:pageBreakBefore w:val="0"/>
        <w:kinsoku/>
        <w:wordWrap/>
        <w:overflowPunct/>
        <w:topLinePunct w:val="0"/>
        <w:autoSpaceDN/>
        <w:bidi w:val="0"/>
        <w:spacing w:line="560" w:lineRule="exact"/>
        <w:ind w:firstLine="640"/>
        <w:jc w:val="both"/>
        <w:textAlignment w:val="auto"/>
        <w:rPr>
          <w:rFonts w:hint="eastAsia" w:ascii="方正仿宋_GBK" w:hAnsi="宋体" w:eastAsia="方正仿宋_GBK" w:cs="宋体"/>
          <w:sz w:val="32"/>
          <w:szCs w:val="32"/>
          <w:lang w:val="en-US" w:eastAsia="zh-CN" w:bidi="ar-SA"/>
        </w:rPr>
      </w:pPr>
      <w:r>
        <w:rPr>
          <w:rFonts w:hint="eastAsia" w:ascii="方正仿宋_GBK" w:eastAsia="方正仿宋_GBK"/>
          <w:b/>
          <w:sz w:val="32"/>
          <w:szCs w:val="32"/>
        </w:rPr>
        <w:t>1.收入情况。</w:t>
      </w:r>
      <w:r>
        <w:rPr>
          <w:rFonts w:hint="eastAsia" w:ascii="方正仿宋_GBK" w:hAnsi="宋体" w:eastAsia="方正仿宋_GBK" w:cs="宋体"/>
          <w:sz w:val="32"/>
          <w:szCs w:val="32"/>
          <w:lang w:val="en-US" w:eastAsia="zh-CN" w:bidi="ar-SA"/>
        </w:rPr>
        <w:t>2020年度一般公共预算财政拨款收入336.43万元，较上年决算数增加37.34万元，增长12.48%，主要原因本年项目支出中增加招商引资及解决房屋租赁遗留问题等经费47.22万元，基本支出中人员经费减少与公用经费增加品迭后减少9.88万元。较年初预算数减少27.12万元，下降7.5%。主要原因是年初预算招商引资及房屋租赁遗留问题项目经费60万元，调整预算后实际收入47.22万元；年初预算基本支出经费303.55万元，调整预算后实际收入289.21万元。此外，年初财政拨款结转和结余0万元。</w:t>
      </w:r>
    </w:p>
    <w:p>
      <w:pPr>
        <w:keepNext w:val="0"/>
        <w:keepLines w:val="0"/>
        <w:pageBreakBefore w:val="0"/>
        <w:kinsoku/>
        <w:wordWrap/>
        <w:overflowPunct/>
        <w:topLinePunct w:val="0"/>
        <w:autoSpaceDN/>
        <w:bidi w:val="0"/>
        <w:spacing w:line="560" w:lineRule="exact"/>
        <w:ind w:firstLine="640"/>
        <w:jc w:val="both"/>
        <w:textAlignment w:val="auto"/>
        <w:rPr>
          <w:rFonts w:hint="eastAsia" w:ascii="方正仿宋_GBK" w:eastAsia="方正仿宋_GBK"/>
          <w:b w:val="0"/>
          <w:bCs/>
          <w:sz w:val="32"/>
          <w:szCs w:val="32"/>
        </w:rPr>
      </w:pPr>
      <w:r>
        <w:rPr>
          <w:rFonts w:hint="eastAsia" w:ascii="方正仿宋_GBK" w:hAnsi="宋体" w:eastAsia="方正仿宋_GBK" w:cs="宋体"/>
          <w:b/>
          <w:bCs/>
          <w:sz w:val="32"/>
          <w:szCs w:val="32"/>
          <w:lang w:val="en-US" w:eastAsia="zh-CN" w:bidi="ar-SA"/>
        </w:rPr>
        <w:t>2.支出情况。</w:t>
      </w:r>
      <w:r>
        <w:rPr>
          <w:rFonts w:hint="eastAsia" w:ascii="方正仿宋_GBK" w:hAnsi="宋体" w:eastAsia="方正仿宋_GBK" w:cs="宋体"/>
          <w:sz w:val="32"/>
          <w:szCs w:val="32"/>
          <w:lang w:val="en-US" w:eastAsia="zh-CN" w:bidi="ar-SA"/>
        </w:rPr>
        <w:t>2020年度一般公共预算财政拨款支出335.01万元，较上年决算数增加32.34万元，增长10.68%，主要原因是本年项目支出</w:t>
      </w:r>
      <w:r>
        <w:rPr>
          <w:rFonts w:hint="eastAsia" w:ascii="方正仿宋_GBK" w:eastAsia="方正仿宋_GBK"/>
          <w:b w:val="0"/>
          <w:bCs/>
          <w:sz w:val="32"/>
          <w:szCs w:val="32"/>
          <w:lang w:eastAsia="zh-CN"/>
        </w:rPr>
        <w:t>中增加</w:t>
      </w:r>
      <w:r>
        <w:rPr>
          <w:rFonts w:hint="eastAsia" w:ascii="方正仿宋_GBK" w:eastAsia="方正仿宋_GBK"/>
          <w:b w:val="0"/>
          <w:bCs/>
          <w:sz w:val="32"/>
          <w:szCs w:val="32"/>
        </w:rPr>
        <w:t>招商引资及</w:t>
      </w:r>
      <w:r>
        <w:rPr>
          <w:rFonts w:hint="eastAsia" w:ascii="方正仿宋_GBK" w:eastAsia="方正仿宋_GBK"/>
          <w:b w:val="0"/>
          <w:bCs/>
          <w:sz w:val="32"/>
          <w:szCs w:val="32"/>
          <w:lang w:eastAsia="zh-CN"/>
        </w:rPr>
        <w:t>解决</w:t>
      </w:r>
      <w:r>
        <w:rPr>
          <w:rFonts w:hint="eastAsia" w:ascii="方正仿宋_GBK" w:eastAsia="方正仿宋_GBK"/>
          <w:b w:val="0"/>
          <w:bCs/>
          <w:sz w:val="32"/>
          <w:szCs w:val="32"/>
        </w:rPr>
        <w:t>房屋租赁遗留问题</w:t>
      </w:r>
      <w:r>
        <w:rPr>
          <w:rFonts w:hint="eastAsia" w:ascii="方正仿宋_GBK" w:eastAsia="方正仿宋_GBK"/>
          <w:b w:val="0"/>
          <w:bCs/>
          <w:sz w:val="32"/>
          <w:szCs w:val="32"/>
          <w:lang w:eastAsia="zh-CN"/>
        </w:rPr>
        <w:t>等经费</w:t>
      </w:r>
      <w:r>
        <w:rPr>
          <w:rFonts w:hint="eastAsia" w:ascii="方正仿宋_GBK" w:eastAsia="方正仿宋_GBK"/>
          <w:b w:val="0"/>
          <w:bCs/>
          <w:sz w:val="32"/>
          <w:szCs w:val="32"/>
        </w:rPr>
        <w:t>47.22万元，</w:t>
      </w:r>
      <w:r>
        <w:rPr>
          <w:rFonts w:hint="eastAsia" w:ascii="方正仿宋_GBK" w:eastAsia="方正仿宋_GBK"/>
          <w:b w:val="0"/>
          <w:bCs/>
          <w:sz w:val="32"/>
          <w:szCs w:val="32"/>
          <w:lang w:eastAsia="zh-CN"/>
        </w:rPr>
        <w:t>由于</w:t>
      </w:r>
      <w:r>
        <w:rPr>
          <w:rFonts w:hint="eastAsia" w:ascii="方正仿宋_GBK" w:eastAsia="方正仿宋_GBK"/>
          <w:b w:val="0"/>
          <w:bCs/>
          <w:sz w:val="32"/>
          <w:szCs w:val="32"/>
        </w:rPr>
        <w:t>人员</w:t>
      </w:r>
      <w:r>
        <w:rPr>
          <w:rFonts w:hint="eastAsia" w:ascii="方正仿宋_GBK" w:eastAsia="方正仿宋_GBK"/>
          <w:b w:val="0"/>
          <w:bCs/>
          <w:sz w:val="32"/>
          <w:szCs w:val="32"/>
          <w:lang w:eastAsia="zh-CN"/>
        </w:rPr>
        <w:t>变动和厉行节约减少基本支出</w:t>
      </w:r>
      <w:r>
        <w:rPr>
          <w:rFonts w:hint="eastAsia" w:ascii="方正仿宋_GBK" w:eastAsia="方正仿宋_GBK"/>
          <w:b w:val="0"/>
          <w:bCs/>
          <w:sz w:val="32"/>
          <w:szCs w:val="32"/>
          <w:lang w:val="en-US" w:eastAsia="zh-CN"/>
        </w:rPr>
        <w:t>14.88万元</w:t>
      </w:r>
      <w:r>
        <w:rPr>
          <w:rFonts w:hint="eastAsia" w:ascii="方正仿宋_GBK" w:eastAsia="方正仿宋_GBK"/>
          <w:b w:val="0"/>
          <w:bCs/>
          <w:sz w:val="32"/>
          <w:szCs w:val="32"/>
        </w:rPr>
        <w:t>。较年初预算数减少28.54万元</w:t>
      </w:r>
      <w:r>
        <w:rPr>
          <w:rFonts w:hint="eastAsia" w:ascii="方正仿宋_GBK" w:eastAsia="方正仿宋_GBK"/>
          <w:b w:val="0"/>
          <w:bCs/>
          <w:sz w:val="32"/>
          <w:szCs w:val="32"/>
          <w:lang w:eastAsia="zh-CN"/>
        </w:rPr>
        <w:t>，</w:t>
      </w:r>
      <w:r>
        <w:rPr>
          <w:rFonts w:hint="eastAsia" w:ascii="方正仿宋_GBK" w:eastAsia="方正仿宋_GBK"/>
          <w:b w:val="0"/>
          <w:bCs/>
          <w:sz w:val="32"/>
          <w:szCs w:val="32"/>
        </w:rPr>
        <w:t>下降7.</w:t>
      </w:r>
      <w:r>
        <w:rPr>
          <w:rFonts w:hint="eastAsia" w:ascii="方正仿宋_GBK" w:eastAsia="方正仿宋_GBK"/>
          <w:b w:val="0"/>
          <w:bCs/>
          <w:sz w:val="32"/>
          <w:szCs w:val="32"/>
          <w:lang w:val="en-US" w:eastAsia="zh-CN"/>
        </w:rPr>
        <w:t>85</w:t>
      </w:r>
      <w:r>
        <w:rPr>
          <w:rFonts w:hint="eastAsia" w:ascii="方正仿宋_GBK" w:eastAsia="方正仿宋_GBK"/>
          <w:b w:val="0"/>
          <w:bCs/>
          <w:sz w:val="32"/>
          <w:szCs w:val="32"/>
        </w:rPr>
        <w:t>%。主要原因</w:t>
      </w:r>
      <w:r>
        <w:rPr>
          <w:rFonts w:hint="eastAsia" w:ascii="方正仿宋_GBK" w:eastAsia="方正仿宋_GBK"/>
          <w:b w:val="0"/>
          <w:bCs/>
          <w:sz w:val="32"/>
          <w:szCs w:val="32"/>
          <w:lang w:eastAsia="zh-CN"/>
        </w:rPr>
        <w:t>一</w:t>
      </w:r>
      <w:r>
        <w:rPr>
          <w:rFonts w:hint="eastAsia" w:ascii="方正仿宋_GBK" w:eastAsia="方正仿宋_GBK"/>
          <w:b w:val="0"/>
          <w:bCs/>
          <w:sz w:val="32"/>
          <w:szCs w:val="32"/>
        </w:rPr>
        <w:t>是</w:t>
      </w:r>
      <w:r>
        <w:rPr>
          <w:rFonts w:hint="eastAsia" w:ascii="方正仿宋_GBK" w:eastAsia="方正仿宋_GBK"/>
          <w:b w:val="0"/>
          <w:bCs/>
          <w:sz w:val="32"/>
          <w:szCs w:val="32"/>
          <w:lang w:eastAsia="zh-CN"/>
        </w:rPr>
        <w:t>受疫情影响，减少外出招商洽谈，</w:t>
      </w:r>
      <w:r>
        <w:rPr>
          <w:rFonts w:hint="eastAsia" w:ascii="方正仿宋_GBK" w:eastAsia="方正仿宋_GBK"/>
          <w:b w:val="0"/>
          <w:bCs/>
          <w:sz w:val="32"/>
          <w:szCs w:val="32"/>
        </w:rPr>
        <w:t>年初预算招商引资项目经费</w:t>
      </w:r>
      <w:r>
        <w:rPr>
          <w:rFonts w:hint="eastAsia" w:ascii="方正仿宋_GBK" w:eastAsia="方正仿宋_GBK"/>
          <w:b w:val="0"/>
          <w:bCs/>
          <w:sz w:val="32"/>
          <w:szCs w:val="32"/>
          <w:lang w:val="en-US" w:eastAsia="zh-CN"/>
        </w:rPr>
        <w:t>47.78</w:t>
      </w:r>
      <w:r>
        <w:rPr>
          <w:rFonts w:hint="eastAsia" w:ascii="方正仿宋_GBK" w:eastAsia="方正仿宋_GBK"/>
          <w:b w:val="0"/>
          <w:bCs/>
          <w:sz w:val="32"/>
          <w:szCs w:val="32"/>
        </w:rPr>
        <w:t>万元，实际支付</w:t>
      </w:r>
      <w:r>
        <w:rPr>
          <w:rFonts w:hint="eastAsia" w:ascii="方正仿宋_GBK" w:eastAsia="方正仿宋_GBK"/>
          <w:b w:val="0"/>
          <w:bCs/>
          <w:sz w:val="32"/>
          <w:szCs w:val="32"/>
          <w:lang w:val="en-US" w:eastAsia="zh-CN"/>
        </w:rPr>
        <w:t>35</w:t>
      </w:r>
      <w:r>
        <w:rPr>
          <w:rFonts w:hint="eastAsia" w:ascii="方正仿宋_GBK" w:eastAsia="方正仿宋_GBK"/>
          <w:b w:val="0"/>
          <w:bCs/>
          <w:sz w:val="32"/>
          <w:szCs w:val="32"/>
        </w:rPr>
        <w:t>万元；</w:t>
      </w:r>
      <w:r>
        <w:rPr>
          <w:rFonts w:hint="eastAsia" w:ascii="方正仿宋_GBK" w:eastAsia="方正仿宋_GBK"/>
          <w:b w:val="0"/>
          <w:bCs/>
          <w:sz w:val="32"/>
          <w:szCs w:val="32"/>
          <w:lang w:eastAsia="zh-CN"/>
        </w:rPr>
        <w:t>二是</w:t>
      </w:r>
      <w:r>
        <w:rPr>
          <w:rFonts w:hint="eastAsia" w:ascii="方正仿宋_GBK" w:eastAsia="方正仿宋_GBK"/>
          <w:b w:val="0"/>
          <w:bCs/>
          <w:sz w:val="32"/>
          <w:szCs w:val="32"/>
        </w:rPr>
        <w:t>人员</w:t>
      </w:r>
      <w:r>
        <w:rPr>
          <w:rFonts w:hint="eastAsia" w:ascii="方正仿宋_GBK" w:eastAsia="方正仿宋_GBK"/>
          <w:b w:val="0"/>
          <w:bCs/>
          <w:sz w:val="32"/>
          <w:szCs w:val="32"/>
          <w:lang w:eastAsia="zh-CN"/>
        </w:rPr>
        <w:t>变动和厉行节约，</w:t>
      </w:r>
      <w:r>
        <w:rPr>
          <w:rFonts w:hint="eastAsia" w:ascii="方正仿宋_GBK" w:eastAsia="方正仿宋_GBK"/>
          <w:b w:val="0"/>
          <w:bCs/>
          <w:sz w:val="32"/>
          <w:szCs w:val="32"/>
        </w:rPr>
        <w:t>年初</w:t>
      </w:r>
      <w:r>
        <w:rPr>
          <w:rFonts w:hint="eastAsia" w:ascii="方正仿宋_GBK" w:eastAsia="方正仿宋_GBK"/>
          <w:b w:val="0"/>
          <w:bCs/>
          <w:sz w:val="32"/>
          <w:szCs w:val="32"/>
          <w:lang w:eastAsia="zh-CN"/>
        </w:rPr>
        <w:t>基本支出预算</w:t>
      </w:r>
      <w:r>
        <w:rPr>
          <w:rFonts w:hint="eastAsia" w:ascii="方正仿宋_GBK" w:eastAsia="方正仿宋_GBK"/>
          <w:b w:val="0"/>
          <w:bCs/>
          <w:sz w:val="32"/>
          <w:szCs w:val="32"/>
        </w:rPr>
        <w:t>303.55万元，实际支出287.79万元。</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eastAsia="方正仿宋_GBK"/>
          <w:b/>
          <w:sz w:val="32"/>
          <w:szCs w:val="32"/>
        </w:rPr>
        <w:t>3.结转结余情况。</w:t>
      </w:r>
      <w:r>
        <w:rPr>
          <w:rFonts w:hint="eastAsia" w:ascii="方正仿宋_GBK" w:hAnsi="宋体" w:eastAsia="方正仿宋_GBK" w:cs="宋体"/>
          <w:sz w:val="32"/>
          <w:szCs w:val="32"/>
          <w:lang w:val="en-US" w:eastAsia="zh-CN" w:bidi="ar-SA"/>
        </w:rPr>
        <w:t>2020年度年末一般公共预算财政拨款结转和结余1.42万元，较上年决算数增加1.42万元，增长100%，主要原因是上年度无年末结转和结余。</w:t>
      </w:r>
    </w:p>
    <w:p>
      <w:pPr>
        <w:pStyle w:val="8"/>
        <w:keepNext w:val="0"/>
        <w:keepLines w:val="0"/>
        <w:pageBreakBefore w:val="0"/>
        <w:widowControl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eastAsia="方正仿宋_GBK"/>
          <w:b/>
          <w:sz w:val="32"/>
          <w:szCs w:val="32"/>
        </w:rPr>
        <w:t>4.比较情况。</w:t>
      </w:r>
      <w:r>
        <w:rPr>
          <w:rFonts w:hint="eastAsia" w:ascii="方正仿宋_GBK" w:hAnsi="宋体" w:eastAsia="方正仿宋_GBK" w:cs="宋体"/>
          <w:sz w:val="32"/>
          <w:szCs w:val="32"/>
          <w:lang w:val="en-US" w:eastAsia="zh-CN" w:bidi="ar-SA"/>
        </w:rPr>
        <w:t>本部门2020年度一般公共预算财政拨款支出主要用于以下几个方面：</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方正仿宋_GBK" w:hAnsi="宋体" w:eastAsia="方正仿宋_GBK" w:cs="宋体"/>
          <w:sz w:val="32"/>
          <w:szCs w:val="32"/>
          <w:lang w:val="en-US" w:eastAsia="zh-CN" w:bidi="ar-SA"/>
        </w:rPr>
      </w:pPr>
      <w:r>
        <w:rPr>
          <w:rFonts w:hint="eastAsia" w:ascii="仿宋_GB2312" w:hAnsi="仿宋" w:eastAsia="仿宋_GB2312"/>
          <w:sz w:val="32"/>
          <w:szCs w:val="32"/>
        </w:rPr>
        <w:t>（1）</w:t>
      </w:r>
      <w:r>
        <w:rPr>
          <w:rFonts w:hint="eastAsia" w:ascii="方正仿宋_GBK" w:hAnsi="宋体" w:eastAsia="方正仿宋_GBK" w:cs="宋体"/>
          <w:sz w:val="32"/>
          <w:szCs w:val="32"/>
          <w:lang w:val="en-US" w:eastAsia="zh-CN" w:bidi="ar-SA"/>
        </w:rPr>
        <w:t>社会保障与就业支出21.76万元，占6.5%，较年初预算数增加0万元，增长0%。</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hAnsi="宋体" w:eastAsia="方正仿宋_GBK" w:cs="宋体"/>
          <w:sz w:val="32"/>
          <w:szCs w:val="32"/>
          <w:lang w:val="en-US" w:eastAsia="zh-CN" w:bidi="ar-SA"/>
        </w:rPr>
        <w:t>（2）卫生健康支出11.23万元，占3.35%，较年初预算数增加0万元，增长0%。</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hAnsi="宋体" w:eastAsia="方正仿宋_GBK" w:cs="宋体"/>
          <w:sz w:val="32"/>
          <w:szCs w:val="32"/>
          <w:lang w:val="en-US" w:eastAsia="zh-CN" w:bidi="ar-SA"/>
        </w:rPr>
        <w:t>（3）资源勘探信息等支出291.36万元，占86.97%，较年初预算数减少28.54万元，下降8.92%，主要原因是本单位节约经费开支，年底公用经费略有剩余，财政收回。</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hAnsi="宋体" w:eastAsia="方正仿宋_GBK" w:cs="宋体"/>
          <w:sz w:val="32"/>
          <w:szCs w:val="32"/>
          <w:lang w:val="en-US" w:eastAsia="zh-CN" w:bidi="ar-SA"/>
        </w:rPr>
        <w:t>（4）住房保障支出10.66万元，占3.18%，较年初预算数增加0万元，增长0%。</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outlineLvl w:val="0"/>
        <w:rPr>
          <w:rFonts w:ascii="方正仿宋_GBK" w:eastAsia="方正仿宋_GBK"/>
          <w:sz w:val="32"/>
          <w:szCs w:val="32"/>
        </w:rPr>
      </w:pPr>
      <w:r>
        <w:rPr>
          <w:rStyle w:val="11"/>
          <w:rFonts w:hint="eastAsia" w:ascii="方正仿宋_GBK" w:eastAsia="方正仿宋_GBK"/>
          <w:sz w:val="32"/>
          <w:szCs w:val="32"/>
        </w:rPr>
        <w:t>（四）一般公共预算财政拨款基本支出决算情况说明</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hAnsi="宋体" w:eastAsia="方正仿宋_GBK" w:cs="宋体"/>
          <w:sz w:val="32"/>
          <w:szCs w:val="32"/>
          <w:lang w:val="en-US" w:eastAsia="zh-CN" w:bidi="ar-SA"/>
        </w:rPr>
        <w:t>2020年度一般公共财政拨款基本支出287.79万元。其中：人员经费207.7万元，较上年决算数减少30.1万元，下降12.66%，主要原因是上年补发2016年-2018年购房补贴。人员经费用途主要包括：基本工资、津贴补贴、绩效工资、机关事业单位基本养老保险费、职业年金缴费、职工基本医疗保险缴费等。公用经费80.09万元，较上年决算数增加15.22万元，增长23.46%，主要原因是加强业务学习，严格人员和公用经费经济分类科目的账务处理。公用经费用途主要包括：办公费、印刷费、咨询费、培训费、水电费、邮电费、物业管理费、其他商品和服务支出等。</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rPr>
          <w:rStyle w:val="11"/>
        </w:rPr>
      </w:pPr>
      <w:r>
        <w:rPr>
          <w:rStyle w:val="11"/>
          <w:rFonts w:hint="eastAsia" w:ascii="方正仿宋_GBK" w:eastAsia="方正仿宋_GBK"/>
          <w:sz w:val="32"/>
          <w:szCs w:val="32"/>
        </w:rPr>
        <w:t>（五）政府性基金预算收支决算情况说明</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本部门2020年度无政府性基金预算财政拨款收支</w:t>
      </w:r>
      <w:r>
        <w:rPr>
          <w:rFonts w:hint="eastAsia" w:ascii="仿宋_GB2312" w:hAnsi="仿宋" w:eastAsia="仿宋_GB2312"/>
          <w:sz w:val="32"/>
          <w:szCs w:val="32"/>
          <w:lang w:eastAsia="zh-CN"/>
        </w:rPr>
        <w:t>。</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rPr>
          <w:rStyle w:val="11"/>
        </w:rPr>
      </w:pPr>
      <w:r>
        <w:rPr>
          <w:rStyle w:val="11"/>
          <w:rFonts w:hint="eastAsia" w:ascii="方正仿宋_GBK" w:eastAsia="方正仿宋_GBK"/>
          <w:sz w:val="32"/>
          <w:szCs w:val="32"/>
        </w:rPr>
        <w:t>（六）国有资本经营预算财政拨款支出决算情况说明</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本部门2020年度无国有资本经营预算财政拨款支出。</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outlineLvl w:val="0"/>
        <w:rPr>
          <w:rStyle w:val="11"/>
          <w:rFonts w:ascii="方正黑体_GBK" w:eastAsia="方正黑体_GBK"/>
        </w:rPr>
      </w:pPr>
      <w:r>
        <w:rPr>
          <w:rStyle w:val="11"/>
          <w:rFonts w:hint="eastAsia" w:ascii="方正黑体_GBK" w:eastAsia="方正黑体_GBK"/>
          <w:b w:val="0"/>
          <w:sz w:val="32"/>
          <w:szCs w:val="32"/>
        </w:rPr>
        <w:t>三、“三公”经费情况说明</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outlineLvl w:val="1"/>
        <w:rPr>
          <w:rFonts w:ascii="方正仿宋_GBK" w:eastAsia="方正仿宋_GBK"/>
          <w:sz w:val="32"/>
          <w:szCs w:val="32"/>
        </w:rPr>
      </w:pPr>
      <w:r>
        <w:rPr>
          <w:rStyle w:val="11"/>
          <w:rFonts w:hint="eastAsia" w:ascii="方正仿宋_GBK" w:eastAsia="方正仿宋_GBK"/>
          <w:sz w:val="32"/>
          <w:szCs w:val="32"/>
        </w:rPr>
        <w:t>（一）“三公”经费支出总体情况说明。</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hAnsi="宋体" w:eastAsia="方正仿宋_GBK" w:cs="宋体"/>
          <w:sz w:val="32"/>
          <w:szCs w:val="32"/>
          <w:lang w:val="en-US" w:eastAsia="zh-CN" w:bidi="ar-SA"/>
        </w:rPr>
        <w:t>2020年度“三公”经费支出共计10.31万元，较年初预算数减少0.49万元，下降4.54%，主要原因是认真贯彻落实中央八项规定精神，按照只减不增的要求从严控制“三公”经费开支。较上年支出数增加1.97万元，增长23.62%，主要原因是公务用车老旧，公务用车运行维护费比上年增加0.69万元；公务接待费比上年增加1.28万元，主要原因是智博会期间本单位负责对口接待国家工信部等合作单位，公务接待略有增加。</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outlineLvl w:val="1"/>
        <w:rPr>
          <w:rFonts w:ascii="方正仿宋_GBK" w:eastAsia="方正仿宋_GBK"/>
          <w:sz w:val="32"/>
          <w:szCs w:val="32"/>
        </w:rPr>
      </w:pPr>
      <w:r>
        <w:rPr>
          <w:rStyle w:val="11"/>
          <w:rFonts w:hint="eastAsia" w:ascii="方正仿宋_GBK" w:eastAsia="方正仿宋_GBK"/>
          <w:sz w:val="32"/>
          <w:szCs w:val="32"/>
        </w:rPr>
        <w:t>（二）“三公”经费分项支出情况。</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hAnsi="宋体" w:eastAsia="方正仿宋_GBK" w:cs="宋体"/>
          <w:sz w:val="32"/>
          <w:szCs w:val="32"/>
          <w:lang w:val="en-US" w:eastAsia="zh-CN" w:bidi="ar-SA"/>
        </w:rPr>
        <w:t>2020年度本部门因公出国（境）费用0万元，费用支出较年初预算数增加0万元，增长0%。与上年持平，本单位2020年度未发生因公出国（境）支出。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hAnsi="宋体" w:eastAsia="方正仿宋_GBK" w:cs="宋体"/>
          <w:sz w:val="32"/>
          <w:szCs w:val="32"/>
          <w:lang w:val="en-US" w:eastAsia="zh-CN" w:bidi="ar-SA"/>
        </w:rPr>
        <w:t>公务车购置费0万元，费用支出较年初预算数增加0万元，增长0%。与上年持平，本单位2020年度未发生公务车购置支出。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hAnsi="宋体" w:eastAsia="方正仿宋_GBK" w:cs="宋体"/>
          <w:sz w:val="32"/>
          <w:szCs w:val="32"/>
          <w:lang w:val="en-US" w:eastAsia="zh-CN" w:bidi="ar-SA"/>
        </w:rPr>
        <w:t>公务车运行维护费5.53万元，主要用于保障单位公务活动车辆的燃料费、维修费、过路停车费、保险费等。费用支出较年初预算数减少0.27万元，下降4.66%，主要原因是加强公务车辆管理，合理安排用车，定点维修，节约维修费用。较上年支出数增加0.69万元，增长14.26%，主要原因是公务用车老旧，公务用车运行维护费逐年增加。</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hAnsi="宋体" w:eastAsia="方正仿宋_GBK" w:cs="宋体"/>
          <w:sz w:val="32"/>
          <w:szCs w:val="32"/>
          <w:lang w:val="en-US" w:eastAsia="zh-CN" w:bidi="ar-SA"/>
        </w:rPr>
        <w:t>公务接待费4.78万元，主要用于接待市区级相关部门、企业到我区学习调研、招商项目洽谈等。费用支出较年初预算数减少0.22万元，下降4.4%，主要原因是认真贯彻落实中央八项规定精神和厉行节约要求，按照只减不增的要求，从源头严格控制公务接待支出。较上年支出数增加1.28万元，增长36.57%，主要原因是智博会期间本单位负责对口接待国家工信部等合作单位，公务接待费比上年略有增加。</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outlineLvl w:val="1"/>
        <w:rPr>
          <w:rFonts w:ascii="方正仿宋_GBK" w:eastAsia="方正仿宋_GBK"/>
          <w:sz w:val="32"/>
          <w:szCs w:val="32"/>
        </w:rPr>
      </w:pPr>
      <w:r>
        <w:rPr>
          <w:rStyle w:val="11"/>
          <w:rFonts w:hint="eastAsia" w:ascii="方正仿宋_GBK" w:eastAsia="方正仿宋_GBK"/>
          <w:sz w:val="32"/>
          <w:szCs w:val="32"/>
        </w:rPr>
        <w:t>（三）“三公”经费实物量情况。</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hAnsi="宋体" w:eastAsia="方正仿宋_GBK" w:cs="宋体"/>
          <w:sz w:val="32"/>
          <w:szCs w:val="32"/>
          <w:lang w:val="en-US" w:eastAsia="zh-CN" w:bidi="ar-SA"/>
        </w:rPr>
        <w:t>2020年度本部门因公出国（境）共计0个团组，0人；公务用车购置0辆，公务车保有量为1辆；国内公务接待26批次326人，其中：国内外事接待0批次，0人；国（境）外公务接待0批次，0人。2020年本部门人均接待146.62元，车均购置费0万元，车均维护费5.53</w:t>
      </w:r>
      <w:bookmarkStart w:id="0" w:name="_GoBack"/>
      <w:bookmarkEnd w:id="0"/>
      <w:r>
        <w:rPr>
          <w:rFonts w:hint="eastAsia" w:ascii="方正仿宋_GBK" w:hAnsi="宋体" w:eastAsia="方正仿宋_GBK" w:cs="宋体"/>
          <w:sz w:val="32"/>
          <w:szCs w:val="32"/>
          <w:lang w:val="en-US" w:eastAsia="zh-CN" w:bidi="ar-SA"/>
        </w:rPr>
        <w:t>万元。</w:t>
      </w:r>
    </w:p>
    <w:p>
      <w:pPr>
        <w:pStyle w:val="8"/>
        <w:shd w:val="clear" w:color="auto" w:fill="FFFFFF"/>
        <w:spacing w:before="0" w:beforeAutospacing="0" w:after="0" w:afterAutospacing="0" w:line="560" w:lineRule="exact"/>
        <w:ind w:firstLine="640" w:firstLineChars="200"/>
        <w:jc w:val="both"/>
        <w:outlineLvl w:val="0"/>
        <w:rPr>
          <w:rStyle w:val="11"/>
          <w:rFonts w:hint="eastAsia" w:ascii="方正黑体_GBK" w:hAnsi="Times New Roman" w:eastAsia="方正黑体_GBK" w:cs="Times New Roman"/>
          <w:b w:val="0"/>
          <w:sz w:val="32"/>
          <w:szCs w:val="32"/>
        </w:rPr>
      </w:pPr>
      <w:r>
        <w:rPr>
          <w:rStyle w:val="11"/>
          <w:rFonts w:hint="eastAsia" w:ascii="方正黑体_GBK" w:hAnsi="Times New Roman" w:eastAsia="方正黑体_GBK" w:cs="Times New Roman"/>
          <w:b w:val="0"/>
          <w:sz w:val="32"/>
          <w:szCs w:val="32"/>
        </w:rPr>
        <w:t>四、其他需要说明的事项</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rPr>
          <w:rFonts w:hint="eastAsia" w:ascii="方正仿宋_GBK" w:eastAsia="方正仿宋_GBK"/>
          <w:b/>
          <w:bCs w:val="0"/>
          <w:sz w:val="32"/>
          <w:szCs w:val="32"/>
        </w:rPr>
      </w:pPr>
      <w:r>
        <w:rPr>
          <w:rFonts w:hint="eastAsia" w:ascii="方正仿宋_GBK" w:eastAsia="方正仿宋_GBK"/>
          <w:b/>
          <w:bCs w:val="0"/>
          <w:sz w:val="32"/>
          <w:szCs w:val="32"/>
        </w:rPr>
        <w:t>（一）机关运行经费情况说明。</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hAnsi="宋体" w:eastAsia="方正仿宋_GBK" w:cs="宋体"/>
          <w:sz w:val="32"/>
          <w:szCs w:val="32"/>
          <w:lang w:val="en-US" w:eastAsia="zh-CN" w:bidi="ar-SA"/>
        </w:rPr>
        <w:t>按照部门决算列报口径，我单位不在机关运行经费统计范围之内。</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eastAsia="方正仿宋_GBK"/>
          <w:b/>
          <w:bCs w:val="0"/>
          <w:sz w:val="32"/>
          <w:szCs w:val="32"/>
        </w:rPr>
        <w:t>（二）国有资产占用情况说明。</w:t>
      </w:r>
      <w:r>
        <w:rPr>
          <w:rFonts w:hint="eastAsia" w:ascii="方正仿宋_GBK" w:hAnsi="宋体" w:eastAsia="方正仿宋_GBK" w:cs="宋体"/>
          <w:sz w:val="32"/>
          <w:szCs w:val="32"/>
          <w:lang w:val="en-US" w:eastAsia="zh-CN" w:bidi="ar-SA"/>
        </w:rPr>
        <w:t>截至2020年12月31日，本部门共有车辆1辆，其中，副部（省）级及以上领导用车0辆、主要领导干部用车0辆、机要通信用车1辆、应急保障用车0辆、执法执勤用车0辆，特种专业技术用车0辆，离退休干部用车0辆，其他用车0辆，单价50万元（含）以上通用设备0台（套），单价100万元（含）以上专用设备0台（套）。</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rPr>
          <w:rStyle w:val="11"/>
          <w:rFonts w:ascii="方正仿宋_GBK" w:eastAsia="方正仿宋_GBK"/>
          <w:sz w:val="32"/>
          <w:szCs w:val="32"/>
        </w:rPr>
      </w:pPr>
      <w:r>
        <w:rPr>
          <w:rStyle w:val="11"/>
          <w:rFonts w:hint="eastAsia" w:ascii="方正仿宋_GBK" w:eastAsia="方正仿宋_GBK"/>
          <w:sz w:val="32"/>
          <w:szCs w:val="32"/>
        </w:rPr>
        <w:t>（三）政府采购支出情况说明。</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hAnsi="宋体" w:eastAsia="方正仿宋_GBK" w:cs="宋体"/>
          <w:sz w:val="32"/>
          <w:szCs w:val="32"/>
          <w:lang w:val="en-US" w:eastAsia="zh-CN" w:bidi="ar-SA"/>
        </w:rPr>
        <w:t>2020年度我单位未发生政府采购事项，无相关经费支出。</w:t>
      </w:r>
    </w:p>
    <w:p>
      <w:pPr>
        <w:pStyle w:val="8"/>
        <w:shd w:val="clear" w:color="auto" w:fill="FFFFFF"/>
        <w:spacing w:before="0" w:beforeAutospacing="0" w:after="0" w:afterAutospacing="0" w:line="560" w:lineRule="exact"/>
        <w:ind w:firstLine="643" w:firstLineChars="200"/>
        <w:jc w:val="both"/>
        <w:outlineLvl w:val="0"/>
        <w:rPr>
          <w:rFonts w:ascii="方正仿宋_GBK" w:eastAsia="方正仿宋_GBK"/>
          <w:shd w:val="clear" w:color="auto" w:fill="FFFF00"/>
        </w:rPr>
      </w:pPr>
      <w:r>
        <w:rPr>
          <w:rStyle w:val="11"/>
          <w:rFonts w:hint="eastAsia" w:ascii="方正黑体_GBK" w:eastAsia="方正黑体_GBK"/>
          <w:sz w:val="32"/>
          <w:szCs w:val="32"/>
        </w:rPr>
        <w:t>五、</w:t>
      </w:r>
      <w:r>
        <w:rPr>
          <w:rStyle w:val="11"/>
          <w:rFonts w:hint="eastAsia" w:ascii="方正黑体_GBK" w:hAnsi="Times New Roman" w:eastAsia="方正黑体_GBK" w:cs="Times New Roman"/>
          <w:b w:val="0"/>
          <w:sz w:val="32"/>
          <w:szCs w:val="32"/>
        </w:rPr>
        <w:t>预算</w:t>
      </w:r>
      <w:r>
        <w:rPr>
          <w:rStyle w:val="11"/>
          <w:rFonts w:hint="eastAsia" w:ascii="方正黑体_GBK" w:eastAsia="方正黑体_GBK"/>
          <w:sz w:val="32"/>
          <w:szCs w:val="32"/>
        </w:rPr>
        <w:t>绩效管理情况说明</w:t>
      </w:r>
    </w:p>
    <w:p>
      <w:pPr>
        <w:pStyle w:val="15"/>
        <w:keepNext w:val="0"/>
        <w:keepLines w:val="0"/>
        <w:pageBreakBefore w:val="0"/>
        <w:tabs>
          <w:tab w:val="center" w:pos="4153"/>
          <w:tab w:val="left" w:pos="7275"/>
        </w:tabs>
        <w:kinsoku/>
        <w:wordWrap/>
        <w:overflowPunct/>
        <w:topLinePunct w:val="0"/>
        <w:autoSpaceDN/>
        <w:bidi w:val="0"/>
        <w:spacing w:line="560" w:lineRule="exact"/>
        <w:ind w:firstLine="643"/>
        <w:jc w:val="both"/>
        <w:textAlignment w:val="auto"/>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（一）预算绩效管理工作开展情况</w:t>
      </w:r>
    </w:p>
    <w:p>
      <w:pPr>
        <w:pStyle w:val="8"/>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方正仿宋_GBK" w:hAnsi="宋体" w:eastAsia="方正仿宋_GBK" w:cs="宋体"/>
          <w:sz w:val="32"/>
          <w:szCs w:val="32"/>
          <w:lang w:val="en-US" w:eastAsia="zh-CN" w:bidi="ar-SA"/>
        </w:rPr>
      </w:pPr>
      <w:r>
        <w:rPr>
          <w:rFonts w:hint="eastAsia" w:ascii="方正仿宋_GBK" w:hAnsi="宋体" w:eastAsia="方正仿宋_GBK" w:cs="宋体"/>
          <w:sz w:val="32"/>
          <w:szCs w:val="32"/>
          <w:lang w:val="en-US" w:eastAsia="zh-CN" w:bidi="ar-SA"/>
        </w:rPr>
        <w:t>根据预算绩效管理要求，本单位对2个项目开展了绩效自评，其中，以填报目标自评表形式开展自评2项，涉及资金47.22万元；从评价情况来看，项目资金执行率100%，做到专项专用，未发现虚列（套取）、截留、挤占、挪用、超标准开支的情况。绩效目标完成情况总体较好，综合绩效自评评价得分均在90分以上，绩效等级为“优”。</w:t>
      </w:r>
    </w:p>
    <w:p>
      <w:pPr>
        <w:pStyle w:val="15"/>
        <w:tabs>
          <w:tab w:val="center" w:pos="4153"/>
          <w:tab w:val="left" w:pos="7275"/>
        </w:tabs>
        <w:spacing w:line="560" w:lineRule="exact"/>
        <w:ind w:firstLine="643"/>
        <w:jc w:val="both"/>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（二）绩效自评结果</w:t>
      </w:r>
    </w:p>
    <w:p>
      <w:pPr>
        <w:pStyle w:val="15"/>
        <w:tabs>
          <w:tab w:val="center" w:pos="4153"/>
          <w:tab w:val="left" w:pos="7275"/>
        </w:tabs>
        <w:spacing w:line="560" w:lineRule="exact"/>
        <w:ind w:firstLine="643"/>
        <w:jc w:val="both"/>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1.绩效自评表</w:t>
      </w:r>
    </w:p>
    <w:tbl>
      <w:tblPr>
        <w:tblStyle w:val="9"/>
        <w:tblW w:w="8557" w:type="dxa"/>
        <w:tblInd w:w="108" w:type="dxa"/>
        <w:tblLayout w:type="fixed"/>
        <w:tblCellMar>
          <w:top w:w="0" w:type="dxa"/>
          <w:left w:w="108" w:type="dxa"/>
          <w:bottom w:w="0" w:type="dxa"/>
          <w:right w:w="108" w:type="dxa"/>
        </w:tblCellMar>
      </w:tblPr>
      <w:tblGrid>
        <w:gridCol w:w="788"/>
        <w:gridCol w:w="1034"/>
        <w:gridCol w:w="431"/>
        <w:gridCol w:w="620"/>
        <w:gridCol w:w="1094"/>
        <w:gridCol w:w="553"/>
        <w:gridCol w:w="1083"/>
        <w:gridCol w:w="615"/>
        <w:gridCol w:w="840"/>
        <w:gridCol w:w="720"/>
        <w:gridCol w:w="779"/>
      </w:tblGrid>
      <w:tr>
        <w:tblPrEx>
          <w:tblCellMar>
            <w:top w:w="0" w:type="dxa"/>
            <w:left w:w="108" w:type="dxa"/>
            <w:bottom w:w="0" w:type="dxa"/>
            <w:right w:w="108" w:type="dxa"/>
          </w:tblCellMar>
        </w:tblPrEx>
        <w:trPr>
          <w:trHeight w:val="601" w:hRule="atLeast"/>
        </w:trPr>
        <w:tc>
          <w:tcPr>
            <w:tcW w:w="8557" w:type="dxa"/>
            <w:gridSpan w:val="11"/>
            <w:tcBorders>
              <w:top w:val="nil"/>
              <w:left w:val="nil"/>
              <w:bottom w:val="nil"/>
              <w:right w:val="nil"/>
            </w:tcBorders>
            <w:shd w:val="clear" w:color="auto" w:fill="auto"/>
            <w:vAlign w:val="center"/>
          </w:tcPr>
          <w:p>
            <w:pPr>
              <w:autoSpaceDN w:val="0"/>
              <w:jc w:val="center"/>
              <w:rPr>
                <w:rFonts w:ascii="方正小标宋_GBK" w:hAnsi="Calibri" w:eastAsia="方正小标宋_GBK"/>
                <w:color w:val="000000"/>
                <w:sz w:val="36"/>
                <w:szCs w:val="36"/>
              </w:rPr>
            </w:pPr>
          </w:p>
          <w:p>
            <w:pPr>
              <w:autoSpaceDN w:val="0"/>
              <w:jc w:val="center"/>
              <w:rPr>
                <w:rFonts w:ascii="方正小标宋_GBK" w:hAnsi="Calibri" w:eastAsia="方正小标宋_GBK"/>
                <w:color w:val="000000"/>
                <w:sz w:val="36"/>
                <w:szCs w:val="36"/>
              </w:rPr>
            </w:pPr>
            <w:r>
              <w:rPr>
                <w:rFonts w:hint="eastAsia" w:ascii="方正小标宋_GBK" w:eastAsia="方正小标宋_GBK"/>
                <w:color w:val="000000"/>
                <w:sz w:val="36"/>
                <w:szCs w:val="36"/>
              </w:rPr>
              <w:t>一级绩效自评表</w:t>
            </w:r>
          </w:p>
        </w:tc>
      </w:tr>
      <w:tr>
        <w:tblPrEx>
          <w:tblCellMar>
            <w:top w:w="0" w:type="dxa"/>
            <w:left w:w="108" w:type="dxa"/>
            <w:bottom w:w="0" w:type="dxa"/>
            <w:right w:w="108" w:type="dxa"/>
          </w:tblCellMar>
        </w:tblPrEx>
        <w:trPr>
          <w:trHeight w:val="981"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项目名称</w:t>
            </w:r>
          </w:p>
        </w:tc>
        <w:tc>
          <w:tcPr>
            <w:tcW w:w="1465" w:type="dxa"/>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房屋租赁遗留问题</w:t>
            </w:r>
          </w:p>
        </w:tc>
        <w:tc>
          <w:tcPr>
            <w:tcW w:w="620" w:type="dxa"/>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项目编码</w:t>
            </w:r>
          </w:p>
        </w:tc>
        <w:tc>
          <w:tcPr>
            <w:tcW w:w="1647" w:type="dxa"/>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ascii="方正仿宋_GBK" w:eastAsia="方正仿宋_GBK"/>
                <w:color w:val="000000"/>
                <w:sz w:val="18"/>
                <w:szCs w:val="18"/>
              </w:rPr>
              <w:t>2020B1031</w:t>
            </w:r>
          </w:p>
        </w:tc>
        <w:tc>
          <w:tcPr>
            <w:tcW w:w="1083" w:type="dxa"/>
            <w:tcBorders>
              <w:top w:val="single" w:color="auto" w:sz="4" w:space="0"/>
              <w:left w:val="nil"/>
              <w:bottom w:val="single" w:color="auto" w:sz="4" w:space="0"/>
              <w:right w:val="single" w:color="auto" w:sz="4" w:space="0"/>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rPr>
              <w:t>自评总分</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（分）</w:t>
            </w:r>
          </w:p>
        </w:tc>
        <w:tc>
          <w:tcPr>
            <w:tcW w:w="2954" w:type="dxa"/>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r>
      <w:tr>
        <w:tblPrEx>
          <w:tblCellMar>
            <w:top w:w="0" w:type="dxa"/>
            <w:left w:w="108" w:type="dxa"/>
            <w:bottom w:w="0" w:type="dxa"/>
            <w:right w:w="108" w:type="dxa"/>
          </w:tblCellMar>
        </w:tblPrEx>
        <w:trPr>
          <w:trHeight w:val="601"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主管部门</w:t>
            </w:r>
          </w:p>
        </w:tc>
        <w:tc>
          <w:tcPr>
            <w:tcW w:w="14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重庆市南岸区微型企业发展办公室</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财政处室</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企业科</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rPr>
              <w:t>项目</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联系人</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向斌</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联系电话</w:t>
            </w:r>
          </w:p>
        </w:tc>
        <w:tc>
          <w:tcPr>
            <w:tcW w:w="14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62989435</w:t>
            </w:r>
          </w:p>
        </w:tc>
      </w:tr>
      <w:tr>
        <w:tblPrEx>
          <w:tblCellMar>
            <w:top w:w="0" w:type="dxa"/>
            <w:left w:w="108" w:type="dxa"/>
            <w:bottom w:w="0" w:type="dxa"/>
            <w:right w:w="108" w:type="dxa"/>
          </w:tblCellMar>
        </w:tblPrEx>
        <w:trPr>
          <w:cantSplit/>
          <w:trHeight w:val="601" w:hRule="atLeast"/>
        </w:trPr>
        <w:tc>
          <w:tcPr>
            <w:tcW w:w="7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项目资金（万元）</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p>
        </w:tc>
        <w:tc>
          <w:tcPr>
            <w:tcW w:w="10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年初预算数</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全年（调整）预算数</w:t>
            </w:r>
          </w:p>
        </w:tc>
        <w:tc>
          <w:tcPr>
            <w:tcW w:w="16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全年执行数</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rPr>
              <w:t>执行率</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rPr>
              <w:t>执行率</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权重</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rPr>
              <w:t>执行率得分</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（分）</w:t>
            </w:r>
          </w:p>
        </w:tc>
      </w:tr>
      <w:tr>
        <w:tblPrEx>
          <w:tblCellMar>
            <w:top w:w="0" w:type="dxa"/>
            <w:left w:w="108" w:type="dxa"/>
            <w:bottom w:w="0" w:type="dxa"/>
            <w:right w:w="108" w:type="dxa"/>
          </w:tblCellMar>
        </w:tblPrEx>
        <w:trPr>
          <w:cantSplit/>
          <w:trHeight w:val="601"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Calibri" w:eastAsia="方正仿宋_GBK"/>
                <w:color w:val="000000"/>
                <w:sz w:val="18"/>
                <w:szCs w:val="18"/>
              </w:rPr>
            </w:pPr>
          </w:p>
        </w:tc>
        <w:tc>
          <w:tcPr>
            <w:tcW w:w="1034" w:type="dxa"/>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年度总金额</w:t>
            </w:r>
          </w:p>
        </w:tc>
        <w:tc>
          <w:tcPr>
            <w:tcW w:w="10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12.22</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12.22</w:t>
            </w:r>
          </w:p>
        </w:tc>
        <w:tc>
          <w:tcPr>
            <w:tcW w:w="16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12.22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sz w:val="18"/>
                <w:szCs w:val="18"/>
              </w:rPr>
            </w:pPr>
            <w:r>
              <w:rPr>
                <w:rFonts w:hint="eastAsia" w:ascii="方正仿宋_GBK" w:eastAsia="方正仿宋_GBK"/>
                <w:sz w:val="18"/>
                <w:szCs w:val="18"/>
              </w:rPr>
              <w:t>10</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w:t>
            </w:r>
          </w:p>
        </w:tc>
      </w:tr>
      <w:tr>
        <w:tblPrEx>
          <w:tblCellMar>
            <w:top w:w="0" w:type="dxa"/>
            <w:left w:w="108" w:type="dxa"/>
            <w:bottom w:w="0" w:type="dxa"/>
            <w:right w:w="108" w:type="dxa"/>
          </w:tblCellMar>
        </w:tblPrEx>
        <w:trPr>
          <w:cantSplit/>
          <w:trHeight w:val="601" w:hRule="atLeast"/>
        </w:trPr>
        <w:tc>
          <w:tcPr>
            <w:tcW w:w="788"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Calibri" w:eastAsia="方正仿宋_GBK"/>
                <w:color w:val="000000"/>
                <w:sz w:val="18"/>
                <w:szCs w:val="18"/>
              </w:rPr>
            </w:pPr>
          </w:p>
        </w:tc>
        <w:tc>
          <w:tcPr>
            <w:tcW w:w="1034" w:type="dxa"/>
            <w:tcBorders>
              <w:top w:val="nil"/>
              <w:left w:val="nil"/>
              <w:bottom w:val="single" w:color="auto" w:sz="4" w:space="0"/>
              <w:right w:val="nil"/>
            </w:tcBorders>
            <w:shd w:val="clear" w:color="auto" w:fill="auto"/>
            <w:vAlign w:val="center"/>
          </w:tcPr>
          <w:p>
            <w:pPr>
              <w:wordWrap/>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其中：区级支出</w:t>
            </w:r>
          </w:p>
        </w:tc>
        <w:tc>
          <w:tcPr>
            <w:tcW w:w="105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12.22</w:t>
            </w:r>
          </w:p>
        </w:tc>
        <w:tc>
          <w:tcPr>
            <w:tcW w:w="1647"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12.22</w:t>
            </w:r>
          </w:p>
        </w:tc>
        <w:tc>
          <w:tcPr>
            <w:tcW w:w="1698"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12.22</w:t>
            </w:r>
          </w:p>
        </w:tc>
        <w:tc>
          <w:tcPr>
            <w:tcW w:w="840" w:type="dxa"/>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720" w:type="dxa"/>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w:t>
            </w:r>
          </w:p>
        </w:tc>
        <w:tc>
          <w:tcPr>
            <w:tcW w:w="779" w:type="dxa"/>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w:t>
            </w:r>
          </w:p>
        </w:tc>
      </w:tr>
      <w:tr>
        <w:tblPrEx>
          <w:tblCellMar>
            <w:top w:w="0" w:type="dxa"/>
            <w:left w:w="108" w:type="dxa"/>
            <w:bottom w:w="0" w:type="dxa"/>
            <w:right w:w="108" w:type="dxa"/>
          </w:tblCellMar>
        </w:tblPrEx>
        <w:trPr>
          <w:cantSplit/>
          <w:trHeight w:val="601" w:hRule="atLeast"/>
        </w:trPr>
        <w:tc>
          <w:tcPr>
            <w:tcW w:w="7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当年绩效目标</w:t>
            </w:r>
          </w:p>
        </w:tc>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年初绩效目标</w:t>
            </w:r>
          </w:p>
        </w:tc>
        <w:tc>
          <w:tcPr>
            <w:tcW w:w="3345"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全年（调整）绩效目标</w:t>
            </w:r>
          </w:p>
        </w:tc>
        <w:tc>
          <w:tcPr>
            <w:tcW w:w="2339" w:type="dxa"/>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全年目标实际完成情况</w:t>
            </w:r>
          </w:p>
        </w:tc>
      </w:tr>
      <w:tr>
        <w:tblPrEx>
          <w:tblCellMar>
            <w:top w:w="0" w:type="dxa"/>
            <w:left w:w="108" w:type="dxa"/>
            <w:bottom w:w="0" w:type="dxa"/>
            <w:right w:w="108" w:type="dxa"/>
          </w:tblCellMar>
        </w:tblPrEx>
        <w:trPr>
          <w:cantSplit/>
          <w:trHeight w:val="73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Calibri" w:eastAsia="方正仿宋_GBK"/>
                <w:color w:val="000000"/>
                <w:sz w:val="18"/>
                <w:szCs w:val="18"/>
              </w:rPr>
            </w:pPr>
          </w:p>
        </w:tc>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及时支付房租费用，妥善处理遗留问题</w:t>
            </w:r>
          </w:p>
        </w:tc>
        <w:tc>
          <w:tcPr>
            <w:tcW w:w="3345"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及时支付房租费用，妥善处理遗留问题</w:t>
            </w:r>
          </w:p>
        </w:tc>
        <w:tc>
          <w:tcPr>
            <w:tcW w:w="2339" w:type="dxa"/>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2020年5月完成房租费用的支付</w:t>
            </w:r>
          </w:p>
        </w:tc>
      </w:tr>
      <w:tr>
        <w:tblPrEx>
          <w:tblCellMar>
            <w:top w:w="0" w:type="dxa"/>
            <w:left w:w="108" w:type="dxa"/>
            <w:bottom w:w="0" w:type="dxa"/>
            <w:right w:w="108" w:type="dxa"/>
          </w:tblCellMar>
        </w:tblPrEx>
        <w:trPr>
          <w:cantSplit/>
          <w:trHeight w:val="601" w:hRule="atLeast"/>
        </w:trPr>
        <w:tc>
          <w:tcPr>
            <w:tcW w:w="788"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绩效指标</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指标名称</w:t>
            </w:r>
          </w:p>
        </w:tc>
        <w:tc>
          <w:tcPr>
            <w:tcW w:w="431"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rPr>
              <w:t>计量</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单位</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rPr>
              <w:t>指标</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性质</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rPr>
              <w:t>年初</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指标值</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rPr>
              <w:t>调整</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指标值</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rPr>
              <w:t>全年</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完成值</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rPr>
              <w:t>得分系数</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rPr>
              <w:t>指标权重</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（分）</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rPr>
              <w:t>指标得分</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（分）</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rPr>
              <w:t>是否核心</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w:t>
            </w:r>
          </w:p>
        </w:tc>
      </w:tr>
      <w:tr>
        <w:tblPrEx>
          <w:tblCellMar>
            <w:top w:w="0" w:type="dxa"/>
            <w:left w:w="108" w:type="dxa"/>
            <w:bottom w:w="0" w:type="dxa"/>
            <w:right w:w="108" w:type="dxa"/>
          </w:tblCellMar>
        </w:tblPrEx>
        <w:trPr>
          <w:cantSplit/>
          <w:trHeight w:val="9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Calibri" w:eastAsia="方正仿宋_GBK"/>
                <w:color w:val="000000"/>
                <w:sz w:val="18"/>
                <w:szCs w:val="18"/>
              </w:rPr>
            </w:pP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hAnsi="Calibri" w:eastAsia="方正仿宋_GBK"/>
                <w:color w:val="000000"/>
                <w:sz w:val="18"/>
                <w:szCs w:val="18"/>
                <w:lang w:eastAsia="zh-CN"/>
              </w:rPr>
            </w:pPr>
            <w:r>
              <w:rPr>
                <w:rFonts w:hint="eastAsia" w:ascii="方正仿宋_GBK" w:eastAsia="方正仿宋_GBK"/>
                <w:color w:val="000000"/>
                <w:sz w:val="18"/>
                <w:szCs w:val="18"/>
              </w:rPr>
              <w:t>租赁</w:t>
            </w:r>
            <w:r>
              <w:rPr>
                <w:rFonts w:hint="eastAsia" w:ascii="方正仿宋_GBK" w:eastAsia="方正仿宋_GBK"/>
                <w:color w:val="000000"/>
                <w:sz w:val="18"/>
                <w:szCs w:val="18"/>
                <w:lang w:eastAsia="zh-CN"/>
              </w:rPr>
              <w:t>面积</w:t>
            </w:r>
          </w:p>
        </w:tc>
        <w:tc>
          <w:tcPr>
            <w:tcW w:w="431"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hAnsi="Calibri" w:eastAsia="方正仿宋_GBK"/>
                <w:color w:val="000000"/>
                <w:sz w:val="18"/>
                <w:szCs w:val="18"/>
                <w:lang w:eastAsia="zh-CN"/>
              </w:rPr>
            </w:pPr>
            <w:r>
              <w:rPr>
                <w:rFonts w:hint="eastAsia" w:ascii="方正仿宋_GBK" w:eastAsia="方正仿宋_GBK"/>
                <w:color w:val="000000"/>
                <w:sz w:val="18"/>
                <w:szCs w:val="18"/>
                <w:lang w:eastAsia="zh-CN"/>
              </w:rPr>
              <w:t>㎡</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hAnsi="方正仿宋_GBK" w:eastAsia="方正仿宋_GBK" w:cs="方正仿宋_GBK"/>
                <w:color w:val="000000"/>
                <w:sz w:val="18"/>
                <w:szCs w:val="18"/>
                <w:lang w:eastAsia="zh-CN"/>
              </w:rPr>
            </w:pPr>
            <w:r>
              <w:rPr>
                <w:rFonts w:hint="eastAsia" w:ascii="方正仿宋_GBK" w:eastAsia="方正仿宋_GBK"/>
                <w:color w:val="000000"/>
                <w:sz w:val="18"/>
                <w:szCs w:val="18"/>
                <w:lang w:eastAsia="zh-CN"/>
              </w:rPr>
              <w:t>≤</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default" w:ascii="方正仿宋_GBK" w:hAnsi="Calibri" w:eastAsia="方正仿宋_GBK"/>
                <w:color w:val="000000"/>
                <w:sz w:val="18"/>
                <w:szCs w:val="18"/>
                <w:lang w:val="en-US" w:eastAsia="zh-CN"/>
              </w:rPr>
            </w:pPr>
            <w:r>
              <w:rPr>
                <w:rFonts w:hint="eastAsia" w:ascii="方正仿宋_GBK" w:hAnsi="Calibri" w:eastAsia="方正仿宋_GBK"/>
                <w:color w:val="000000"/>
                <w:sz w:val="18"/>
                <w:szCs w:val="18"/>
                <w:lang w:val="en-US" w:eastAsia="zh-CN"/>
              </w:rPr>
              <w:t>1300</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default" w:ascii="方正仿宋_GBK" w:hAnsi="Calibri" w:eastAsia="方正仿宋_GBK"/>
                <w:color w:val="000000"/>
                <w:sz w:val="18"/>
                <w:szCs w:val="18"/>
                <w:lang w:val="en-US" w:eastAsia="zh-CN"/>
              </w:rPr>
            </w:pPr>
            <w:r>
              <w:rPr>
                <w:rFonts w:hint="eastAsia" w:ascii="方正仿宋_GBK" w:hAnsi="Calibri" w:eastAsia="方正仿宋_GBK"/>
                <w:color w:val="000000"/>
                <w:sz w:val="18"/>
                <w:szCs w:val="18"/>
                <w:lang w:val="en-US" w:eastAsia="zh-CN"/>
              </w:rPr>
              <w:t>附楼200</w:t>
            </w:r>
            <w:r>
              <w:rPr>
                <w:rFonts w:hint="eastAsia" w:ascii="方正仿宋_GBK" w:hAnsi="Calibri" w:eastAsia="方正仿宋_GBK"/>
                <w:color w:val="000000"/>
                <w:sz w:val="18"/>
                <w:szCs w:val="18"/>
                <w:lang w:eastAsia="zh-CN"/>
              </w:rPr>
              <w:t>㎡；</w:t>
            </w:r>
            <w:r>
              <w:rPr>
                <w:rFonts w:hint="eastAsia" w:ascii="方正仿宋_GBK" w:hAnsi="Calibri" w:eastAsia="方正仿宋_GBK"/>
                <w:color w:val="000000"/>
                <w:sz w:val="18"/>
                <w:szCs w:val="18"/>
                <w:lang w:val="en-US" w:eastAsia="zh-CN"/>
              </w:rPr>
              <w:t>主楼1021.88㎡</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hAnsi="Calibri" w:eastAsia="方正仿宋_GBK"/>
                <w:color w:val="000000"/>
                <w:sz w:val="18"/>
                <w:szCs w:val="18"/>
                <w:lang w:eastAsia="zh-CN"/>
              </w:rPr>
            </w:pPr>
            <w:r>
              <w:rPr>
                <w:rFonts w:hint="eastAsia" w:ascii="方正仿宋_GBK" w:hAnsi="Calibri" w:eastAsia="方正仿宋_GBK"/>
                <w:color w:val="000000"/>
                <w:sz w:val="18"/>
                <w:szCs w:val="18"/>
                <w:lang w:eastAsia="zh-CN"/>
              </w:rPr>
              <w:t>是</w:t>
            </w:r>
          </w:p>
        </w:tc>
      </w:tr>
      <w:tr>
        <w:tblPrEx>
          <w:tblCellMar>
            <w:top w:w="0" w:type="dxa"/>
            <w:left w:w="108" w:type="dxa"/>
            <w:bottom w:w="0" w:type="dxa"/>
            <w:right w:w="108" w:type="dxa"/>
          </w:tblCellMar>
        </w:tblPrEx>
        <w:trPr>
          <w:cantSplit/>
          <w:trHeight w:val="523"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Calibri" w:eastAsia="方正仿宋_GBK"/>
                <w:color w:val="000000"/>
                <w:sz w:val="18"/>
                <w:szCs w:val="18"/>
              </w:rPr>
            </w:pP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妥善处理遗留问题的质量</w:t>
            </w:r>
          </w:p>
        </w:tc>
        <w:tc>
          <w:tcPr>
            <w:tcW w:w="431"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w:t>
            </w:r>
          </w:p>
        </w:tc>
        <w:tc>
          <w:tcPr>
            <w:tcW w:w="620"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w:t>
            </w:r>
          </w:p>
        </w:tc>
        <w:tc>
          <w:tcPr>
            <w:tcW w:w="1094"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553"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p>
        </w:tc>
        <w:tc>
          <w:tcPr>
            <w:tcW w:w="1083"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615"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40"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w:t>
            </w:r>
          </w:p>
        </w:tc>
        <w:tc>
          <w:tcPr>
            <w:tcW w:w="720"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hAnsi="Calibri" w:eastAsia="方正仿宋_GBK"/>
                <w:color w:val="000000"/>
                <w:sz w:val="18"/>
                <w:szCs w:val="18"/>
                <w:lang w:eastAsia="zh-CN"/>
              </w:rPr>
            </w:pPr>
            <w:r>
              <w:rPr>
                <w:rFonts w:hint="eastAsia" w:ascii="方正仿宋_GBK" w:hAnsi="Calibri" w:eastAsia="方正仿宋_GBK"/>
                <w:color w:val="000000"/>
                <w:sz w:val="18"/>
                <w:szCs w:val="18"/>
                <w:lang w:eastAsia="zh-CN"/>
              </w:rPr>
              <w:t>否</w:t>
            </w:r>
          </w:p>
        </w:tc>
      </w:tr>
      <w:tr>
        <w:tblPrEx>
          <w:tblCellMar>
            <w:top w:w="0" w:type="dxa"/>
            <w:left w:w="108" w:type="dxa"/>
            <w:bottom w:w="0" w:type="dxa"/>
            <w:right w:w="108" w:type="dxa"/>
          </w:tblCellMar>
        </w:tblPrEx>
        <w:trPr>
          <w:cantSplit/>
          <w:trHeight w:val="705"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Calibri" w:eastAsia="方正仿宋_GBK"/>
                <w:color w:val="000000"/>
                <w:sz w:val="18"/>
                <w:szCs w:val="18"/>
              </w:rPr>
            </w:pP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支付房租的时限</w:t>
            </w:r>
          </w:p>
        </w:tc>
        <w:tc>
          <w:tcPr>
            <w:tcW w:w="431"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hAnsi="Calibri" w:eastAsia="方正仿宋_GBK"/>
                <w:color w:val="000000"/>
                <w:sz w:val="18"/>
                <w:szCs w:val="18"/>
                <w:lang w:eastAsia="zh-CN"/>
              </w:rPr>
            </w:pPr>
            <w:r>
              <w:rPr>
                <w:rFonts w:hint="eastAsia" w:ascii="方正仿宋_GBK" w:hAnsi="Calibri" w:eastAsia="方正仿宋_GBK"/>
                <w:color w:val="000000"/>
                <w:sz w:val="18"/>
                <w:szCs w:val="18"/>
                <w:lang w:eastAsia="zh-CN"/>
              </w:rPr>
              <w:t>日</w:t>
            </w:r>
          </w:p>
        </w:tc>
        <w:tc>
          <w:tcPr>
            <w:tcW w:w="62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w:t>
            </w:r>
          </w:p>
        </w:tc>
        <w:tc>
          <w:tcPr>
            <w:tcW w:w="1094"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sz w:val="18"/>
                <w:szCs w:val="18"/>
                <w:lang w:val="en-US" w:eastAsia="zh-CN"/>
              </w:rPr>
            </w:pPr>
            <w:r>
              <w:rPr>
                <w:rFonts w:hint="eastAsia" w:ascii="方正仿宋_GBK" w:eastAsia="方正仿宋_GBK"/>
                <w:color w:val="000000"/>
                <w:sz w:val="18"/>
                <w:szCs w:val="18"/>
              </w:rPr>
              <w:t>2020年</w:t>
            </w:r>
            <w:r>
              <w:rPr>
                <w:rFonts w:hint="eastAsia" w:ascii="方正仿宋_GBK" w:eastAsia="方正仿宋_GBK"/>
                <w:color w:val="000000"/>
                <w:sz w:val="18"/>
                <w:szCs w:val="18"/>
                <w:lang w:val="en-US" w:eastAsia="zh-CN"/>
              </w:rPr>
              <w:t>12月25日前</w:t>
            </w:r>
          </w:p>
        </w:tc>
        <w:tc>
          <w:tcPr>
            <w:tcW w:w="553"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p>
        </w:tc>
        <w:tc>
          <w:tcPr>
            <w:tcW w:w="1083"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2020年5月</w:t>
            </w:r>
          </w:p>
        </w:tc>
        <w:tc>
          <w:tcPr>
            <w:tcW w:w="61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4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w:t>
            </w:r>
          </w:p>
        </w:tc>
        <w:tc>
          <w:tcPr>
            <w:tcW w:w="72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w:t>
            </w:r>
          </w:p>
        </w:tc>
        <w:tc>
          <w:tcPr>
            <w:tcW w:w="779"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hAnsi="Calibri" w:eastAsia="方正仿宋_GBK"/>
                <w:color w:val="000000"/>
                <w:sz w:val="18"/>
                <w:szCs w:val="18"/>
                <w:lang w:eastAsia="zh-CN"/>
              </w:rPr>
            </w:pPr>
            <w:r>
              <w:rPr>
                <w:rFonts w:hint="eastAsia" w:ascii="方正仿宋_GBK" w:hAnsi="Calibri" w:eastAsia="方正仿宋_GBK"/>
                <w:color w:val="000000"/>
                <w:sz w:val="18"/>
                <w:szCs w:val="18"/>
                <w:lang w:eastAsia="zh-CN"/>
              </w:rPr>
              <w:t>否</w:t>
            </w:r>
          </w:p>
        </w:tc>
      </w:tr>
      <w:tr>
        <w:tblPrEx>
          <w:tblCellMar>
            <w:top w:w="0" w:type="dxa"/>
            <w:left w:w="108" w:type="dxa"/>
            <w:bottom w:w="0" w:type="dxa"/>
            <w:right w:w="108" w:type="dxa"/>
          </w:tblCellMar>
        </w:tblPrEx>
        <w:trPr>
          <w:cantSplit/>
          <w:trHeight w:val="1234" w:hRule="atLeast"/>
        </w:trPr>
        <w:tc>
          <w:tcPr>
            <w:tcW w:w="788" w:type="dxa"/>
            <w:vMerge w:val="continue"/>
            <w:tcBorders>
              <w:top w:val="single" w:color="auto" w:sz="4" w:space="0"/>
              <w:left w:val="single" w:color="auto" w:sz="4" w:space="0"/>
              <w:right w:val="single" w:color="auto" w:sz="4" w:space="0"/>
            </w:tcBorders>
            <w:vAlign w:val="center"/>
          </w:tcPr>
          <w:p>
            <w:pPr>
              <w:jc w:val="center"/>
              <w:rPr>
                <w:rFonts w:ascii="方正仿宋_GBK" w:hAnsi="Calibri" w:eastAsia="方正仿宋_GBK"/>
                <w:color w:val="000000"/>
                <w:sz w:val="18"/>
                <w:szCs w:val="18"/>
              </w:rPr>
            </w:pPr>
          </w:p>
        </w:tc>
        <w:tc>
          <w:tcPr>
            <w:tcW w:w="1034"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租赁单价</w:t>
            </w:r>
          </w:p>
        </w:tc>
        <w:tc>
          <w:tcPr>
            <w:tcW w:w="431"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元</w:t>
            </w:r>
          </w:p>
        </w:tc>
        <w:tc>
          <w:tcPr>
            <w:tcW w:w="620"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w:t>
            </w:r>
          </w:p>
        </w:tc>
        <w:tc>
          <w:tcPr>
            <w:tcW w:w="1094"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ascii="方正仿宋_GBK" w:hAnsi="Calibri" w:eastAsia="方正仿宋_GBK"/>
                <w:color w:val="000000"/>
                <w:sz w:val="18"/>
                <w:szCs w:val="18"/>
              </w:rPr>
              <w:t>50元/平方米/月</w:t>
            </w:r>
          </w:p>
        </w:tc>
        <w:tc>
          <w:tcPr>
            <w:tcW w:w="553"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p>
        </w:tc>
        <w:tc>
          <w:tcPr>
            <w:tcW w:w="1083"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hAnsi="Calibri" w:eastAsia="方正仿宋_GBK"/>
                <w:color w:val="000000"/>
                <w:sz w:val="18"/>
                <w:szCs w:val="18"/>
                <w:lang w:val="en-US" w:eastAsia="zh-CN"/>
              </w:rPr>
              <w:t>附楼</w:t>
            </w:r>
            <w:r>
              <w:rPr>
                <w:rFonts w:ascii="方正仿宋_GBK" w:hAnsi="Calibri" w:eastAsia="方正仿宋_GBK"/>
                <w:color w:val="000000"/>
                <w:sz w:val="18"/>
                <w:szCs w:val="18"/>
              </w:rPr>
              <w:t>50元/</w:t>
            </w:r>
            <w:r>
              <w:rPr>
                <w:rFonts w:hint="eastAsia" w:ascii="方正仿宋_GBK" w:hAnsi="Calibri" w:eastAsia="方正仿宋_GBK"/>
                <w:color w:val="000000"/>
                <w:sz w:val="18"/>
                <w:szCs w:val="18"/>
                <w:lang w:eastAsia="zh-CN"/>
              </w:rPr>
              <w:t>㎡</w:t>
            </w:r>
            <w:r>
              <w:rPr>
                <w:rFonts w:ascii="方正仿宋_GBK" w:hAnsi="Calibri" w:eastAsia="方正仿宋_GBK"/>
                <w:color w:val="000000"/>
                <w:sz w:val="18"/>
                <w:szCs w:val="18"/>
              </w:rPr>
              <w:t>/月</w:t>
            </w:r>
            <w:r>
              <w:rPr>
                <w:rFonts w:hint="eastAsia" w:ascii="方正仿宋_GBK" w:hAnsi="Calibri" w:eastAsia="方正仿宋_GBK"/>
                <w:color w:val="000000"/>
                <w:sz w:val="18"/>
                <w:szCs w:val="18"/>
                <w:lang w:eastAsia="zh-CN"/>
              </w:rPr>
              <w:t>；</w:t>
            </w:r>
            <w:r>
              <w:rPr>
                <w:rFonts w:hint="eastAsia" w:ascii="方正仿宋_GBK" w:hAnsi="Calibri" w:eastAsia="方正仿宋_GBK"/>
                <w:color w:val="000000"/>
                <w:sz w:val="18"/>
                <w:szCs w:val="18"/>
                <w:lang w:val="en-US" w:eastAsia="zh-CN"/>
              </w:rPr>
              <w:t>主楼</w:t>
            </w:r>
            <w:r>
              <w:rPr>
                <w:rFonts w:hint="default" w:ascii="方正仿宋_GBK" w:hAnsi="Calibri" w:eastAsia="方正仿宋_GBK"/>
                <w:color w:val="000000"/>
                <w:sz w:val="18"/>
                <w:szCs w:val="18"/>
                <w:lang w:val="en-US" w:eastAsia="zh-CN"/>
              </w:rPr>
              <w:t>40元/</w:t>
            </w:r>
            <w:r>
              <w:rPr>
                <w:rFonts w:hint="eastAsia" w:ascii="方正仿宋_GBK" w:hAnsi="Calibri" w:eastAsia="方正仿宋_GBK"/>
                <w:color w:val="000000"/>
                <w:sz w:val="18"/>
                <w:szCs w:val="18"/>
                <w:lang w:val="en-US" w:eastAsia="zh-CN"/>
              </w:rPr>
              <w:t>㎡</w:t>
            </w:r>
            <w:r>
              <w:rPr>
                <w:rFonts w:hint="default" w:ascii="方正仿宋_GBK" w:hAnsi="Calibri" w:eastAsia="方正仿宋_GBK"/>
                <w:color w:val="000000"/>
                <w:sz w:val="18"/>
                <w:szCs w:val="18"/>
                <w:lang w:val="en-US" w:eastAsia="zh-CN"/>
              </w:rPr>
              <w:t>/月</w:t>
            </w:r>
          </w:p>
        </w:tc>
        <w:tc>
          <w:tcPr>
            <w:tcW w:w="615"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40"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w:t>
            </w:r>
          </w:p>
        </w:tc>
        <w:tc>
          <w:tcPr>
            <w:tcW w:w="720"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hAnsi="Calibri" w:eastAsia="方正仿宋_GBK"/>
                <w:color w:val="000000"/>
                <w:sz w:val="18"/>
                <w:szCs w:val="18"/>
                <w:lang w:eastAsia="zh-CN"/>
              </w:rPr>
            </w:pPr>
            <w:r>
              <w:rPr>
                <w:rFonts w:hint="eastAsia" w:ascii="方正仿宋_GBK" w:hAnsi="Calibri" w:eastAsia="方正仿宋_GBK"/>
                <w:color w:val="000000"/>
                <w:sz w:val="18"/>
                <w:szCs w:val="18"/>
                <w:lang w:eastAsia="zh-CN"/>
              </w:rPr>
              <w:t>是</w:t>
            </w:r>
          </w:p>
        </w:tc>
      </w:tr>
      <w:tr>
        <w:tblPrEx>
          <w:tblCellMar>
            <w:top w:w="0" w:type="dxa"/>
            <w:left w:w="108" w:type="dxa"/>
            <w:bottom w:w="0" w:type="dxa"/>
            <w:right w:w="108" w:type="dxa"/>
          </w:tblCellMar>
        </w:tblPrEx>
        <w:trPr>
          <w:cantSplit/>
          <w:trHeight w:val="523" w:hRule="atLeast"/>
        </w:trPr>
        <w:tc>
          <w:tcPr>
            <w:tcW w:w="788" w:type="dxa"/>
            <w:vMerge w:val="continue"/>
            <w:tcBorders>
              <w:left w:val="single" w:color="auto" w:sz="4" w:space="0"/>
              <w:right w:val="single" w:color="auto" w:sz="4" w:space="0"/>
            </w:tcBorders>
            <w:vAlign w:val="center"/>
          </w:tcPr>
          <w:p>
            <w:pPr>
              <w:jc w:val="center"/>
              <w:rPr>
                <w:rFonts w:ascii="方正仿宋_GBK" w:hAnsi="Calibri" w:eastAsia="方正仿宋_GBK"/>
                <w:color w:val="000000"/>
                <w:sz w:val="18"/>
                <w:szCs w:val="18"/>
              </w:rPr>
            </w:pPr>
          </w:p>
        </w:tc>
        <w:tc>
          <w:tcPr>
            <w:tcW w:w="1034"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妥善处理遗留问题，维护社会稳定</w:t>
            </w:r>
          </w:p>
        </w:tc>
        <w:tc>
          <w:tcPr>
            <w:tcW w:w="431"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无</w:t>
            </w:r>
          </w:p>
        </w:tc>
        <w:tc>
          <w:tcPr>
            <w:tcW w:w="620"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定性</w:t>
            </w:r>
          </w:p>
        </w:tc>
        <w:tc>
          <w:tcPr>
            <w:tcW w:w="1094"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妥善处理遗留问题，维护社会稳定</w:t>
            </w:r>
          </w:p>
        </w:tc>
        <w:tc>
          <w:tcPr>
            <w:tcW w:w="553"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p>
        </w:tc>
        <w:tc>
          <w:tcPr>
            <w:tcW w:w="1083"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完成</w:t>
            </w:r>
          </w:p>
        </w:tc>
        <w:tc>
          <w:tcPr>
            <w:tcW w:w="615"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40"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w:t>
            </w:r>
          </w:p>
        </w:tc>
        <w:tc>
          <w:tcPr>
            <w:tcW w:w="720"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hAnsi="Calibri" w:eastAsia="方正仿宋_GBK"/>
                <w:color w:val="000000"/>
                <w:sz w:val="18"/>
                <w:szCs w:val="18"/>
                <w:lang w:eastAsia="zh-CN"/>
              </w:rPr>
            </w:pPr>
            <w:r>
              <w:rPr>
                <w:rFonts w:hint="eastAsia" w:ascii="方正仿宋_GBK" w:hAnsi="Calibri" w:eastAsia="方正仿宋_GBK"/>
                <w:color w:val="000000"/>
                <w:sz w:val="18"/>
                <w:szCs w:val="18"/>
                <w:lang w:eastAsia="zh-CN"/>
              </w:rPr>
              <w:t>否</w:t>
            </w:r>
          </w:p>
        </w:tc>
      </w:tr>
      <w:tr>
        <w:tblPrEx>
          <w:tblCellMar>
            <w:top w:w="0" w:type="dxa"/>
            <w:left w:w="108" w:type="dxa"/>
            <w:bottom w:w="0" w:type="dxa"/>
            <w:right w:w="108" w:type="dxa"/>
          </w:tblCellMar>
        </w:tblPrEx>
        <w:trPr>
          <w:cantSplit/>
          <w:trHeight w:val="523" w:hRule="atLeast"/>
        </w:trPr>
        <w:tc>
          <w:tcPr>
            <w:tcW w:w="788" w:type="dxa"/>
            <w:vMerge w:val="continue"/>
            <w:tcBorders>
              <w:left w:val="single" w:color="auto" w:sz="4" w:space="0"/>
              <w:right w:val="single" w:color="auto" w:sz="4" w:space="0"/>
            </w:tcBorders>
            <w:vAlign w:val="center"/>
          </w:tcPr>
          <w:p>
            <w:pPr>
              <w:jc w:val="center"/>
              <w:rPr>
                <w:rFonts w:ascii="方正仿宋_GBK" w:hAnsi="Calibri" w:eastAsia="方正仿宋_GBK"/>
                <w:color w:val="000000"/>
                <w:sz w:val="18"/>
                <w:szCs w:val="18"/>
              </w:rPr>
            </w:pPr>
          </w:p>
        </w:tc>
        <w:tc>
          <w:tcPr>
            <w:tcW w:w="1034" w:type="dxa"/>
            <w:tcBorders>
              <w:top w:val="single" w:color="auto" w:sz="4" w:space="0"/>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保障企业经济利益</w:t>
            </w:r>
          </w:p>
        </w:tc>
        <w:tc>
          <w:tcPr>
            <w:tcW w:w="431"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无</w:t>
            </w:r>
          </w:p>
        </w:tc>
        <w:tc>
          <w:tcPr>
            <w:tcW w:w="620"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定性</w:t>
            </w:r>
          </w:p>
        </w:tc>
        <w:tc>
          <w:tcPr>
            <w:tcW w:w="1094"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及时支付租金，保障企业经济利益</w:t>
            </w:r>
          </w:p>
        </w:tc>
        <w:tc>
          <w:tcPr>
            <w:tcW w:w="553"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p>
        </w:tc>
        <w:tc>
          <w:tcPr>
            <w:tcW w:w="1083"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完成</w:t>
            </w:r>
          </w:p>
        </w:tc>
        <w:tc>
          <w:tcPr>
            <w:tcW w:w="615"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40"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w:t>
            </w:r>
          </w:p>
        </w:tc>
        <w:tc>
          <w:tcPr>
            <w:tcW w:w="720" w:type="dxa"/>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hAnsi="Calibri" w:eastAsia="方正仿宋_GBK"/>
                <w:color w:val="000000"/>
                <w:sz w:val="18"/>
                <w:szCs w:val="18"/>
                <w:lang w:eastAsia="zh-CN"/>
              </w:rPr>
            </w:pPr>
            <w:r>
              <w:rPr>
                <w:rFonts w:hint="eastAsia" w:ascii="方正仿宋_GBK" w:hAnsi="Calibri" w:eastAsia="方正仿宋_GBK"/>
                <w:color w:val="000000"/>
                <w:sz w:val="18"/>
                <w:szCs w:val="18"/>
                <w:lang w:eastAsia="zh-CN"/>
              </w:rPr>
              <w:t>否</w:t>
            </w:r>
          </w:p>
        </w:tc>
      </w:tr>
      <w:tr>
        <w:tblPrEx>
          <w:tblCellMar>
            <w:top w:w="0" w:type="dxa"/>
            <w:left w:w="108" w:type="dxa"/>
            <w:bottom w:w="0" w:type="dxa"/>
            <w:right w:w="108" w:type="dxa"/>
          </w:tblCellMar>
        </w:tblPrEx>
        <w:trPr>
          <w:cantSplit/>
          <w:trHeight w:val="523" w:hRule="atLeast"/>
        </w:trPr>
        <w:tc>
          <w:tcPr>
            <w:tcW w:w="788" w:type="dxa"/>
            <w:vMerge w:val="continue"/>
            <w:tcBorders>
              <w:left w:val="single" w:color="auto" w:sz="4" w:space="0"/>
              <w:right w:val="single" w:color="auto" w:sz="4" w:space="0"/>
            </w:tcBorders>
            <w:vAlign w:val="center"/>
          </w:tcPr>
          <w:p>
            <w:pPr>
              <w:jc w:val="center"/>
              <w:rPr>
                <w:rFonts w:ascii="方正仿宋_GBK" w:hAnsi="Calibri" w:eastAsia="方正仿宋_GBK"/>
                <w:color w:val="000000"/>
                <w:sz w:val="18"/>
                <w:szCs w:val="18"/>
              </w:rPr>
            </w:pPr>
          </w:p>
        </w:tc>
        <w:tc>
          <w:tcPr>
            <w:tcW w:w="1034" w:type="dxa"/>
            <w:tcBorders>
              <w:top w:val="nil"/>
              <w:left w:val="nil"/>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rPr>
            </w:pPr>
            <w:r>
              <w:rPr>
                <w:rFonts w:hint="eastAsia" w:ascii="方正仿宋_GBK" w:eastAsia="方正仿宋_GBK"/>
                <w:color w:val="000000"/>
                <w:sz w:val="18"/>
                <w:szCs w:val="18"/>
              </w:rPr>
              <w:t>企业经济可持续发展</w:t>
            </w:r>
          </w:p>
        </w:tc>
        <w:tc>
          <w:tcPr>
            <w:tcW w:w="431"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无</w:t>
            </w:r>
          </w:p>
        </w:tc>
        <w:tc>
          <w:tcPr>
            <w:tcW w:w="62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定性</w:t>
            </w:r>
          </w:p>
        </w:tc>
        <w:tc>
          <w:tcPr>
            <w:tcW w:w="1094"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rPr>
            </w:pPr>
            <w:r>
              <w:rPr>
                <w:rFonts w:hint="eastAsia" w:ascii="方正仿宋_GBK" w:eastAsia="方正仿宋_GBK"/>
                <w:color w:val="000000"/>
                <w:sz w:val="18"/>
                <w:szCs w:val="18"/>
              </w:rPr>
              <w:t>及时支付</w:t>
            </w:r>
            <w:r>
              <w:rPr>
                <w:rFonts w:hint="eastAsia" w:ascii="方正仿宋_GBK" w:eastAsia="方正仿宋_GBK"/>
                <w:color w:val="000000"/>
                <w:sz w:val="18"/>
                <w:szCs w:val="18"/>
                <w:lang w:eastAsia="zh-CN"/>
              </w:rPr>
              <w:t>租金</w:t>
            </w:r>
            <w:r>
              <w:rPr>
                <w:rFonts w:hint="eastAsia" w:ascii="方正仿宋_GBK" w:eastAsia="方正仿宋_GBK"/>
                <w:color w:val="000000"/>
                <w:sz w:val="18"/>
                <w:szCs w:val="18"/>
              </w:rPr>
              <w:t>，助力企业经济可持续发展</w:t>
            </w:r>
          </w:p>
        </w:tc>
        <w:tc>
          <w:tcPr>
            <w:tcW w:w="553"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rPr>
            </w:pPr>
          </w:p>
        </w:tc>
        <w:tc>
          <w:tcPr>
            <w:tcW w:w="1083"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rPr>
            </w:pPr>
            <w:r>
              <w:rPr>
                <w:rFonts w:hint="eastAsia" w:ascii="方正仿宋_GBK" w:eastAsia="方正仿宋_GBK"/>
                <w:color w:val="000000"/>
                <w:sz w:val="18"/>
                <w:szCs w:val="18"/>
              </w:rPr>
              <w:t>完成</w:t>
            </w:r>
          </w:p>
        </w:tc>
        <w:tc>
          <w:tcPr>
            <w:tcW w:w="615"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rPr>
            </w:pPr>
            <w:r>
              <w:rPr>
                <w:rFonts w:hint="eastAsia" w:ascii="方正仿宋_GBK" w:eastAsia="方正仿宋_GBK"/>
                <w:color w:val="000000"/>
                <w:sz w:val="18"/>
                <w:szCs w:val="18"/>
              </w:rPr>
              <w:t>100</w:t>
            </w:r>
          </w:p>
        </w:tc>
        <w:tc>
          <w:tcPr>
            <w:tcW w:w="840"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rPr>
            </w:pPr>
            <w:r>
              <w:rPr>
                <w:rFonts w:hint="eastAsia" w:ascii="方正仿宋_GBK" w:eastAsia="方正仿宋_GBK"/>
                <w:color w:val="000000"/>
                <w:sz w:val="18"/>
                <w:szCs w:val="18"/>
              </w:rPr>
              <w:t>10</w:t>
            </w:r>
          </w:p>
        </w:tc>
        <w:tc>
          <w:tcPr>
            <w:tcW w:w="720"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rPr>
            </w:pPr>
            <w:r>
              <w:rPr>
                <w:rFonts w:hint="eastAsia" w:ascii="方正仿宋_GBK" w:eastAsia="方正仿宋_GBK"/>
                <w:color w:val="000000"/>
                <w:sz w:val="18"/>
                <w:szCs w:val="18"/>
              </w:rPr>
              <w:t>10</w:t>
            </w:r>
          </w:p>
        </w:tc>
        <w:tc>
          <w:tcPr>
            <w:tcW w:w="779"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lang w:eastAsia="zh-CN"/>
              </w:rPr>
              <w:t>否</w:t>
            </w:r>
          </w:p>
        </w:tc>
      </w:tr>
      <w:tr>
        <w:tblPrEx>
          <w:tblCellMar>
            <w:top w:w="0" w:type="dxa"/>
            <w:left w:w="108" w:type="dxa"/>
            <w:bottom w:w="0" w:type="dxa"/>
            <w:right w:w="108" w:type="dxa"/>
          </w:tblCellMar>
        </w:tblPrEx>
        <w:trPr>
          <w:cantSplit/>
          <w:trHeight w:val="523" w:hRule="atLeast"/>
        </w:trPr>
        <w:tc>
          <w:tcPr>
            <w:tcW w:w="788" w:type="dxa"/>
            <w:vMerge w:val="continue"/>
            <w:tcBorders>
              <w:left w:val="single" w:color="auto" w:sz="4" w:space="0"/>
              <w:bottom w:val="single" w:color="auto" w:sz="4" w:space="0"/>
              <w:right w:val="single" w:color="auto" w:sz="4" w:space="0"/>
            </w:tcBorders>
            <w:vAlign w:val="center"/>
          </w:tcPr>
          <w:p>
            <w:pPr>
              <w:jc w:val="center"/>
              <w:rPr>
                <w:rFonts w:ascii="方正仿宋_GBK" w:hAnsi="Calibri" w:eastAsia="方正仿宋_GBK"/>
                <w:color w:val="000000"/>
                <w:sz w:val="18"/>
                <w:szCs w:val="18"/>
              </w:rPr>
            </w:pPr>
          </w:p>
        </w:tc>
        <w:tc>
          <w:tcPr>
            <w:tcW w:w="1034" w:type="dxa"/>
            <w:tcBorders>
              <w:top w:val="nil"/>
              <w:left w:val="nil"/>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rPr>
            </w:pPr>
            <w:r>
              <w:rPr>
                <w:rFonts w:hint="eastAsia" w:ascii="方正仿宋_GBK" w:eastAsia="方正仿宋_GBK"/>
                <w:color w:val="000000"/>
                <w:sz w:val="18"/>
                <w:szCs w:val="18"/>
              </w:rPr>
              <w:t>服务企业满意度</w:t>
            </w:r>
          </w:p>
        </w:tc>
        <w:tc>
          <w:tcPr>
            <w:tcW w:w="431"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rPr>
            </w:pPr>
            <w:r>
              <w:rPr>
                <w:rFonts w:hint="eastAsia" w:ascii="方正仿宋_GBK" w:eastAsia="方正仿宋_GBK"/>
                <w:color w:val="000000"/>
                <w:sz w:val="18"/>
                <w:szCs w:val="18"/>
              </w:rPr>
              <w:t>%</w:t>
            </w:r>
          </w:p>
        </w:tc>
        <w:tc>
          <w:tcPr>
            <w:tcW w:w="620"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rPr>
            </w:pPr>
            <w:r>
              <w:rPr>
                <w:rFonts w:hint="eastAsia" w:ascii="方正仿宋_GBK" w:eastAsia="方正仿宋_GBK"/>
                <w:color w:val="000000"/>
                <w:sz w:val="18"/>
                <w:szCs w:val="18"/>
              </w:rPr>
              <w:t>≥</w:t>
            </w:r>
          </w:p>
        </w:tc>
        <w:tc>
          <w:tcPr>
            <w:tcW w:w="1094"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rPr>
            </w:pPr>
            <w:r>
              <w:rPr>
                <w:rFonts w:hint="eastAsia" w:ascii="方正仿宋_GBK" w:eastAsia="方正仿宋_GBK"/>
                <w:color w:val="000000"/>
                <w:sz w:val="18"/>
                <w:szCs w:val="18"/>
              </w:rPr>
              <w:t>95%</w:t>
            </w:r>
          </w:p>
        </w:tc>
        <w:tc>
          <w:tcPr>
            <w:tcW w:w="553"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rPr>
            </w:pPr>
          </w:p>
        </w:tc>
        <w:tc>
          <w:tcPr>
            <w:tcW w:w="1083"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rPr>
            </w:pPr>
            <w:r>
              <w:rPr>
                <w:rFonts w:hint="eastAsia" w:ascii="方正仿宋_GBK" w:eastAsia="方正仿宋_GBK"/>
                <w:color w:val="000000"/>
                <w:sz w:val="18"/>
                <w:szCs w:val="18"/>
              </w:rPr>
              <w:t>100%</w:t>
            </w:r>
          </w:p>
        </w:tc>
        <w:tc>
          <w:tcPr>
            <w:tcW w:w="615"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rPr>
            </w:pPr>
            <w:r>
              <w:rPr>
                <w:rFonts w:hint="eastAsia" w:ascii="方正仿宋_GBK" w:eastAsia="方正仿宋_GBK"/>
                <w:color w:val="000000"/>
                <w:sz w:val="18"/>
                <w:szCs w:val="18"/>
              </w:rPr>
              <w:t>100</w:t>
            </w:r>
          </w:p>
        </w:tc>
        <w:tc>
          <w:tcPr>
            <w:tcW w:w="840"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rPr>
            </w:pPr>
            <w:r>
              <w:rPr>
                <w:rFonts w:hint="eastAsia" w:ascii="方正仿宋_GBK" w:eastAsia="方正仿宋_GBK"/>
                <w:color w:val="000000"/>
                <w:sz w:val="18"/>
                <w:szCs w:val="18"/>
              </w:rPr>
              <w:t>20</w:t>
            </w:r>
          </w:p>
        </w:tc>
        <w:tc>
          <w:tcPr>
            <w:tcW w:w="720"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rPr>
            </w:pPr>
            <w:r>
              <w:rPr>
                <w:rFonts w:hint="eastAsia" w:ascii="方正仿宋_GBK" w:eastAsia="方正仿宋_GBK"/>
                <w:color w:val="000000"/>
                <w:sz w:val="18"/>
                <w:szCs w:val="18"/>
              </w:rPr>
              <w:t>20</w:t>
            </w:r>
          </w:p>
        </w:tc>
        <w:tc>
          <w:tcPr>
            <w:tcW w:w="779"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lang w:eastAsia="zh-CN"/>
              </w:rPr>
              <w:t>否</w:t>
            </w:r>
          </w:p>
        </w:tc>
      </w:tr>
      <w:tr>
        <w:tblPrEx>
          <w:tblCellMar>
            <w:top w:w="0" w:type="dxa"/>
            <w:left w:w="108" w:type="dxa"/>
            <w:bottom w:w="0" w:type="dxa"/>
            <w:right w:w="108" w:type="dxa"/>
          </w:tblCellMar>
        </w:tblPrEx>
        <w:trPr>
          <w:trHeight w:val="495" w:hRule="atLeast"/>
        </w:trPr>
        <w:tc>
          <w:tcPr>
            <w:tcW w:w="788" w:type="dxa"/>
            <w:tcBorders>
              <w:top w:val="nil"/>
              <w:left w:val="single" w:color="auto" w:sz="4" w:space="0"/>
              <w:bottom w:val="single" w:color="auto" w:sz="4" w:space="0"/>
              <w:right w:val="single" w:color="auto" w:sz="4" w:space="0"/>
            </w:tcBorders>
            <w:shd w:val="clear" w:color="auto" w:fill="auto"/>
            <w:vAlign w:val="center"/>
          </w:tcPr>
          <w:p>
            <w:pPr>
              <w:autoSpaceDN w:val="0"/>
              <w:jc w:val="both"/>
              <w:rPr>
                <w:rFonts w:ascii="方正仿宋_GBK" w:hAnsi="Calibri" w:eastAsia="方正仿宋_GBK"/>
                <w:color w:val="000000"/>
                <w:sz w:val="18"/>
                <w:szCs w:val="18"/>
              </w:rPr>
            </w:pPr>
            <w:r>
              <w:rPr>
                <w:rFonts w:hint="eastAsia" w:ascii="方正仿宋_GBK" w:eastAsia="方正仿宋_GBK"/>
                <w:color w:val="000000"/>
                <w:sz w:val="18"/>
                <w:szCs w:val="18"/>
              </w:rPr>
              <w:t>说明</w:t>
            </w:r>
          </w:p>
        </w:tc>
        <w:tc>
          <w:tcPr>
            <w:tcW w:w="7769" w:type="dxa"/>
            <w:gridSpan w:val="10"/>
            <w:tcBorders>
              <w:top w:val="single" w:color="auto" w:sz="4" w:space="0"/>
              <w:left w:val="nil"/>
              <w:bottom w:val="single" w:color="auto" w:sz="4" w:space="0"/>
              <w:right w:val="single" w:color="auto" w:sz="4" w:space="0"/>
            </w:tcBorders>
            <w:shd w:val="clear" w:color="auto" w:fill="auto"/>
            <w:vAlign w:val="center"/>
          </w:tcPr>
          <w:p>
            <w:pPr>
              <w:autoSpaceDN w:val="0"/>
              <w:jc w:val="both"/>
              <w:rPr>
                <w:rFonts w:hint="eastAsia" w:ascii="方正仿宋_GBK" w:hAnsi="Calibri" w:eastAsia="方正仿宋_GBK"/>
                <w:color w:val="000000"/>
                <w:sz w:val="18"/>
                <w:szCs w:val="18"/>
                <w:lang w:eastAsia="zh-CN"/>
              </w:rPr>
            </w:pPr>
            <w:r>
              <w:rPr>
                <w:rFonts w:hint="eastAsia" w:ascii="方正仿宋_GBK" w:eastAsia="方正仿宋_GBK"/>
                <w:color w:val="000000"/>
                <w:sz w:val="18"/>
                <w:szCs w:val="18"/>
              </w:rPr>
              <w:t>　</w:t>
            </w:r>
          </w:p>
        </w:tc>
      </w:tr>
    </w:tbl>
    <w:p>
      <w:pPr>
        <w:pStyle w:val="4"/>
        <w:jc w:val="both"/>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0"/>
        <w:rPr>
          <w:rStyle w:val="11"/>
          <w:rFonts w:ascii="方正黑体_GBK" w:eastAsia="方正黑体_GBK"/>
        </w:rPr>
      </w:pPr>
      <w:r>
        <w:rPr>
          <w:rStyle w:val="11"/>
          <w:rFonts w:hint="eastAsia" w:ascii="方正黑体_GBK" w:eastAsia="方正黑体_GBK"/>
          <w:b w:val="0"/>
          <w:sz w:val="32"/>
          <w:szCs w:val="32"/>
        </w:rPr>
        <w:t>六、专业名词解释</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K" w:eastAsia="方正仿宋_GBK"/>
          <w:sz w:val="32"/>
          <w:szCs w:val="32"/>
        </w:rPr>
      </w:pPr>
      <w:r>
        <w:rPr>
          <w:rStyle w:val="11"/>
          <w:rFonts w:hint="eastAsia" w:ascii="方正仿宋_GBK" w:eastAsia="方正仿宋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K" w:eastAsia="方正仿宋_GBK"/>
          <w:sz w:val="32"/>
          <w:szCs w:val="32"/>
        </w:rPr>
      </w:pPr>
      <w:r>
        <w:rPr>
          <w:rStyle w:val="11"/>
          <w:rFonts w:hint="eastAsia" w:ascii="方正仿宋_GBK" w:eastAsia="方正仿宋_GBK"/>
          <w:sz w:val="32"/>
          <w:szCs w:val="32"/>
        </w:rPr>
        <w:t>（二）年初结转和结余</w:t>
      </w:r>
      <w:r>
        <w:rPr>
          <w:rFonts w:hint="eastAsia" w:ascii="方正仿宋_GBK" w:eastAsia="方正仿宋_GBK"/>
          <w:sz w:val="32"/>
          <w:szCs w:val="32"/>
        </w:rPr>
        <w:t>：指单位上年结转本年使用的基本支出结转、项目支出结转和结余、经营结余。</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K" w:eastAsia="方正仿宋_GBK"/>
          <w:sz w:val="32"/>
          <w:szCs w:val="32"/>
        </w:rPr>
      </w:pPr>
      <w:r>
        <w:rPr>
          <w:rStyle w:val="11"/>
          <w:rFonts w:hint="eastAsia" w:ascii="方正仿宋_GBK" w:eastAsia="方正仿宋_GBK"/>
          <w:sz w:val="32"/>
          <w:szCs w:val="32"/>
        </w:rPr>
        <w:t>（三）年末结转和结余</w:t>
      </w:r>
      <w:r>
        <w:rPr>
          <w:rFonts w:hint="eastAsia" w:ascii="方正仿宋_GBK" w:eastAsia="方正仿宋_GBK"/>
          <w:sz w:val="32"/>
          <w:szCs w:val="32"/>
        </w:rPr>
        <w:t>：指单位结转下年的基本支出结转、项目支出结转和结余、经营结余。</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K" w:eastAsia="方正仿宋_GBK"/>
          <w:sz w:val="32"/>
          <w:szCs w:val="32"/>
        </w:rPr>
      </w:pPr>
      <w:r>
        <w:rPr>
          <w:rStyle w:val="11"/>
          <w:rFonts w:hint="eastAsia" w:ascii="方正仿宋_GBK" w:eastAsia="方正仿宋_GBK"/>
          <w:sz w:val="32"/>
          <w:szCs w:val="32"/>
        </w:rPr>
        <w:t>（四）基本支出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K" w:eastAsia="方正仿宋_GBK"/>
          <w:sz w:val="32"/>
          <w:szCs w:val="32"/>
        </w:rPr>
      </w:pPr>
      <w:r>
        <w:rPr>
          <w:rStyle w:val="11"/>
          <w:rFonts w:hint="eastAsia" w:ascii="方正仿宋_GBK" w:eastAsia="方正仿宋_GBK"/>
          <w:sz w:val="32"/>
          <w:szCs w:val="32"/>
        </w:rPr>
        <w:t>（五）项目支出</w:t>
      </w:r>
      <w:r>
        <w:rPr>
          <w:rFonts w:hint="eastAsia" w:ascii="方正仿宋_GBK" w:eastAsia="方正仿宋_GBK"/>
          <w:sz w:val="32"/>
          <w:szCs w:val="32"/>
        </w:rPr>
        <w:t>：指在基本支出之外为完成特定行政任务和事业发展目标所发生的支出。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K" w:eastAsia="方正仿宋_GBK"/>
          <w:sz w:val="32"/>
          <w:szCs w:val="32"/>
        </w:rPr>
      </w:pPr>
      <w:r>
        <w:rPr>
          <w:rStyle w:val="11"/>
          <w:rFonts w:hint="eastAsia" w:ascii="方正仿宋_GBK" w:eastAsia="方正仿宋_GBK"/>
          <w:sz w:val="32"/>
          <w:szCs w:val="32"/>
        </w:rPr>
        <w:t>（六）“三公”经费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K" w:eastAsia="方正仿宋_GBK"/>
          <w:sz w:val="32"/>
          <w:szCs w:val="32"/>
        </w:rPr>
      </w:pPr>
      <w:r>
        <w:rPr>
          <w:rStyle w:val="11"/>
          <w:rFonts w:hint="eastAsia" w:ascii="方正仿宋_GBK" w:eastAsia="方正仿宋_GBK"/>
          <w:sz w:val="32"/>
          <w:szCs w:val="32"/>
        </w:rPr>
        <w:t>（七）工资福利支出（支出经济分类科目类级）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K" w:eastAsia="方正仿宋_GBK"/>
          <w:sz w:val="32"/>
          <w:szCs w:val="32"/>
        </w:rPr>
      </w:pPr>
      <w:r>
        <w:rPr>
          <w:rStyle w:val="11"/>
          <w:rFonts w:hint="eastAsia" w:ascii="方正仿宋_GBK" w:eastAsia="方正仿宋_GBK"/>
          <w:sz w:val="32"/>
          <w:szCs w:val="32"/>
        </w:rPr>
        <w:t>（八）商品和服务支出（支出经济分类科目类级）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K" w:eastAsia="方正仿宋_GBK"/>
          <w:sz w:val="32"/>
          <w:szCs w:val="32"/>
        </w:rPr>
      </w:pPr>
      <w:r>
        <w:rPr>
          <w:rStyle w:val="11"/>
          <w:rFonts w:hint="eastAsia" w:ascii="方正仿宋_GBK" w:eastAsia="方正仿宋_GBK"/>
          <w:sz w:val="32"/>
          <w:szCs w:val="32"/>
        </w:rPr>
        <w:t>（九）其他资本性支出（支出经济分类科目类级）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0"/>
        <w:rPr>
          <w:rFonts w:ascii="方正黑体_GBK" w:eastAsia="方正黑体_GBK"/>
          <w:b/>
          <w:sz w:val="32"/>
          <w:szCs w:val="32"/>
        </w:rPr>
      </w:pPr>
      <w:r>
        <w:rPr>
          <w:rStyle w:val="11"/>
          <w:rFonts w:hint="eastAsia" w:ascii="方正黑体_GBK" w:eastAsia="方正黑体_GBK"/>
          <w:b w:val="0"/>
          <w:sz w:val="32"/>
          <w:szCs w:val="32"/>
        </w:rPr>
        <w:t>七、决算公开联系方式及信息反馈渠道</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本单位决算公开信息反馈和联系方式：</w:t>
      </w:r>
      <w:r>
        <w:rPr>
          <w:rFonts w:hint="eastAsia" w:ascii="方正仿宋_GBK" w:hAnsi="方正仿宋_GBK" w:eastAsia="方正仿宋_GBK" w:cs="方正仿宋_GBK"/>
          <w:sz w:val="32"/>
          <w:szCs w:val="32"/>
          <w:shd w:val="clear" w:color="auto" w:fill="FFFFFF"/>
        </w:rPr>
        <w:t>023-62989435</w:t>
      </w:r>
    </w:p>
    <w:sectPr>
      <w:footerReference r:id="rId3" w:type="default"/>
      <w:pgSz w:w="11907" w:h="16840"/>
      <w:pgMar w:top="2098" w:right="1701" w:bottom="1985"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2487"/>
    </w:sdtPr>
    <w:sdtContent>
      <w:p>
        <w:pPr>
          <w:pStyle w:val="6"/>
          <w:jc w:val="center"/>
        </w:pPr>
      </w:p>
      <w:p>
        <w:pPr>
          <w:pStyle w:val="6"/>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12</w:t>
        </w:r>
        <w:r>
          <w:rPr>
            <w:rFonts w:ascii="Times New Roman" w:hAnsi="Times New Roman" w:cs="Times New Roman"/>
            <w:sz w:val="21"/>
            <w:szCs w:val="21"/>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2"/>
  </w:compat>
  <w:rsids>
    <w:rsidRoot w:val="009A41FA"/>
    <w:rsid w:val="000478A4"/>
    <w:rsid w:val="00065022"/>
    <w:rsid w:val="00115962"/>
    <w:rsid w:val="00130C0A"/>
    <w:rsid w:val="001727A6"/>
    <w:rsid w:val="00221A09"/>
    <w:rsid w:val="002A75B2"/>
    <w:rsid w:val="0030438F"/>
    <w:rsid w:val="00316F52"/>
    <w:rsid w:val="00317DE3"/>
    <w:rsid w:val="00323DC8"/>
    <w:rsid w:val="003269CF"/>
    <w:rsid w:val="003463D8"/>
    <w:rsid w:val="00420E29"/>
    <w:rsid w:val="00454A2D"/>
    <w:rsid w:val="004915A2"/>
    <w:rsid w:val="004C35C5"/>
    <w:rsid w:val="005336B4"/>
    <w:rsid w:val="00551365"/>
    <w:rsid w:val="005B0C9A"/>
    <w:rsid w:val="0063459A"/>
    <w:rsid w:val="006B3A67"/>
    <w:rsid w:val="006F08AE"/>
    <w:rsid w:val="00761627"/>
    <w:rsid w:val="007813B9"/>
    <w:rsid w:val="007F71EB"/>
    <w:rsid w:val="0087676C"/>
    <w:rsid w:val="0096495A"/>
    <w:rsid w:val="009961EE"/>
    <w:rsid w:val="009A41FA"/>
    <w:rsid w:val="009D65BE"/>
    <w:rsid w:val="00B61C9F"/>
    <w:rsid w:val="00C41CCF"/>
    <w:rsid w:val="00C947A8"/>
    <w:rsid w:val="00CB2C3E"/>
    <w:rsid w:val="00D33E16"/>
    <w:rsid w:val="00D73116"/>
    <w:rsid w:val="00E07898"/>
    <w:rsid w:val="00F364CA"/>
    <w:rsid w:val="00FA4BD4"/>
    <w:rsid w:val="022D06DB"/>
    <w:rsid w:val="0237032B"/>
    <w:rsid w:val="029F56B5"/>
    <w:rsid w:val="03AB4F52"/>
    <w:rsid w:val="03C431E6"/>
    <w:rsid w:val="03E52554"/>
    <w:rsid w:val="0639670C"/>
    <w:rsid w:val="066A3110"/>
    <w:rsid w:val="08171489"/>
    <w:rsid w:val="08FE560A"/>
    <w:rsid w:val="0B193DA5"/>
    <w:rsid w:val="0B341492"/>
    <w:rsid w:val="0C0C7D6C"/>
    <w:rsid w:val="0C6B0E0F"/>
    <w:rsid w:val="0DEB3AC2"/>
    <w:rsid w:val="0E7F1DC3"/>
    <w:rsid w:val="0ECA70A2"/>
    <w:rsid w:val="10C81776"/>
    <w:rsid w:val="11B65A10"/>
    <w:rsid w:val="11C7295A"/>
    <w:rsid w:val="13476AF9"/>
    <w:rsid w:val="13B24534"/>
    <w:rsid w:val="14442A9B"/>
    <w:rsid w:val="14FE7735"/>
    <w:rsid w:val="1560076A"/>
    <w:rsid w:val="16CD3E38"/>
    <w:rsid w:val="171F651A"/>
    <w:rsid w:val="19D8085F"/>
    <w:rsid w:val="19F575C3"/>
    <w:rsid w:val="1A5D08FC"/>
    <w:rsid w:val="1C5F0A4C"/>
    <w:rsid w:val="1C74693C"/>
    <w:rsid w:val="1C8E7C02"/>
    <w:rsid w:val="20872AA6"/>
    <w:rsid w:val="23D85A19"/>
    <w:rsid w:val="25756C1B"/>
    <w:rsid w:val="268D703C"/>
    <w:rsid w:val="26CF4F1E"/>
    <w:rsid w:val="287254C0"/>
    <w:rsid w:val="2A4B3D75"/>
    <w:rsid w:val="2AB94F94"/>
    <w:rsid w:val="2B735AE1"/>
    <w:rsid w:val="2C183950"/>
    <w:rsid w:val="2C8D4C6E"/>
    <w:rsid w:val="2D790127"/>
    <w:rsid w:val="2F635FD6"/>
    <w:rsid w:val="302176DD"/>
    <w:rsid w:val="305839C1"/>
    <w:rsid w:val="316556A2"/>
    <w:rsid w:val="346E0DD3"/>
    <w:rsid w:val="382F62A9"/>
    <w:rsid w:val="39EF6AE1"/>
    <w:rsid w:val="3B1174AC"/>
    <w:rsid w:val="3C2E7818"/>
    <w:rsid w:val="3CE7739D"/>
    <w:rsid w:val="3D352953"/>
    <w:rsid w:val="3D572BBF"/>
    <w:rsid w:val="3F1C6C1D"/>
    <w:rsid w:val="40C81736"/>
    <w:rsid w:val="40FD45D6"/>
    <w:rsid w:val="43C7383A"/>
    <w:rsid w:val="43FF5AAD"/>
    <w:rsid w:val="440E0997"/>
    <w:rsid w:val="44F715CC"/>
    <w:rsid w:val="45736A5E"/>
    <w:rsid w:val="46B82087"/>
    <w:rsid w:val="47443204"/>
    <w:rsid w:val="47E3148D"/>
    <w:rsid w:val="49812998"/>
    <w:rsid w:val="49D61BBE"/>
    <w:rsid w:val="4A62155C"/>
    <w:rsid w:val="4BA821A3"/>
    <w:rsid w:val="4BDF65E7"/>
    <w:rsid w:val="4C232D34"/>
    <w:rsid w:val="4C2F32CF"/>
    <w:rsid w:val="4CBE1552"/>
    <w:rsid w:val="4D1832E2"/>
    <w:rsid w:val="4D4828C8"/>
    <w:rsid w:val="4DA644C0"/>
    <w:rsid w:val="4E8D5680"/>
    <w:rsid w:val="4F6250AB"/>
    <w:rsid w:val="4FA72F23"/>
    <w:rsid w:val="50AD2735"/>
    <w:rsid w:val="516A1CA8"/>
    <w:rsid w:val="518121F9"/>
    <w:rsid w:val="519B0074"/>
    <w:rsid w:val="549C7626"/>
    <w:rsid w:val="558A322F"/>
    <w:rsid w:val="55CB585D"/>
    <w:rsid w:val="5746320C"/>
    <w:rsid w:val="583A6878"/>
    <w:rsid w:val="591069B1"/>
    <w:rsid w:val="591D028B"/>
    <w:rsid w:val="5A132D6E"/>
    <w:rsid w:val="5C5123E2"/>
    <w:rsid w:val="5CE44EFA"/>
    <w:rsid w:val="5D315095"/>
    <w:rsid w:val="5D6B3030"/>
    <w:rsid w:val="5DCC7ECF"/>
    <w:rsid w:val="5F19617C"/>
    <w:rsid w:val="5FE424DD"/>
    <w:rsid w:val="631448DA"/>
    <w:rsid w:val="642948AC"/>
    <w:rsid w:val="65F0261A"/>
    <w:rsid w:val="669577B8"/>
    <w:rsid w:val="66E25344"/>
    <w:rsid w:val="66EE0EEE"/>
    <w:rsid w:val="671F2D1D"/>
    <w:rsid w:val="679A2E90"/>
    <w:rsid w:val="68212C69"/>
    <w:rsid w:val="691F26CD"/>
    <w:rsid w:val="69B1198E"/>
    <w:rsid w:val="6B2E5BDE"/>
    <w:rsid w:val="6BAE015B"/>
    <w:rsid w:val="6C2E4600"/>
    <w:rsid w:val="6CE40916"/>
    <w:rsid w:val="6DF27C79"/>
    <w:rsid w:val="6F02330F"/>
    <w:rsid w:val="718B3E67"/>
    <w:rsid w:val="71F25676"/>
    <w:rsid w:val="72636291"/>
    <w:rsid w:val="730C2768"/>
    <w:rsid w:val="746F2128"/>
    <w:rsid w:val="755C638C"/>
    <w:rsid w:val="75A562CE"/>
    <w:rsid w:val="765115BF"/>
    <w:rsid w:val="76A830E6"/>
    <w:rsid w:val="76ED4304"/>
    <w:rsid w:val="77CC411F"/>
    <w:rsid w:val="787C4A3D"/>
    <w:rsid w:val="789B6A68"/>
    <w:rsid w:val="7B0D0AB3"/>
    <w:rsid w:val="7C372603"/>
    <w:rsid w:val="7CB90504"/>
    <w:rsid w:val="7E12294B"/>
    <w:rsid w:val="7E6B4F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2">
    <w:name w:val="heading 6"/>
    <w:basedOn w:val="1"/>
    <w:next w:val="1"/>
    <w:qFormat/>
    <w:uiPriority w:val="0"/>
    <w:pPr>
      <w:keepNext/>
      <w:keepLines/>
      <w:widowControl w:val="0"/>
      <w:spacing w:before="240" w:after="64" w:line="319" w:lineRule="auto"/>
      <w:outlineLvl w:val="5"/>
    </w:pPr>
    <w:rPr>
      <w:rFonts w:ascii="Calibri Light" w:hAnsi="Calibri Light" w:cs="Times New Roman"/>
      <w:b/>
      <w:bCs/>
      <w:sz w:val="28"/>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unhideWhenUsed/>
    <w:qFormat/>
    <w:uiPriority w:val="99"/>
    <w:rPr>
      <w:sz w:val="18"/>
      <w:szCs w:val="18"/>
    </w:rPr>
  </w:style>
  <w:style w:type="paragraph" w:styleId="4">
    <w:name w:val="Body Text"/>
    <w:basedOn w:val="1"/>
    <w:qFormat/>
    <w:uiPriority w:val="0"/>
    <w:rPr>
      <w:rFonts w:ascii="微软雅黑" w:eastAsia="微软雅黑" w:cs="微软雅黑"/>
      <w:sz w:val="32"/>
      <w:szCs w:val="32"/>
      <w:lang w:val="zh-CN" w:bidi="zh-CN"/>
    </w:rPr>
  </w:style>
  <w:style w:type="paragraph" w:styleId="5">
    <w:name w:val="Balloon Text"/>
    <w:basedOn w:val="1"/>
    <w:link w:val="19"/>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100" w:beforeAutospacing="1" w:after="100" w:afterAutospacing="1"/>
    </w:pPr>
  </w:style>
  <w:style w:type="character" w:styleId="11">
    <w:name w:val="Strong"/>
    <w:basedOn w:val="10"/>
    <w:qFormat/>
    <w:uiPriority w:val="22"/>
    <w:rPr>
      <w:b/>
      <w:bCs/>
    </w:rPr>
  </w:style>
  <w:style w:type="character" w:customStyle="1" w:styleId="12">
    <w:name w:val="页眉 Char"/>
    <w:basedOn w:val="10"/>
    <w:link w:val="7"/>
    <w:semiHidden/>
    <w:qFormat/>
    <w:locked/>
    <w:uiPriority w:val="99"/>
    <w:rPr>
      <w:rFonts w:hint="eastAsia" w:ascii="宋体" w:hAnsi="宋体" w:eastAsia="宋体" w:cs="宋体"/>
      <w:sz w:val="18"/>
      <w:szCs w:val="18"/>
    </w:rPr>
  </w:style>
  <w:style w:type="character" w:customStyle="1" w:styleId="13">
    <w:name w:val="页脚 Char"/>
    <w:basedOn w:val="10"/>
    <w:link w:val="6"/>
    <w:qFormat/>
    <w:locked/>
    <w:uiPriority w:val="99"/>
    <w:rPr>
      <w:rFonts w:hint="eastAsia" w:ascii="宋体" w:hAnsi="宋体" w:eastAsia="宋体" w:cs="宋体"/>
      <w:sz w:val="18"/>
      <w:szCs w:val="18"/>
    </w:rPr>
  </w:style>
  <w:style w:type="character" w:customStyle="1" w:styleId="14">
    <w:name w:val="文档结构图 Char"/>
    <w:basedOn w:val="10"/>
    <w:link w:val="3"/>
    <w:semiHidden/>
    <w:qFormat/>
    <w:locked/>
    <w:uiPriority w:val="99"/>
    <w:rPr>
      <w:rFonts w:hint="eastAsia" w:ascii="宋体" w:hAnsi="宋体" w:eastAsia="宋体" w:cs="宋体"/>
      <w:sz w:val="18"/>
      <w:szCs w:val="18"/>
    </w:rPr>
  </w:style>
  <w:style w:type="paragraph" w:styleId="15">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16">
    <w:name w:val="msonormal"/>
    <w:basedOn w:val="1"/>
    <w:semiHidden/>
    <w:qFormat/>
    <w:uiPriority w:val="99"/>
    <w:pPr>
      <w:spacing w:before="100" w:beforeAutospacing="1" w:after="100" w:afterAutospacing="1"/>
    </w:pPr>
  </w:style>
  <w:style w:type="paragraph" w:customStyle="1" w:styleId="17">
    <w:name w:val="普通(网站) Char Char"/>
    <w:basedOn w:val="1"/>
    <w:qFormat/>
    <w:uiPriority w:val="0"/>
    <w:pPr>
      <w:spacing w:beforeAutospacing="1" w:afterAutospacing="1"/>
    </w:pPr>
    <w:rPr>
      <w:rFonts w:hint="eastAsia" w:cs="Times New Roman"/>
    </w:rPr>
  </w:style>
  <w:style w:type="paragraph" w:customStyle="1" w:styleId="18">
    <w:name w:val="普通(网站) Char"/>
    <w:basedOn w:val="1"/>
    <w:qFormat/>
    <w:uiPriority w:val="0"/>
    <w:pPr>
      <w:spacing w:beforeAutospacing="1" w:afterAutospacing="1"/>
    </w:pPr>
    <w:rPr>
      <w:rFonts w:hint="eastAsia" w:cs="Times New Roman"/>
    </w:rPr>
  </w:style>
  <w:style w:type="character" w:customStyle="1" w:styleId="19">
    <w:name w:val="批注框文本 Char"/>
    <w:basedOn w:val="10"/>
    <w:link w:val="5"/>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99550-B257-4546-AB00-96699E81D5B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4907</Words>
  <Characters>1264</Characters>
  <Lines>10</Lines>
  <Paragraphs>12</Paragraphs>
  <TotalTime>10</TotalTime>
  <ScaleCrop>false</ScaleCrop>
  <LinksUpToDate>false</LinksUpToDate>
  <CharactersWithSpaces>6159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2021-09-08T03:29:00Z</dcterms:created>
  <dc:creator>Administrator</dc:creator>
  <cp:lastModifiedBy>skhj</cp:lastModifiedBy>
  <cp:lastPrinted>2021-11-18T08:43:00Z</cp:lastPrinted>
  <dcterms:modified xsi:type="dcterms:W3CDTF">2021-11-19T08:02:06Z</dcterms:modified>
  <dc:title>公开报告模板</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50DCF235B07D4B87B9862CB43E9FCA70</vt:lpwstr>
  </property>
</Properties>
</file>