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shd w:val="clear" w:color="auto" w:fill="FFFFFF"/>
        <w:spacing w:before="0" w:beforeAutospacing="0" w:after="0" w:afterAutospacing="0" w:line="560" w:lineRule="exact"/>
        <w:jc w:val="center"/>
        <w:outlineLvl w:val="0"/>
        <w:rPr>
          <w:rFonts w:ascii="方正小标宋_GBK" w:eastAsia="方正小标宋_GBK"/>
          <w:sz w:val="44"/>
          <w:szCs w:val="44"/>
        </w:rPr>
      </w:pPr>
      <w:r>
        <w:rPr>
          <w:rFonts w:hint="eastAsia" w:ascii="方正小标宋_GBK" w:eastAsia="方正小标宋_GBK"/>
          <w:sz w:val="44"/>
          <w:szCs w:val="44"/>
        </w:rPr>
        <w:t>重庆市迎龙商务区建设发展中心</w:t>
      </w:r>
    </w:p>
    <w:p>
      <w:pPr>
        <w:pStyle w:val="6"/>
        <w:shd w:val="clear" w:color="auto" w:fill="FFFFFF"/>
        <w:spacing w:before="0" w:beforeAutospacing="0" w:after="0" w:afterAutospacing="0" w:line="560" w:lineRule="exact"/>
        <w:jc w:val="center"/>
        <w:outlineLvl w:val="0"/>
        <w:rPr>
          <w:rFonts w:ascii="方正小标宋_GBK" w:eastAsia="方正小标宋_GBK"/>
          <w:sz w:val="44"/>
          <w:szCs w:val="44"/>
        </w:rPr>
      </w:pPr>
      <w:r>
        <w:rPr>
          <w:rFonts w:hint="eastAsia" w:ascii="方正小标宋_GBK" w:eastAsia="方正小标宋_GBK"/>
          <w:sz w:val="44"/>
          <w:szCs w:val="44"/>
        </w:rPr>
        <w:t>2020年度部门决算情况说明</w:t>
      </w:r>
    </w:p>
    <w:p>
      <w:pPr>
        <w:pStyle w:val="6"/>
        <w:shd w:val="clear" w:color="auto" w:fill="FFFFFF"/>
        <w:spacing w:before="0" w:beforeAutospacing="0" w:after="0" w:afterAutospacing="0" w:line="560" w:lineRule="exact"/>
        <w:ind w:firstLine="880" w:firstLineChars="200"/>
        <w:jc w:val="both"/>
        <w:rPr>
          <w:rFonts w:ascii="方正小标宋_GBK" w:eastAsia="方正小标宋_GBK"/>
          <w:sz w:val="44"/>
          <w:szCs w:val="44"/>
        </w:rPr>
      </w:pPr>
    </w:p>
    <w:p>
      <w:pPr>
        <w:pStyle w:val="6"/>
        <w:shd w:val="clear" w:color="auto" w:fill="FFFFFF"/>
        <w:spacing w:before="0" w:beforeAutospacing="0" w:after="0" w:afterAutospacing="0" w:line="560" w:lineRule="exact"/>
        <w:ind w:firstLine="640" w:firstLineChars="200"/>
        <w:jc w:val="both"/>
        <w:outlineLvl w:val="0"/>
        <w:rPr>
          <w:rStyle w:val="9"/>
          <w:rFonts w:ascii="方正黑体_GBK" w:eastAsia="方正黑体_GBK"/>
          <w:b w:val="0"/>
          <w:sz w:val="32"/>
          <w:szCs w:val="32"/>
        </w:rPr>
      </w:pPr>
      <w:r>
        <w:rPr>
          <w:rStyle w:val="9"/>
          <w:rFonts w:hint="eastAsia" w:ascii="方正黑体_GBK" w:eastAsia="方正黑体_GBK"/>
          <w:b w:val="0"/>
          <w:sz w:val="32"/>
          <w:szCs w:val="32"/>
        </w:rPr>
        <w:t>一、部门基本情况</w:t>
      </w:r>
    </w:p>
    <w:p>
      <w:pPr>
        <w:pStyle w:val="6"/>
        <w:shd w:val="clear" w:color="auto" w:fill="FFFFFF"/>
        <w:spacing w:before="0" w:beforeAutospacing="0" w:after="0" w:afterAutospacing="0" w:line="560" w:lineRule="exact"/>
        <w:ind w:firstLine="643" w:firstLineChars="200"/>
        <w:jc w:val="both"/>
        <w:outlineLvl w:val="1"/>
        <w:rPr>
          <w:rFonts w:ascii="方正仿宋_GBK" w:eastAsia="方正仿宋_GBK"/>
          <w:color w:val="FF0000"/>
          <w:sz w:val="32"/>
          <w:szCs w:val="32"/>
        </w:rPr>
      </w:pPr>
      <w:r>
        <w:rPr>
          <w:rFonts w:hint="eastAsia" w:ascii="方正仿宋_GBK" w:eastAsia="方正仿宋_GBK"/>
          <w:b/>
          <w:sz w:val="32"/>
          <w:szCs w:val="32"/>
        </w:rPr>
        <w:t>（一）职能职责。</w:t>
      </w:r>
      <w:r>
        <w:rPr>
          <w:rFonts w:hint="eastAsia" w:ascii="方正仿宋_GBK" w:eastAsia="方正仿宋_GBK"/>
          <w:sz w:val="32"/>
          <w:szCs w:val="32"/>
        </w:rPr>
        <w:t>本单位</w:t>
      </w:r>
      <w:r>
        <w:rPr>
          <w:rFonts w:ascii="Times New Roman" w:hAnsi="Times New Roman" w:eastAsia="方正仿宋_GBK" w:cs="Times New Roman"/>
          <w:sz w:val="32"/>
          <w:szCs w:val="32"/>
        </w:rPr>
        <w:t>主要职能职责是：开展区域内重大规划专题研究、编制和实施相关规划，铁路东站和铁路枢纽的规划和建设，负责区域内现代生态高端农业综合开发及湿地公园日常管理，以及协调区域内征地拆迁、集体土地流转、农户安置、土地集约利用等工作。</w:t>
      </w:r>
    </w:p>
    <w:p>
      <w:pPr>
        <w:pStyle w:val="6"/>
        <w:shd w:val="clear" w:color="auto" w:fill="FFFFFF"/>
        <w:spacing w:before="0" w:beforeAutospacing="0" w:after="0" w:afterAutospacing="0" w:line="560" w:lineRule="exact"/>
        <w:ind w:firstLine="643" w:firstLineChars="200"/>
        <w:outlineLvl w:val="1"/>
        <w:rPr>
          <w:rFonts w:ascii="方正仿宋_GBK" w:eastAsia="方正仿宋_GBK"/>
          <w:color w:val="FF0000"/>
          <w:sz w:val="32"/>
          <w:szCs w:val="32"/>
        </w:rPr>
      </w:pPr>
      <w:r>
        <w:rPr>
          <w:rFonts w:hint="eastAsia" w:ascii="方正仿宋_GBK" w:eastAsia="方正仿宋_GBK"/>
          <w:b/>
          <w:sz w:val="32"/>
          <w:szCs w:val="32"/>
        </w:rPr>
        <w:t>（二）机构设置。</w:t>
      </w:r>
      <w:r>
        <w:rPr>
          <w:rFonts w:hint="eastAsia" w:ascii="仿宋_GB2312" w:hAnsi="仿宋" w:eastAsia="仿宋_GB2312"/>
          <w:sz w:val="32"/>
          <w:szCs w:val="32"/>
        </w:rPr>
        <w:t>内设5个职能科室：办公室、财务科、规划建设管理科、招商产业科、农业综合开发科，编制人数20人，2020年度实有人数16人，较上年度增加人员2名。</w:t>
      </w:r>
    </w:p>
    <w:p>
      <w:pPr>
        <w:pStyle w:val="6"/>
        <w:shd w:val="clear" w:color="auto" w:fill="FFFFFF"/>
        <w:spacing w:before="0" w:beforeAutospacing="0" w:after="0" w:afterAutospacing="0" w:line="560" w:lineRule="exact"/>
        <w:ind w:firstLine="643" w:firstLineChars="200"/>
        <w:jc w:val="both"/>
        <w:outlineLvl w:val="1"/>
        <w:rPr>
          <w:rFonts w:ascii="方正仿宋_GBK" w:eastAsia="方正仿宋_GBK"/>
          <w:sz w:val="32"/>
          <w:szCs w:val="32"/>
        </w:rPr>
      </w:pPr>
      <w:r>
        <w:rPr>
          <w:rFonts w:hint="eastAsia" w:ascii="方正仿宋_GBK" w:eastAsia="方正仿宋_GBK"/>
          <w:b/>
          <w:sz w:val="32"/>
          <w:szCs w:val="32"/>
        </w:rPr>
        <w:t>（三）单位构成。</w:t>
      </w:r>
      <w:r>
        <w:rPr>
          <w:rFonts w:hint="eastAsia" w:ascii="方正仿宋_GBK" w:eastAsia="方正仿宋_GBK"/>
          <w:sz w:val="32"/>
          <w:szCs w:val="32"/>
        </w:rPr>
        <w:t>本单位无下级预算单位。</w:t>
      </w:r>
    </w:p>
    <w:p>
      <w:pPr>
        <w:pStyle w:val="6"/>
        <w:shd w:val="clear" w:color="auto" w:fill="FFFFFF"/>
        <w:spacing w:before="0" w:beforeAutospacing="0" w:after="0" w:afterAutospacing="0" w:line="560" w:lineRule="exact"/>
        <w:ind w:firstLine="640" w:firstLineChars="200"/>
        <w:jc w:val="both"/>
        <w:outlineLvl w:val="0"/>
        <w:rPr>
          <w:rStyle w:val="9"/>
          <w:rFonts w:ascii="Times New Roman" w:hAnsi="Times New Roman" w:eastAsia="方正仿宋_GBK"/>
          <w:b w:val="0"/>
          <w:bCs w:val="0"/>
          <w:color w:val="FF0000"/>
          <w:sz w:val="32"/>
          <w:szCs w:val="32"/>
        </w:rPr>
      </w:pPr>
      <w:r>
        <w:rPr>
          <w:rStyle w:val="9"/>
          <w:rFonts w:hint="eastAsia" w:ascii="方正黑体_GBK" w:eastAsia="方正黑体_GBK"/>
          <w:b w:val="0"/>
          <w:sz w:val="32"/>
          <w:szCs w:val="32"/>
        </w:rPr>
        <w:t>二、部门决算情况说明</w:t>
      </w:r>
    </w:p>
    <w:p>
      <w:pPr>
        <w:pStyle w:val="6"/>
        <w:shd w:val="clear" w:color="auto" w:fill="FFFFFF"/>
        <w:spacing w:before="0" w:beforeAutospacing="0" w:after="0" w:afterAutospacing="0" w:line="560" w:lineRule="exact"/>
        <w:ind w:firstLine="643" w:firstLineChars="200"/>
        <w:jc w:val="both"/>
        <w:outlineLvl w:val="0"/>
        <w:rPr>
          <w:rFonts w:ascii="方正仿宋_GBK" w:eastAsia="方正仿宋_GBK"/>
          <w:sz w:val="32"/>
          <w:szCs w:val="32"/>
        </w:rPr>
      </w:pPr>
      <w:r>
        <w:rPr>
          <w:rStyle w:val="9"/>
          <w:rFonts w:hint="eastAsia" w:ascii="方正仿宋_GBK" w:eastAsia="方正仿宋_GBK"/>
          <w:sz w:val="32"/>
          <w:szCs w:val="32"/>
        </w:rPr>
        <w:t>（一）收入支出决算总体情况说明</w:t>
      </w:r>
    </w:p>
    <w:p>
      <w:pPr>
        <w:pStyle w:val="6"/>
        <w:shd w:val="clear" w:color="auto" w:fill="FFFFFF"/>
        <w:spacing w:before="0" w:beforeAutospacing="0" w:after="0" w:afterAutospacing="0" w:line="560" w:lineRule="exact"/>
        <w:ind w:firstLine="643" w:firstLineChars="200"/>
        <w:jc w:val="both"/>
        <w:rPr>
          <w:rFonts w:ascii="方正仿宋_GBK" w:eastAsia="方正仿宋_GBK"/>
          <w:sz w:val="32"/>
          <w:szCs w:val="32"/>
        </w:rPr>
      </w:pPr>
      <w:r>
        <w:rPr>
          <w:rFonts w:hint="eastAsia" w:ascii="方正仿宋_GBK" w:eastAsia="方正仿宋_GBK"/>
          <w:b/>
          <w:sz w:val="32"/>
          <w:szCs w:val="32"/>
        </w:rPr>
        <w:t>1.总体情况。</w:t>
      </w:r>
      <w:r>
        <w:rPr>
          <w:rFonts w:hint="eastAsia" w:ascii="方正仿宋_GBK" w:eastAsia="方正仿宋_GBK"/>
          <w:sz w:val="32"/>
          <w:szCs w:val="32"/>
        </w:rPr>
        <w:t>2020年度收入总计</w:t>
      </w:r>
      <w:r>
        <w:rPr>
          <w:rFonts w:hint="eastAsia" w:ascii="仿宋_GB2312" w:hAnsi="仿宋" w:eastAsia="仿宋_GB2312"/>
          <w:sz w:val="32"/>
          <w:szCs w:val="32"/>
        </w:rPr>
        <w:t>4615.61万元</w:t>
      </w:r>
      <w:r>
        <w:rPr>
          <w:rFonts w:hint="eastAsia" w:ascii="方正仿宋_GBK" w:eastAsia="方正仿宋_GBK"/>
          <w:sz w:val="32"/>
          <w:szCs w:val="32"/>
        </w:rPr>
        <w:t>，支出总计</w:t>
      </w:r>
      <w:r>
        <w:rPr>
          <w:rFonts w:hint="eastAsia" w:ascii="仿宋_GB2312" w:hAnsi="仿宋" w:eastAsia="仿宋_GB2312"/>
          <w:sz w:val="32"/>
          <w:szCs w:val="32"/>
        </w:rPr>
        <w:t>4615.61万元</w:t>
      </w:r>
      <w:r>
        <w:rPr>
          <w:rFonts w:hint="eastAsia" w:ascii="方正仿宋_GBK" w:eastAsia="方正仿宋_GBK"/>
          <w:sz w:val="32"/>
          <w:szCs w:val="32"/>
        </w:rPr>
        <w:t>。收</w:t>
      </w:r>
      <w:r>
        <w:rPr>
          <w:rFonts w:hint="eastAsia" w:ascii="方正仿宋_GBK" w:eastAsia="方正仿宋_GBK"/>
          <w:sz w:val="32"/>
          <w:szCs w:val="32"/>
          <w:lang w:val="en-US" w:eastAsia="zh-CN"/>
        </w:rPr>
        <w:t>入</w:t>
      </w:r>
      <w:r>
        <w:rPr>
          <w:rFonts w:hint="eastAsia" w:ascii="方正仿宋_GBK" w:eastAsia="方正仿宋_GBK"/>
          <w:sz w:val="32"/>
          <w:szCs w:val="32"/>
          <w:lang w:eastAsia="zh-CN"/>
        </w:rPr>
        <w:t>、</w:t>
      </w:r>
      <w:r>
        <w:rPr>
          <w:rFonts w:hint="eastAsia" w:ascii="方正仿宋_GBK" w:eastAsia="方正仿宋_GBK"/>
          <w:sz w:val="32"/>
          <w:szCs w:val="32"/>
          <w:lang w:val="en-US" w:eastAsia="zh-CN"/>
        </w:rPr>
        <w:t>支出</w:t>
      </w:r>
      <w:r>
        <w:rPr>
          <w:rFonts w:hint="eastAsia" w:ascii="方正仿宋_GBK" w:eastAsia="方正仿宋_GBK"/>
          <w:sz w:val="32"/>
          <w:szCs w:val="32"/>
        </w:rPr>
        <w:t>较上年决算数增加2221.86万元，增长</w:t>
      </w:r>
      <w:r>
        <w:rPr>
          <w:rFonts w:hint="eastAsia" w:ascii="方正仿宋_GBK" w:eastAsia="方正仿宋_GBK"/>
          <w:sz w:val="32"/>
          <w:szCs w:val="32"/>
          <w:lang w:val="en-US" w:eastAsia="zh-CN"/>
        </w:rPr>
        <w:t>93</w:t>
      </w:r>
      <w:r>
        <w:rPr>
          <w:rFonts w:hint="eastAsia" w:ascii="方正仿宋_GBK" w:eastAsia="方正仿宋_GBK"/>
          <w:sz w:val="32"/>
          <w:szCs w:val="32"/>
        </w:rPr>
        <w:t>%。主要原因是本年度新增项目三签安置补助资金3267.6万元，减少项目东站站前区城市设计项目专项经费1200万元。</w:t>
      </w:r>
    </w:p>
    <w:p>
      <w:pPr>
        <w:pStyle w:val="6"/>
        <w:shd w:val="clear" w:color="auto" w:fill="FFFFFF"/>
        <w:spacing w:before="0" w:beforeAutospacing="0" w:after="0" w:afterAutospacing="0" w:line="560" w:lineRule="exact"/>
        <w:ind w:firstLine="643" w:firstLineChars="200"/>
        <w:jc w:val="both"/>
        <w:rPr>
          <w:rFonts w:ascii="方正仿宋_GBK" w:eastAsia="方正仿宋_GBK"/>
          <w:sz w:val="32"/>
          <w:szCs w:val="32"/>
        </w:rPr>
      </w:pPr>
      <w:r>
        <w:rPr>
          <w:rFonts w:hint="eastAsia" w:ascii="方正仿宋_GBK" w:eastAsia="方正仿宋_GBK"/>
          <w:b/>
          <w:sz w:val="32"/>
          <w:szCs w:val="32"/>
        </w:rPr>
        <w:t>2.收入情况。</w:t>
      </w:r>
      <w:r>
        <w:rPr>
          <w:rFonts w:hint="eastAsia" w:ascii="方正仿宋_GBK" w:eastAsia="方正仿宋_GBK"/>
          <w:sz w:val="32"/>
          <w:szCs w:val="32"/>
        </w:rPr>
        <w:t>2020年度收入合计</w:t>
      </w:r>
      <w:r>
        <w:rPr>
          <w:rFonts w:hint="eastAsia" w:ascii="仿宋_GB2312" w:hAnsi="仿宋" w:eastAsia="仿宋_GB2312"/>
          <w:sz w:val="32"/>
          <w:szCs w:val="32"/>
        </w:rPr>
        <w:t>4168.74万元</w:t>
      </w:r>
      <w:r>
        <w:rPr>
          <w:rFonts w:hint="eastAsia" w:ascii="方正仿宋_GBK" w:eastAsia="方正仿宋_GBK"/>
          <w:sz w:val="32"/>
          <w:szCs w:val="32"/>
        </w:rPr>
        <w:t>，较上年决算数增加</w:t>
      </w:r>
      <w:r>
        <w:rPr>
          <w:rFonts w:hint="eastAsia" w:ascii="方正仿宋_GBK" w:eastAsia="方正仿宋_GBK"/>
          <w:sz w:val="32"/>
          <w:szCs w:val="32"/>
          <w:lang w:val="en-US" w:eastAsia="zh-CN"/>
        </w:rPr>
        <w:t>2135.34</w:t>
      </w:r>
      <w:r>
        <w:rPr>
          <w:rFonts w:hint="eastAsia" w:ascii="方正仿宋_GBK" w:eastAsia="方正仿宋_GBK"/>
          <w:sz w:val="32"/>
          <w:szCs w:val="32"/>
        </w:rPr>
        <w:t>万元，增长</w:t>
      </w:r>
      <w:r>
        <w:rPr>
          <w:rFonts w:hint="eastAsia" w:ascii="方正仿宋_GBK" w:eastAsia="方正仿宋_GBK"/>
          <w:sz w:val="32"/>
          <w:szCs w:val="32"/>
          <w:lang w:val="en-US" w:eastAsia="zh-CN"/>
        </w:rPr>
        <w:t>105</w:t>
      </w:r>
      <w:r>
        <w:rPr>
          <w:rFonts w:hint="eastAsia" w:ascii="方正仿宋_GBK" w:eastAsia="方正仿宋_GBK"/>
          <w:sz w:val="32"/>
          <w:szCs w:val="32"/>
        </w:rPr>
        <w:t>%，主要原因是本年度新增项目三签安置补助资金3267.6万元，减少项目东站站前区城市设计项目专项经费1200万元。其中：财政拨款收入</w:t>
      </w:r>
      <w:r>
        <w:rPr>
          <w:rFonts w:hint="eastAsia" w:ascii="仿宋_GB2312" w:hAnsi="仿宋" w:eastAsia="仿宋_GB2312"/>
          <w:sz w:val="32"/>
          <w:szCs w:val="32"/>
        </w:rPr>
        <w:t>4168.74万元</w:t>
      </w:r>
      <w:r>
        <w:rPr>
          <w:rFonts w:hint="eastAsia" w:ascii="方正仿宋_GBK" w:eastAsia="方正仿宋_GBK"/>
          <w:sz w:val="32"/>
          <w:szCs w:val="32"/>
        </w:rPr>
        <w:t>，占90.3%；年初结转和结余</w:t>
      </w:r>
      <w:r>
        <w:rPr>
          <w:rFonts w:hint="eastAsia" w:ascii="仿宋_GB2312" w:hAnsi="仿宋" w:eastAsia="仿宋_GB2312"/>
          <w:sz w:val="32"/>
          <w:szCs w:val="32"/>
        </w:rPr>
        <w:t>446.87万元，</w:t>
      </w:r>
      <w:r>
        <w:rPr>
          <w:rFonts w:hint="eastAsia" w:ascii="方正仿宋_GBK" w:eastAsia="方正仿宋_GBK"/>
          <w:sz w:val="32"/>
          <w:szCs w:val="32"/>
        </w:rPr>
        <w:t>占9.7%。</w:t>
      </w:r>
    </w:p>
    <w:p>
      <w:pPr>
        <w:pStyle w:val="6"/>
        <w:shd w:val="clear" w:color="auto" w:fill="FFFFFF"/>
        <w:spacing w:before="0" w:beforeAutospacing="0" w:after="0" w:afterAutospacing="0" w:line="560" w:lineRule="exact"/>
        <w:ind w:firstLine="643" w:firstLineChars="200"/>
        <w:jc w:val="both"/>
        <w:rPr>
          <w:rFonts w:ascii="方正仿宋_GBK" w:eastAsia="方正仿宋_GBK"/>
          <w:sz w:val="32"/>
          <w:szCs w:val="32"/>
        </w:rPr>
      </w:pPr>
      <w:r>
        <w:rPr>
          <w:rFonts w:hint="eastAsia" w:ascii="方正仿宋_GBK" w:eastAsia="方正仿宋_GBK"/>
          <w:b/>
          <w:sz w:val="32"/>
          <w:szCs w:val="32"/>
        </w:rPr>
        <w:t>3.支出情况。</w:t>
      </w:r>
      <w:r>
        <w:rPr>
          <w:rFonts w:hint="eastAsia" w:ascii="方正仿宋_GBK" w:eastAsia="方正仿宋_GBK"/>
          <w:sz w:val="32"/>
          <w:szCs w:val="32"/>
        </w:rPr>
        <w:t>2020年度支出合计</w:t>
      </w:r>
      <w:r>
        <w:rPr>
          <w:rFonts w:hint="eastAsia" w:ascii="仿宋_GB2312" w:hAnsi="仿宋" w:eastAsia="仿宋_GB2312"/>
          <w:sz w:val="32"/>
          <w:szCs w:val="32"/>
        </w:rPr>
        <w:t>4311.56万元</w:t>
      </w:r>
      <w:r>
        <w:rPr>
          <w:rFonts w:hint="eastAsia" w:ascii="方正仿宋_GBK" w:eastAsia="方正仿宋_GBK"/>
          <w:sz w:val="32"/>
          <w:szCs w:val="32"/>
        </w:rPr>
        <w:t>，较上年决算数增加</w:t>
      </w:r>
      <w:r>
        <w:rPr>
          <w:rFonts w:hint="eastAsia" w:ascii="方正仿宋_GBK" w:eastAsia="方正仿宋_GBK"/>
          <w:sz w:val="32"/>
          <w:szCs w:val="32"/>
          <w:lang w:val="en-US" w:eastAsia="zh-CN"/>
        </w:rPr>
        <w:t>2364.69</w:t>
      </w:r>
      <w:r>
        <w:rPr>
          <w:rFonts w:hint="eastAsia" w:ascii="方正仿宋_GBK" w:eastAsia="方正仿宋_GBK"/>
          <w:sz w:val="32"/>
          <w:szCs w:val="32"/>
        </w:rPr>
        <w:t>万元，增长</w:t>
      </w:r>
      <w:r>
        <w:rPr>
          <w:rFonts w:hint="eastAsia" w:ascii="方正仿宋_GBK" w:eastAsia="方正仿宋_GBK"/>
          <w:sz w:val="32"/>
          <w:szCs w:val="32"/>
          <w:lang w:val="en-US" w:eastAsia="zh-CN"/>
        </w:rPr>
        <w:t>121</w:t>
      </w:r>
      <w:r>
        <w:rPr>
          <w:rFonts w:hint="eastAsia" w:ascii="方正仿宋_GBK" w:eastAsia="方正仿宋_GBK"/>
          <w:sz w:val="32"/>
          <w:szCs w:val="32"/>
        </w:rPr>
        <w:t>%，主要原因是本年度新增项目三签安置补助资金3267.6万元，减少项目东站站前区城市设计项目专项经费1200万元。其中：基本支出354.9万元，占8.2%；项目支出3956.66万元，占91.8%。</w:t>
      </w:r>
    </w:p>
    <w:p>
      <w:pPr>
        <w:pStyle w:val="6"/>
        <w:shd w:val="clear" w:color="auto" w:fill="FFFFFF"/>
        <w:spacing w:before="0" w:beforeAutospacing="0" w:after="0" w:afterAutospacing="0" w:line="560" w:lineRule="exact"/>
        <w:ind w:firstLine="643" w:firstLineChars="200"/>
        <w:jc w:val="both"/>
        <w:rPr>
          <w:rFonts w:ascii="方正仿宋_GBK" w:eastAsia="方正仿宋_GBK"/>
          <w:sz w:val="32"/>
          <w:szCs w:val="32"/>
        </w:rPr>
      </w:pPr>
      <w:r>
        <w:rPr>
          <w:rFonts w:hint="eastAsia" w:ascii="方正仿宋_GBK" w:eastAsia="方正仿宋_GBK"/>
          <w:b/>
          <w:sz w:val="32"/>
          <w:szCs w:val="32"/>
        </w:rPr>
        <w:t>4.结转结余情况。</w:t>
      </w:r>
      <w:r>
        <w:rPr>
          <w:rFonts w:hint="eastAsia" w:ascii="方正仿宋_GBK" w:eastAsia="方正仿宋_GBK"/>
          <w:sz w:val="32"/>
          <w:szCs w:val="32"/>
        </w:rPr>
        <w:t>2020年度年末结转和结余304.05万元，较上年决算数减少142.82万元，下降32%，主要原因是本年度较2019年度</w:t>
      </w:r>
      <w:r>
        <w:rPr>
          <w:rFonts w:hint="eastAsia" w:ascii="方正仿宋_GBK" w:eastAsia="方正仿宋_GBK"/>
          <w:sz w:val="32"/>
          <w:szCs w:val="32"/>
          <w:lang w:val="en-US" w:eastAsia="zh-CN"/>
        </w:rPr>
        <w:t>第三批三签安置结算加快</w:t>
      </w:r>
      <w:r>
        <w:rPr>
          <w:rFonts w:hint="eastAsia" w:ascii="方正仿宋_GBK" w:eastAsia="方正仿宋_GBK"/>
          <w:sz w:val="32"/>
          <w:szCs w:val="32"/>
        </w:rPr>
        <w:t>。</w:t>
      </w:r>
    </w:p>
    <w:p>
      <w:pPr>
        <w:pStyle w:val="6"/>
        <w:shd w:val="clear" w:color="auto" w:fill="FFFFFF"/>
        <w:spacing w:before="0" w:beforeAutospacing="0" w:after="0" w:afterAutospacing="0" w:line="560" w:lineRule="exact"/>
        <w:ind w:firstLine="643" w:firstLineChars="200"/>
        <w:jc w:val="both"/>
        <w:outlineLvl w:val="0"/>
        <w:rPr>
          <w:rStyle w:val="9"/>
        </w:rPr>
      </w:pPr>
      <w:r>
        <w:rPr>
          <w:rStyle w:val="9"/>
          <w:rFonts w:hint="eastAsia" w:ascii="方正仿宋_GBK" w:eastAsia="方正仿宋_GBK"/>
          <w:sz w:val="32"/>
          <w:szCs w:val="32"/>
        </w:rPr>
        <w:t>（二）财政拨款收入支出决算总体情况说明</w:t>
      </w:r>
    </w:p>
    <w:p>
      <w:pPr>
        <w:pStyle w:val="6"/>
        <w:shd w:val="clear" w:color="auto" w:fill="FFFFFF"/>
        <w:spacing w:before="0" w:beforeAutospacing="0" w:after="0" w:afterAutospacing="0" w:line="560" w:lineRule="exact"/>
        <w:ind w:firstLine="640" w:firstLineChars="200"/>
        <w:jc w:val="both"/>
      </w:pPr>
      <w:r>
        <w:rPr>
          <w:rFonts w:hint="eastAsia" w:ascii="方正仿宋_GBK" w:eastAsia="方正仿宋_GBK"/>
          <w:bCs/>
          <w:sz w:val="32"/>
          <w:szCs w:val="32"/>
        </w:rPr>
        <w:t>2020年度财政拨款收入</w:t>
      </w:r>
      <w:r>
        <w:rPr>
          <w:rFonts w:hint="eastAsia" w:ascii="方正仿宋_GBK" w:eastAsia="方正仿宋_GBK"/>
          <w:bCs/>
          <w:sz w:val="32"/>
          <w:szCs w:val="32"/>
          <w:lang w:val="en-US" w:eastAsia="zh-CN"/>
        </w:rPr>
        <w:t>总计</w:t>
      </w:r>
      <w:r>
        <w:rPr>
          <w:rFonts w:hint="eastAsia" w:ascii="仿宋_GB2312" w:hAnsi="仿宋" w:eastAsia="仿宋_GB2312"/>
          <w:sz w:val="32"/>
          <w:szCs w:val="32"/>
        </w:rPr>
        <w:t>4615.61万元，</w:t>
      </w:r>
      <w:r>
        <w:rPr>
          <w:rFonts w:hint="eastAsia" w:ascii="仿宋_GB2312" w:hAnsi="仿宋" w:eastAsia="仿宋_GB2312"/>
          <w:sz w:val="32"/>
          <w:szCs w:val="32"/>
          <w:lang w:val="en-US" w:eastAsia="zh-CN"/>
        </w:rPr>
        <w:t>财</w:t>
      </w:r>
      <w:r>
        <w:rPr>
          <w:rFonts w:hint="eastAsia" w:ascii="方正仿宋_GBK" w:eastAsia="方正仿宋_GBK"/>
          <w:bCs/>
          <w:sz w:val="32"/>
          <w:szCs w:val="32"/>
        </w:rPr>
        <w:t>政拨款支出</w:t>
      </w:r>
      <w:r>
        <w:rPr>
          <w:rFonts w:hint="eastAsia" w:ascii="方正仿宋_GBK" w:eastAsia="方正仿宋_GBK"/>
          <w:bCs/>
          <w:sz w:val="32"/>
          <w:szCs w:val="32"/>
          <w:lang w:val="en-US" w:eastAsia="zh-CN"/>
        </w:rPr>
        <w:t>总计</w:t>
      </w:r>
      <w:r>
        <w:rPr>
          <w:rFonts w:hint="eastAsia" w:ascii="仿宋_GB2312" w:hAnsi="仿宋" w:eastAsia="仿宋_GB2312"/>
          <w:sz w:val="32"/>
          <w:szCs w:val="32"/>
        </w:rPr>
        <w:t>4615.61万元</w:t>
      </w:r>
      <w:r>
        <w:rPr>
          <w:rFonts w:hint="eastAsia" w:ascii="方正仿宋_GBK" w:eastAsia="方正仿宋_GBK"/>
          <w:bCs/>
          <w:sz w:val="32"/>
          <w:szCs w:val="32"/>
        </w:rPr>
        <w:t>。与2019 年相比，财政拨款</w:t>
      </w:r>
      <w:r>
        <w:rPr>
          <w:rFonts w:hint="eastAsia" w:ascii="方正仿宋_GBK" w:eastAsia="方正仿宋_GBK"/>
          <w:bCs/>
          <w:sz w:val="32"/>
          <w:szCs w:val="32"/>
          <w:lang w:val="en-US" w:eastAsia="zh-CN"/>
        </w:rPr>
        <w:t>收入</w:t>
      </w:r>
      <w:r>
        <w:rPr>
          <w:rFonts w:hint="eastAsia" w:ascii="方正仿宋_GBK" w:eastAsia="方正仿宋_GBK"/>
          <w:bCs/>
          <w:sz w:val="32"/>
          <w:szCs w:val="32"/>
          <w:lang w:eastAsia="zh-CN"/>
        </w:rPr>
        <w:t>、</w:t>
      </w:r>
      <w:r>
        <w:rPr>
          <w:rFonts w:hint="eastAsia" w:ascii="方正仿宋_GBK" w:eastAsia="方正仿宋_GBK"/>
          <w:bCs/>
          <w:sz w:val="32"/>
          <w:szCs w:val="32"/>
          <w:lang w:val="en-US" w:eastAsia="zh-CN"/>
        </w:rPr>
        <w:t>支出总计各</w:t>
      </w:r>
      <w:r>
        <w:rPr>
          <w:rFonts w:hint="eastAsia" w:ascii="方正仿宋_GBK" w:eastAsia="方正仿宋_GBK"/>
          <w:bCs/>
          <w:sz w:val="32"/>
          <w:szCs w:val="32"/>
        </w:rPr>
        <w:t>增加</w:t>
      </w:r>
      <w:r>
        <w:rPr>
          <w:rFonts w:hint="eastAsia" w:ascii="方正仿宋_GBK" w:eastAsia="方正仿宋_GBK"/>
          <w:sz w:val="32"/>
          <w:szCs w:val="32"/>
          <w:lang w:val="en-US" w:eastAsia="zh-CN"/>
        </w:rPr>
        <w:t>2221.86</w:t>
      </w:r>
      <w:r>
        <w:rPr>
          <w:rFonts w:hint="eastAsia" w:ascii="方正仿宋_GBK" w:eastAsia="方正仿宋_GBK"/>
          <w:sz w:val="32"/>
          <w:szCs w:val="32"/>
        </w:rPr>
        <w:t>万元</w:t>
      </w:r>
      <w:r>
        <w:rPr>
          <w:rFonts w:hint="eastAsia" w:ascii="方正仿宋_GBK" w:eastAsia="方正仿宋_GBK"/>
          <w:bCs/>
          <w:sz w:val="32"/>
          <w:szCs w:val="32"/>
        </w:rPr>
        <w:t>，增长</w:t>
      </w:r>
      <w:r>
        <w:rPr>
          <w:rFonts w:hint="eastAsia" w:ascii="方正仿宋_GBK" w:eastAsia="方正仿宋_GBK"/>
          <w:sz w:val="32"/>
          <w:szCs w:val="32"/>
          <w:lang w:val="en-US" w:eastAsia="zh-CN"/>
        </w:rPr>
        <w:t>93</w:t>
      </w:r>
      <w:r>
        <w:rPr>
          <w:rFonts w:hint="eastAsia" w:ascii="方正仿宋_GBK" w:eastAsia="方正仿宋_GBK"/>
          <w:sz w:val="32"/>
          <w:szCs w:val="32"/>
        </w:rPr>
        <w:t>%</w:t>
      </w:r>
      <w:r>
        <w:rPr>
          <w:rFonts w:hint="eastAsia" w:ascii="方正仿宋_GBK" w:eastAsia="方正仿宋_GBK"/>
          <w:bCs/>
          <w:sz w:val="32"/>
          <w:szCs w:val="32"/>
        </w:rPr>
        <w:t>。</w:t>
      </w:r>
      <w:r>
        <w:rPr>
          <w:rFonts w:hint="eastAsia" w:ascii="方正仿宋_GBK" w:eastAsia="方正仿宋_GBK"/>
          <w:sz w:val="32"/>
          <w:szCs w:val="32"/>
        </w:rPr>
        <w:t>主要原因是本年度新增项目三签安置补助资金3267.6万元，减少项目东站站前区城市设计项目专项经费1200万元。</w:t>
      </w:r>
    </w:p>
    <w:p>
      <w:pPr>
        <w:pStyle w:val="6"/>
        <w:shd w:val="clear" w:color="auto" w:fill="FFFFFF"/>
        <w:spacing w:before="0" w:beforeAutospacing="0" w:after="0" w:afterAutospacing="0" w:line="560" w:lineRule="exact"/>
        <w:ind w:firstLine="643" w:firstLineChars="200"/>
        <w:jc w:val="both"/>
        <w:outlineLvl w:val="0"/>
        <w:rPr>
          <w:rStyle w:val="9"/>
        </w:rPr>
      </w:pPr>
      <w:r>
        <w:rPr>
          <w:rStyle w:val="9"/>
          <w:rFonts w:hint="eastAsia" w:ascii="方正仿宋_GBK" w:eastAsia="方正仿宋_GBK"/>
          <w:sz w:val="32"/>
          <w:szCs w:val="32"/>
        </w:rPr>
        <w:t>（三）一般公共预算财政拨款支出决算情况说明</w:t>
      </w:r>
    </w:p>
    <w:p>
      <w:pPr>
        <w:pStyle w:val="6"/>
        <w:shd w:val="clear" w:color="auto" w:fill="FFFFFF"/>
        <w:spacing w:before="0" w:beforeAutospacing="0" w:after="0" w:afterAutospacing="0" w:line="560" w:lineRule="exact"/>
        <w:ind w:firstLine="643" w:firstLineChars="200"/>
        <w:jc w:val="both"/>
      </w:pPr>
      <w:r>
        <w:rPr>
          <w:rFonts w:hint="eastAsia" w:ascii="方正仿宋_GBK" w:eastAsia="方正仿宋_GBK"/>
          <w:b/>
          <w:sz w:val="32"/>
          <w:szCs w:val="32"/>
        </w:rPr>
        <w:t>1.收入情况。</w:t>
      </w:r>
      <w:r>
        <w:rPr>
          <w:rFonts w:hint="eastAsia" w:ascii="方正仿宋_GBK" w:eastAsia="方正仿宋_GBK"/>
          <w:sz w:val="32"/>
          <w:szCs w:val="32"/>
        </w:rPr>
        <w:t>2020年度一般公共预算财政拨款收入</w:t>
      </w:r>
      <w:r>
        <w:rPr>
          <w:rFonts w:hint="eastAsia" w:ascii="仿宋_GB2312" w:hAnsi="仿宋" w:eastAsia="仿宋_GB2312"/>
          <w:sz w:val="32"/>
          <w:szCs w:val="32"/>
        </w:rPr>
        <w:t>4168.74万元</w:t>
      </w:r>
      <w:r>
        <w:rPr>
          <w:rFonts w:hint="eastAsia" w:ascii="方正仿宋_GBK" w:eastAsia="方正仿宋_GBK"/>
          <w:sz w:val="32"/>
          <w:szCs w:val="32"/>
        </w:rPr>
        <w:t>，较上年决算数增加</w:t>
      </w:r>
      <w:r>
        <w:rPr>
          <w:rFonts w:hint="eastAsia" w:ascii="方正仿宋_GBK" w:eastAsia="方正仿宋_GBK"/>
          <w:sz w:val="32"/>
          <w:szCs w:val="32"/>
          <w:lang w:val="en-US" w:eastAsia="zh-CN"/>
        </w:rPr>
        <w:t>2135.34</w:t>
      </w:r>
      <w:r>
        <w:rPr>
          <w:rFonts w:hint="eastAsia" w:ascii="方正仿宋_GBK" w:eastAsia="方正仿宋_GBK"/>
          <w:sz w:val="32"/>
          <w:szCs w:val="32"/>
        </w:rPr>
        <w:t>万元，</w:t>
      </w:r>
      <w:r>
        <w:rPr>
          <w:rFonts w:hint="eastAsia" w:ascii="方正仿宋_GBK" w:eastAsia="方正仿宋_GBK"/>
          <w:bCs/>
          <w:sz w:val="32"/>
          <w:szCs w:val="32"/>
        </w:rPr>
        <w:t>增长</w:t>
      </w:r>
      <w:r>
        <w:rPr>
          <w:rFonts w:hint="eastAsia" w:ascii="方正仿宋_GBK" w:eastAsia="方正仿宋_GBK"/>
          <w:sz w:val="32"/>
          <w:szCs w:val="32"/>
          <w:lang w:val="en-US" w:eastAsia="zh-CN"/>
        </w:rPr>
        <w:t>105</w:t>
      </w:r>
      <w:r>
        <w:rPr>
          <w:rFonts w:hint="eastAsia" w:ascii="方正仿宋_GBK" w:eastAsia="方正仿宋_GBK"/>
          <w:sz w:val="32"/>
          <w:szCs w:val="32"/>
        </w:rPr>
        <w:t>%。与年初预算数保持一致。主要原因是本年度新增项目三签安置补助资金3267.6万元，减少项目东站站前区城市设计项目专项经费1200万元。此外，年初财政拨款结转和结余</w:t>
      </w:r>
      <w:r>
        <w:rPr>
          <w:rFonts w:hint="eastAsia" w:ascii="仿宋_GB2312" w:hAnsi="仿宋" w:eastAsia="仿宋_GB2312"/>
          <w:sz w:val="32"/>
          <w:szCs w:val="32"/>
        </w:rPr>
        <w:t>446.87万元</w:t>
      </w:r>
      <w:r>
        <w:rPr>
          <w:rFonts w:hint="eastAsia" w:ascii="方正仿宋_GBK" w:eastAsia="方正仿宋_GBK"/>
          <w:sz w:val="32"/>
          <w:szCs w:val="32"/>
        </w:rPr>
        <w:t>。</w:t>
      </w:r>
    </w:p>
    <w:p>
      <w:pPr>
        <w:pStyle w:val="6"/>
        <w:shd w:val="clear" w:color="auto" w:fill="FFFFFF"/>
        <w:spacing w:before="0" w:beforeAutospacing="0" w:after="0" w:afterAutospacing="0" w:line="560" w:lineRule="exact"/>
        <w:ind w:firstLine="643" w:firstLineChars="200"/>
        <w:jc w:val="both"/>
        <w:rPr>
          <w:rFonts w:ascii="方正仿宋_GBK" w:eastAsia="方正仿宋_GBK"/>
          <w:sz w:val="32"/>
          <w:szCs w:val="32"/>
        </w:rPr>
      </w:pPr>
      <w:r>
        <w:rPr>
          <w:rFonts w:hint="eastAsia" w:ascii="方正仿宋_GBK" w:eastAsia="方正仿宋_GBK"/>
          <w:b/>
          <w:sz w:val="32"/>
          <w:szCs w:val="32"/>
        </w:rPr>
        <w:t>2.支出情况。</w:t>
      </w:r>
      <w:r>
        <w:rPr>
          <w:rFonts w:hint="eastAsia" w:ascii="方正仿宋_GBK" w:eastAsia="方正仿宋_GBK"/>
          <w:sz w:val="32"/>
          <w:szCs w:val="32"/>
        </w:rPr>
        <w:t>2020年度一般公共预算财政拨款支出</w:t>
      </w:r>
      <w:r>
        <w:rPr>
          <w:rFonts w:hint="eastAsia" w:ascii="仿宋_GB2312" w:hAnsi="仿宋" w:eastAsia="仿宋_GB2312"/>
          <w:sz w:val="32"/>
          <w:szCs w:val="32"/>
        </w:rPr>
        <w:t>4311.56万元</w:t>
      </w:r>
      <w:r>
        <w:rPr>
          <w:rFonts w:hint="eastAsia" w:ascii="方正仿宋_GBK" w:eastAsia="方正仿宋_GBK"/>
          <w:sz w:val="32"/>
          <w:szCs w:val="32"/>
        </w:rPr>
        <w:t>，较上年决算数增加</w:t>
      </w:r>
      <w:r>
        <w:rPr>
          <w:rFonts w:hint="eastAsia" w:ascii="方正仿宋_GBK" w:eastAsia="方正仿宋_GBK"/>
          <w:sz w:val="32"/>
          <w:szCs w:val="32"/>
          <w:lang w:val="en-US" w:eastAsia="zh-CN"/>
        </w:rPr>
        <w:t>2364.69</w:t>
      </w:r>
      <w:r>
        <w:rPr>
          <w:rFonts w:hint="eastAsia" w:ascii="方正仿宋_GBK" w:eastAsia="方正仿宋_GBK"/>
          <w:sz w:val="32"/>
          <w:szCs w:val="32"/>
        </w:rPr>
        <w:t>万元，增长</w:t>
      </w:r>
      <w:r>
        <w:rPr>
          <w:rFonts w:hint="eastAsia" w:ascii="方正仿宋_GBK" w:eastAsia="方正仿宋_GBK"/>
          <w:sz w:val="32"/>
          <w:szCs w:val="32"/>
          <w:lang w:val="en-US" w:eastAsia="zh-CN"/>
        </w:rPr>
        <w:t>121</w:t>
      </w:r>
      <w:r>
        <w:rPr>
          <w:rFonts w:hint="eastAsia" w:ascii="方正仿宋_GBK" w:eastAsia="方正仿宋_GBK"/>
          <w:sz w:val="32"/>
          <w:szCs w:val="32"/>
        </w:rPr>
        <w:t>%。与年初预算数保持一致。主要原因是本年度新增项目三签安置补助资金3267.6万元，减少项目东站站前区城市设计项目专项经费1200万元。</w:t>
      </w:r>
    </w:p>
    <w:p>
      <w:pPr>
        <w:pStyle w:val="6"/>
        <w:shd w:val="clear" w:color="auto" w:fill="FFFFFF"/>
        <w:spacing w:before="0" w:beforeAutospacing="0" w:after="0" w:afterAutospacing="0" w:line="560" w:lineRule="exact"/>
        <w:ind w:firstLine="643" w:firstLineChars="200"/>
        <w:jc w:val="both"/>
        <w:rPr>
          <w:rFonts w:ascii="方正仿宋_GBK" w:eastAsia="方正仿宋_GBK"/>
          <w:sz w:val="32"/>
          <w:szCs w:val="32"/>
        </w:rPr>
      </w:pPr>
      <w:r>
        <w:rPr>
          <w:rFonts w:hint="eastAsia" w:ascii="方正仿宋_GBK" w:eastAsia="方正仿宋_GBK"/>
          <w:b/>
          <w:sz w:val="32"/>
          <w:szCs w:val="32"/>
        </w:rPr>
        <w:t>3.结转结余情况。</w:t>
      </w:r>
      <w:r>
        <w:rPr>
          <w:rFonts w:hint="eastAsia" w:ascii="方正仿宋_GBK" w:eastAsia="方正仿宋_GBK"/>
          <w:sz w:val="32"/>
          <w:szCs w:val="32"/>
        </w:rPr>
        <w:t>2020年度年末一般公共预算财政拨款结转和结余304.05万元，较上年决算数减少142.82万元，下降32%，主要原因是本年度较2019年度</w:t>
      </w:r>
      <w:r>
        <w:rPr>
          <w:rFonts w:hint="eastAsia" w:ascii="方正仿宋_GBK" w:eastAsia="方正仿宋_GBK"/>
          <w:sz w:val="32"/>
          <w:szCs w:val="32"/>
          <w:lang w:val="en-US" w:eastAsia="zh-CN"/>
        </w:rPr>
        <w:t>第三批三签安置结算加快</w:t>
      </w:r>
      <w:r>
        <w:rPr>
          <w:rFonts w:hint="eastAsia" w:ascii="方正仿宋_GBK" w:eastAsia="方正仿宋_GBK"/>
          <w:sz w:val="32"/>
          <w:szCs w:val="32"/>
        </w:rPr>
        <w:t>。</w:t>
      </w:r>
    </w:p>
    <w:p>
      <w:pPr>
        <w:pStyle w:val="6"/>
        <w:widowControl w:val="0"/>
        <w:shd w:val="clear" w:color="auto" w:fill="FFFFFF"/>
        <w:spacing w:before="0" w:beforeAutospacing="0" w:after="0" w:afterAutospacing="0" w:line="560" w:lineRule="exact"/>
        <w:ind w:firstLine="643" w:firstLineChars="200"/>
        <w:jc w:val="both"/>
        <w:rPr>
          <w:rFonts w:ascii="方正仿宋_GBK" w:eastAsia="方正仿宋_GBK"/>
          <w:color w:val="FF0000"/>
          <w:sz w:val="32"/>
          <w:szCs w:val="32"/>
        </w:rPr>
      </w:pPr>
      <w:r>
        <w:rPr>
          <w:rFonts w:hint="eastAsia" w:ascii="方正仿宋_GBK" w:eastAsia="方正仿宋_GBK"/>
          <w:b/>
          <w:sz w:val="32"/>
          <w:szCs w:val="32"/>
        </w:rPr>
        <w:t>4.比较情况。</w:t>
      </w:r>
      <w:r>
        <w:rPr>
          <w:rFonts w:hint="eastAsia" w:ascii="方正仿宋_GBK" w:eastAsia="方正仿宋_GBK"/>
          <w:sz w:val="32"/>
          <w:szCs w:val="32"/>
        </w:rPr>
        <w:t>本部门2020年度一般公共预算财政拨款支出主要用于以下几个方面：</w:t>
      </w:r>
    </w:p>
    <w:p>
      <w:pPr>
        <w:pStyle w:val="6"/>
        <w:shd w:val="clear" w:color="auto" w:fill="FFFFFF"/>
        <w:spacing w:before="0" w:beforeAutospacing="0" w:after="0" w:afterAutospacing="0" w:line="560" w:lineRule="exact"/>
        <w:ind w:firstLine="640" w:firstLineChars="200"/>
        <w:jc w:val="both"/>
        <w:rPr>
          <w:rFonts w:ascii="方正仿宋_GBK" w:eastAsia="方正仿宋_GBK"/>
          <w:sz w:val="32"/>
          <w:szCs w:val="32"/>
        </w:rPr>
      </w:pPr>
      <w:r>
        <w:rPr>
          <w:rFonts w:hint="eastAsia" w:ascii="方正仿宋_GBK" w:eastAsia="方正仿宋_GBK"/>
          <w:sz w:val="32"/>
          <w:szCs w:val="32"/>
        </w:rPr>
        <w:t>（1）一般公共服务支出864.62万元，占20%，较年初预算数减少304.05万元，下降26%，主要原因是本年度</w:t>
      </w:r>
      <w:r>
        <w:rPr>
          <w:rFonts w:hint="eastAsia" w:ascii="方正仿宋_GBK" w:eastAsia="方正仿宋_GBK"/>
          <w:sz w:val="32"/>
          <w:szCs w:val="32"/>
          <w:lang w:val="en-US" w:eastAsia="zh-CN"/>
        </w:rPr>
        <w:t>项目支出按合同未达支付节点</w:t>
      </w:r>
      <w:r>
        <w:rPr>
          <w:rFonts w:hint="eastAsia" w:ascii="方正仿宋_GBK" w:eastAsia="方正仿宋_GBK"/>
          <w:sz w:val="32"/>
          <w:szCs w:val="32"/>
        </w:rPr>
        <w:t>。</w:t>
      </w:r>
    </w:p>
    <w:p>
      <w:pPr>
        <w:pStyle w:val="6"/>
        <w:shd w:val="clear" w:color="auto" w:fill="FFFFFF"/>
        <w:spacing w:before="0" w:beforeAutospacing="0" w:after="0" w:afterAutospacing="0" w:line="560" w:lineRule="exact"/>
        <w:ind w:firstLine="640" w:firstLineChars="200"/>
        <w:jc w:val="both"/>
        <w:rPr>
          <w:rFonts w:ascii="方正仿宋_GBK" w:eastAsia="方正仿宋_GBK"/>
          <w:sz w:val="32"/>
          <w:szCs w:val="32"/>
        </w:rPr>
      </w:pPr>
      <w:r>
        <w:rPr>
          <w:rFonts w:hint="eastAsia" w:ascii="方正仿宋_GBK" w:eastAsia="方正仿宋_GBK"/>
          <w:sz w:val="32"/>
          <w:szCs w:val="32"/>
        </w:rPr>
        <w:t>（2）社会保障与就业支出26.05万元，占0.5%，与年初预算数保持一致。</w:t>
      </w:r>
    </w:p>
    <w:p>
      <w:pPr>
        <w:pStyle w:val="6"/>
        <w:shd w:val="clear" w:color="auto" w:fill="FFFFFF"/>
        <w:spacing w:before="0" w:beforeAutospacing="0" w:after="0" w:afterAutospacing="0" w:line="560" w:lineRule="exact"/>
        <w:ind w:firstLine="640" w:firstLineChars="200"/>
        <w:jc w:val="both"/>
        <w:rPr>
          <w:rFonts w:ascii="方正仿宋_GBK" w:eastAsia="方正仿宋_GBK"/>
          <w:sz w:val="32"/>
          <w:szCs w:val="32"/>
        </w:rPr>
      </w:pPr>
      <w:r>
        <w:rPr>
          <w:rFonts w:hint="eastAsia" w:ascii="方正仿宋_GBK" w:eastAsia="方正仿宋_GBK"/>
          <w:sz w:val="32"/>
          <w:szCs w:val="32"/>
        </w:rPr>
        <w:t>（3）卫生健康支出15.28万元，占0.4%，与年初预算数保持一致。</w:t>
      </w:r>
    </w:p>
    <w:p>
      <w:pPr>
        <w:pStyle w:val="6"/>
        <w:shd w:val="clear" w:color="auto" w:fill="FFFFFF"/>
        <w:spacing w:before="0" w:beforeAutospacing="0" w:after="0" w:afterAutospacing="0" w:line="560" w:lineRule="exact"/>
        <w:ind w:firstLine="640" w:firstLineChars="200"/>
        <w:jc w:val="both"/>
        <w:rPr>
          <w:rFonts w:ascii="方正仿宋_GBK" w:eastAsia="方正仿宋_GBK"/>
          <w:sz w:val="32"/>
          <w:szCs w:val="32"/>
        </w:rPr>
      </w:pPr>
      <w:r>
        <w:rPr>
          <w:rFonts w:hint="eastAsia" w:ascii="方正仿宋_GBK" w:eastAsia="方正仿宋_GBK"/>
          <w:sz w:val="32"/>
          <w:szCs w:val="32"/>
        </w:rPr>
        <w:t>（4）节能环保支出2.2万元，占0.1%，与年初预算数保持一致。</w:t>
      </w:r>
    </w:p>
    <w:p>
      <w:pPr>
        <w:pStyle w:val="6"/>
        <w:shd w:val="clear" w:color="auto" w:fill="FFFFFF"/>
        <w:spacing w:before="0" w:beforeAutospacing="0" w:after="0" w:afterAutospacing="0" w:line="560" w:lineRule="exact"/>
        <w:ind w:firstLine="640" w:firstLineChars="200"/>
        <w:jc w:val="both"/>
        <w:rPr>
          <w:rFonts w:ascii="方正仿宋_GBK" w:eastAsia="方正仿宋_GBK"/>
          <w:sz w:val="32"/>
          <w:szCs w:val="32"/>
        </w:rPr>
      </w:pPr>
      <w:r>
        <w:rPr>
          <w:rFonts w:hint="eastAsia" w:ascii="方正仿宋_GBK" w:eastAsia="方正仿宋_GBK"/>
          <w:sz w:val="32"/>
          <w:szCs w:val="32"/>
        </w:rPr>
        <w:t>（5）城乡社区支出112.84万元，占2.6%，与年初预算数保持一致。</w:t>
      </w:r>
    </w:p>
    <w:p>
      <w:pPr>
        <w:pStyle w:val="6"/>
        <w:shd w:val="clear" w:color="auto" w:fill="FFFFFF"/>
        <w:spacing w:before="0" w:beforeAutospacing="0" w:after="0" w:afterAutospacing="0" w:line="560" w:lineRule="exact"/>
        <w:ind w:firstLine="640" w:firstLineChars="200"/>
        <w:jc w:val="both"/>
        <w:rPr>
          <w:rFonts w:ascii="方正仿宋_GBK" w:eastAsia="方正仿宋_GBK"/>
          <w:sz w:val="32"/>
          <w:szCs w:val="32"/>
        </w:rPr>
      </w:pPr>
      <w:r>
        <w:rPr>
          <w:rFonts w:hint="eastAsia" w:ascii="方正仿宋_GBK" w:eastAsia="方正仿宋_GBK"/>
          <w:sz w:val="32"/>
          <w:szCs w:val="32"/>
        </w:rPr>
        <w:t>（6）农林水支出3267.6万元，占75.8%，与年初预算数保持一致。</w:t>
      </w:r>
    </w:p>
    <w:p>
      <w:pPr>
        <w:pStyle w:val="6"/>
        <w:shd w:val="clear" w:color="auto" w:fill="FFFFFF"/>
        <w:spacing w:before="0" w:beforeAutospacing="0" w:after="0" w:afterAutospacing="0" w:line="560" w:lineRule="exact"/>
        <w:ind w:firstLine="640" w:firstLineChars="200"/>
        <w:jc w:val="both"/>
        <w:rPr>
          <w:rFonts w:ascii="方正仿宋_GBK" w:eastAsia="方正仿宋_GBK"/>
          <w:sz w:val="32"/>
          <w:szCs w:val="32"/>
        </w:rPr>
      </w:pPr>
      <w:r>
        <w:rPr>
          <w:rFonts w:hint="eastAsia" w:ascii="方正仿宋_GBK" w:eastAsia="方正仿宋_GBK"/>
          <w:sz w:val="32"/>
          <w:szCs w:val="32"/>
        </w:rPr>
        <w:t>（7）住房保障支出19.97万元，占0.5%，与年初预算数保持一致。</w:t>
      </w:r>
    </w:p>
    <w:p>
      <w:pPr>
        <w:pStyle w:val="6"/>
        <w:shd w:val="clear" w:color="auto" w:fill="FFFFFF"/>
        <w:spacing w:before="0" w:beforeAutospacing="0" w:after="0" w:afterAutospacing="0" w:line="560" w:lineRule="exact"/>
        <w:ind w:firstLine="640" w:firstLineChars="200"/>
        <w:jc w:val="both"/>
        <w:rPr>
          <w:rFonts w:ascii="方正仿宋_GBK" w:eastAsia="方正仿宋_GBK"/>
          <w:sz w:val="32"/>
          <w:szCs w:val="32"/>
        </w:rPr>
      </w:pPr>
      <w:r>
        <w:rPr>
          <w:rFonts w:hint="eastAsia" w:ascii="方正仿宋_GBK" w:eastAsia="方正仿宋_GBK"/>
          <w:sz w:val="32"/>
          <w:szCs w:val="32"/>
        </w:rPr>
        <w:t>（8）灾害防治及应急管理支出3万元，占0.1%，与年初预算数保持一致。</w:t>
      </w:r>
    </w:p>
    <w:p>
      <w:pPr>
        <w:pStyle w:val="6"/>
        <w:shd w:val="clear" w:color="auto" w:fill="FFFFFF"/>
        <w:spacing w:before="0" w:beforeAutospacing="0" w:after="0" w:afterAutospacing="0" w:line="560" w:lineRule="exact"/>
        <w:ind w:firstLine="643" w:firstLineChars="200"/>
        <w:jc w:val="both"/>
        <w:outlineLvl w:val="0"/>
        <w:rPr>
          <w:rFonts w:ascii="方正仿宋_GBK" w:eastAsia="方正仿宋_GBK"/>
          <w:sz w:val="32"/>
          <w:szCs w:val="32"/>
        </w:rPr>
      </w:pPr>
      <w:r>
        <w:rPr>
          <w:rStyle w:val="9"/>
          <w:rFonts w:hint="eastAsia" w:ascii="方正仿宋_GBK" w:eastAsia="方正仿宋_GBK"/>
          <w:sz w:val="32"/>
          <w:szCs w:val="32"/>
        </w:rPr>
        <w:t>（四）一般公共预算财政拨款基本支出决算情况说明</w:t>
      </w:r>
    </w:p>
    <w:p>
      <w:pPr>
        <w:pStyle w:val="6"/>
        <w:shd w:val="clear" w:color="auto" w:fill="FFFFFF"/>
        <w:spacing w:before="0" w:beforeAutospacing="0" w:after="0" w:afterAutospacing="0" w:line="560" w:lineRule="exact"/>
        <w:ind w:firstLine="640" w:firstLineChars="200"/>
        <w:jc w:val="both"/>
        <w:rPr>
          <w:rFonts w:ascii="方正仿宋_GBK" w:eastAsia="方正仿宋_GBK"/>
          <w:sz w:val="32"/>
          <w:szCs w:val="32"/>
        </w:rPr>
      </w:pPr>
      <w:r>
        <w:rPr>
          <w:rFonts w:hint="eastAsia" w:ascii="方正仿宋_GBK" w:eastAsia="方正仿宋_GBK"/>
          <w:sz w:val="32"/>
          <w:szCs w:val="32"/>
        </w:rPr>
        <w:t>2020年度一般公共财政拨款基本支出354.9万元。其中：人员经费247.6万元，较上年决算数增加14.43万元，增长6%，主要原因是本年度增加人员2名。人员经费用途主要包括:基本工资、津贴补贴、绩效工资、机关事业单位基本养老保险缴费、职业年金缴费、职工基本医疗保险缴费、其他社会保障缴费、住房公积金、医疗费、其他工资福利支出。公用经费107.3万元，较上年决算数增加26.47万元，增长33%，主要原因是本年度增加人员2名。公用经费用途主要包括:办公费、印刷费、咨询费、手续费、差旅费、租赁费、会议费、培训费、公务接待费、委托业务费、工会经费、公务用车运行维护费、其他商品和服务支出。</w:t>
      </w:r>
    </w:p>
    <w:p>
      <w:pPr>
        <w:pStyle w:val="6"/>
        <w:shd w:val="clear" w:color="auto" w:fill="FFFFFF"/>
        <w:spacing w:before="0" w:beforeAutospacing="0" w:after="0" w:afterAutospacing="0" w:line="560" w:lineRule="exact"/>
        <w:ind w:firstLine="643" w:firstLineChars="200"/>
        <w:jc w:val="both"/>
        <w:outlineLvl w:val="0"/>
        <w:rPr>
          <w:rStyle w:val="9"/>
        </w:rPr>
      </w:pPr>
      <w:r>
        <w:rPr>
          <w:rStyle w:val="9"/>
          <w:rFonts w:hint="eastAsia" w:ascii="方正仿宋_GBK" w:eastAsia="方正仿宋_GBK"/>
          <w:sz w:val="32"/>
          <w:szCs w:val="32"/>
        </w:rPr>
        <w:t>（五）政府性基金预算收支决算情况说明</w:t>
      </w:r>
    </w:p>
    <w:p>
      <w:pPr>
        <w:pStyle w:val="6"/>
        <w:shd w:val="clear" w:color="auto" w:fill="FFFFFF"/>
        <w:spacing w:before="0" w:beforeAutospacing="0" w:after="0" w:afterAutospacing="0" w:line="560" w:lineRule="exact"/>
        <w:ind w:firstLine="640" w:firstLineChars="200"/>
        <w:jc w:val="both"/>
        <w:rPr>
          <w:rFonts w:ascii="方正仿宋_GBK" w:eastAsia="方正仿宋_GBK"/>
          <w:sz w:val="32"/>
          <w:szCs w:val="32"/>
        </w:rPr>
      </w:pPr>
      <w:r>
        <w:rPr>
          <w:rFonts w:hint="eastAsia" w:ascii="方正仿宋_GBK" w:eastAsia="方正仿宋_GBK"/>
          <w:sz w:val="32"/>
          <w:szCs w:val="32"/>
        </w:rPr>
        <w:t>本部门2020年度无政府性基金预算财政拨款收支。</w:t>
      </w:r>
    </w:p>
    <w:p>
      <w:pPr>
        <w:pStyle w:val="6"/>
        <w:shd w:val="clear" w:color="auto" w:fill="FFFFFF"/>
        <w:spacing w:before="0" w:beforeAutospacing="0" w:after="0" w:afterAutospacing="0" w:line="560" w:lineRule="exact"/>
        <w:ind w:firstLine="643" w:firstLineChars="200"/>
        <w:jc w:val="both"/>
        <w:outlineLvl w:val="0"/>
        <w:rPr>
          <w:rStyle w:val="9"/>
        </w:rPr>
      </w:pPr>
      <w:r>
        <w:rPr>
          <w:rStyle w:val="9"/>
          <w:rFonts w:hint="eastAsia" w:ascii="方正仿宋_GBK" w:eastAsia="方正仿宋_GBK"/>
          <w:sz w:val="32"/>
          <w:szCs w:val="32"/>
        </w:rPr>
        <w:t>（六）国有资本经营预算财政拨款支出决算情况说明</w:t>
      </w:r>
    </w:p>
    <w:p>
      <w:pPr>
        <w:pStyle w:val="6"/>
        <w:shd w:val="clear" w:color="auto" w:fill="FFFFFF"/>
        <w:spacing w:before="0" w:beforeAutospacing="0" w:after="0" w:afterAutospacing="0" w:line="560" w:lineRule="exact"/>
        <w:ind w:firstLine="640" w:firstLineChars="200"/>
        <w:jc w:val="both"/>
        <w:rPr>
          <w:rFonts w:ascii="方正仿宋_GBK" w:eastAsia="方正仿宋_GBK"/>
          <w:bCs/>
          <w:sz w:val="32"/>
          <w:szCs w:val="32"/>
          <w:highlight w:val="yellow"/>
        </w:rPr>
      </w:pPr>
      <w:r>
        <w:rPr>
          <w:rFonts w:hint="eastAsia" w:ascii="方正仿宋_GBK" w:eastAsia="方正仿宋_GBK"/>
          <w:sz w:val="32"/>
          <w:szCs w:val="32"/>
        </w:rPr>
        <w:t>本部门2020年度无国有资本经营预算财政拨款支出。</w:t>
      </w:r>
    </w:p>
    <w:p>
      <w:pPr>
        <w:pStyle w:val="6"/>
        <w:shd w:val="clear" w:color="auto" w:fill="FFFFFF"/>
        <w:spacing w:before="0" w:beforeAutospacing="0" w:after="0" w:afterAutospacing="0" w:line="560" w:lineRule="exact"/>
        <w:ind w:firstLine="640" w:firstLineChars="200"/>
        <w:jc w:val="both"/>
        <w:outlineLvl w:val="0"/>
        <w:rPr>
          <w:rStyle w:val="9"/>
          <w:rFonts w:ascii="方正黑体_GBK" w:eastAsia="方正黑体_GBK"/>
        </w:rPr>
      </w:pPr>
      <w:r>
        <w:rPr>
          <w:rStyle w:val="9"/>
          <w:rFonts w:hint="eastAsia" w:ascii="方正黑体_GBK" w:eastAsia="方正黑体_GBK"/>
          <w:b w:val="0"/>
          <w:sz w:val="32"/>
          <w:szCs w:val="32"/>
        </w:rPr>
        <w:t>三、“三公”经费情况说明</w:t>
      </w:r>
    </w:p>
    <w:p>
      <w:pPr>
        <w:pStyle w:val="6"/>
        <w:shd w:val="clear" w:color="auto" w:fill="FFFFFF"/>
        <w:spacing w:before="0" w:beforeAutospacing="0" w:after="0" w:afterAutospacing="0" w:line="560" w:lineRule="exact"/>
        <w:ind w:firstLine="643" w:firstLineChars="200"/>
        <w:jc w:val="both"/>
        <w:outlineLvl w:val="1"/>
        <w:rPr>
          <w:rFonts w:ascii="方正仿宋_GBK" w:eastAsia="方正仿宋_GBK"/>
          <w:sz w:val="32"/>
          <w:szCs w:val="32"/>
        </w:rPr>
      </w:pPr>
      <w:r>
        <w:rPr>
          <w:rStyle w:val="9"/>
          <w:rFonts w:hint="eastAsia" w:ascii="方正仿宋_GBK" w:eastAsia="方正仿宋_GBK"/>
          <w:sz w:val="32"/>
          <w:szCs w:val="32"/>
        </w:rPr>
        <w:t>（一）“三公”经费支出总体情况说明</w:t>
      </w:r>
    </w:p>
    <w:p>
      <w:pPr>
        <w:pStyle w:val="6"/>
        <w:widowControl w:val="0"/>
        <w:shd w:val="clear" w:color="auto" w:fill="FFFFFF"/>
        <w:spacing w:before="0" w:beforeAutospacing="0" w:after="0" w:afterAutospacing="0" w:line="560" w:lineRule="exact"/>
        <w:ind w:firstLine="640" w:firstLineChars="200"/>
        <w:jc w:val="both"/>
        <w:rPr>
          <w:rFonts w:ascii="方正仿宋_GBK" w:eastAsia="方正仿宋_GBK"/>
          <w:sz w:val="32"/>
          <w:szCs w:val="32"/>
        </w:rPr>
      </w:pPr>
      <w:r>
        <w:rPr>
          <w:rFonts w:hint="eastAsia" w:ascii="方正仿宋_GBK" w:eastAsia="方正仿宋_GBK"/>
          <w:sz w:val="32"/>
          <w:szCs w:val="32"/>
        </w:rPr>
        <w:t>2020年度“三公”经费支出共计2.34万元。较上年支出数减少3.8万元，下降62%，</w:t>
      </w:r>
      <w:r>
        <w:rPr>
          <w:rFonts w:hint="eastAsia" w:ascii="方正仿宋_GBK" w:eastAsia="方正仿宋_GBK"/>
          <w:sz w:val="32"/>
          <w:szCs w:val="32"/>
          <w:lang w:val="en-US" w:eastAsia="zh-CN"/>
        </w:rPr>
        <w:t>与</w:t>
      </w:r>
      <w:r>
        <w:rPr>
          <w:rFonts w:hint="eastAsia" w:ascii="方正仿宋_GBK" w:eastAsia="方正仿宋_GBK"/>
          <w:sz w:val="32"/>
          <w:szCs w:val="32"/>
        </w:rPr>
        <w:t>年初预算数保持一致</w:t>
      </w:r>
      <w:r>
        <w:rPr>
          <w:rFonts w:hint="eastAsia" w:ascii="方正仿宋_GBK" w:eastAsia="方正仿宋_GBK"/>
          <w:sz w:val="32"/>
          <w:szCs w:val="32"/>
          <w:lang w:eastAsia="zh-CN"/>
        </w:rPr>
        <w:t>。</w:t>
      </w:r>
      <w:r>
        <w:rPr>
          <w:rFonts w:hint="eastAsia" w:ascii="方正仿宋_GBK" w:eastAsia="方正仿宋_GBK"/>
          <w:sz w:val="32"/>
          <w:szCs w:val="32"/>
        </w:rPr>
        <w:t>主要原因一是认真贯彻落实中央八项规定精神，按照只减不增的要求从严控制“三公”经费。二是</w:t>
      </w:r>
      <w:r>
        <w:rPr>
          <w:rFonts w:hint="eastAsia" w:ascii="方正仿宋_GBK" w:eastAsia="方正仿宋_GBK"/>
          <w:sz w:val="32"/>
          <w:szCs w:val="32"/>
          <w:lang w:val="en-US" w:eastAsia="zh-CN"/>
        </w:rPr>
        <w:t>规范</w:t>
      </w:r>
      <w:r>
        <w:rPr>
          <w:rFonts w:hint="eastAsia" w:ascii="方正仿宋_GBK" w:eastAsia="方正仿宋_GBK"/>
          <w:sz w:val="32"/>
          <w:szCs w:val="32"/>
        </w:rPr>
        <w:t>公车</w:t>
      </w:r>
      <w:r>
        <w:rPr>
          <w:rFonts w:hint="eastAsia" w:ascii="方正仿宋_GBK" w:eastAsia="方正仿宋_GBK"/>
          <w:sz w:val="32"/>
          <w:szCs w:val="32"/>
          <w:lang w:val="en-US" w:eastAsia="zh-CN"/>
        </w:rPr>
        <w:t>管理运行</w:t>
      </w:r>
      <w:r>
        <w:rPr>
          <w:rFonts w:hint="eastAsia" w:ascii="方正仿宋_GBK" w:eastAsia="方正仿宋_GBK"/>
          <w:sz w:val="32"/>
          <w:szCs w:val="32"/>
        </w:rPr>
        <w:t>，公车运行维护成本</w:t>
      </w:r>
      <w:r>
        <w:rPr>
          <w:rFonts w:hint="eastAsia" w:ascii="方正仿宋_GBK" w:eastAsia="方正仿宋_GBK"/>
          <w:sz w:val="32"/>
          <w:szCs w:val="32"/>
          <w:lang w:val="en-US" w:eastAsia="zh-CN"/>
        </w:rPr>
        <w:t>有所</w:t>
      </w:r>
      <w:r>
        <w:rPr>
          <w:rFonts w:hint="eastAsia" w:ascii="方正仿宋_GBK" w:eastAsia="方正仿宋_GBK"/>
          <w:sz w:val="32"/>
          <w:szCs w:val="32"/>
        </w:rPr>
        <w:t>下降。三是强化公务接待支出管理，严格遵守公务接待开支范围和开支标准，严格控制陪餐人数，对应由接待对象承担的费用一律由接待对象自行支付，公务接待费大幅下降。四是进一步规范因公出国（境）活动，今年未安排人员出国出访。</w:t>
      </w:r>
    </w:p>
    <w:p>
      <w:pPr>
        <w:pStyle w:val="6"/>
        <w:shd w:val="clear" w:color="auto" w:fill="FFFFFF"/>
        <w:spacing w:before="0" w:beforeAutospacing="0" w:after="0" w:afterAutospacing="0" w:line="560" w:lineRule="exact"/>
        <w:ind w:firstLine="643" w:firstLineChars="200"/>
        <w:jc w:val="both"/>
        <w:outlineLvl w:val="1"/>
        <w:rPr>
          <w:rFonts w:ascii="方正仿宋_GBK" w:eastAsia="方正仿宋_GBK"/>
          <w:sz w:val="32"/>
          <w:szCs w:val="32"/>
        </w:rPr>
      </w:pPr>
      <w:r>
        <w:rPr>
          <w:rStyle w:val="9"/>
          <w:rFonts w:hint="eastAsia" w:ascii="方正仿宋_GBK" w:eastAsia="方正仿宋_GBK"/>
          <w:sz w:val="32"/>
          <w:szCs w:val="32"/>
        </w:rPr>
        <w:t>（二）“三公”经费分项支出情况</w:t>
      </w:r>
    </w:p>
    <w:p>
      <w:pPr>
        <w:pStyle w:val="6"/>
        <w:shd w:val="clear" w:color="auto" w:fill="FFFFFF"/>
        <w:spacing w:before="0" w:beforeAutospacing="0" w:after="0" w:afterAutospacing="0" w:line="560" w:lineRule="exact"/>
        <w:ind w:firstLine="640" w:firstLineChars="200"/>
        <w:jc w:val="both"/>
        <w:rPr>
          <w:rFonts w:hint="default" w:ascii="方正仿宋_GBK" w:eastAsia="方正仿宋_GBK"/>
          <w:sz w:val="32"/>
          <w:szCs w:val="32"/>
          <w:lang w:val="en-US" w:eastAsia="zh-CN"/>
        </w:rPr>
      </w:pPr>
      <w:r>
        <w:rPr>
          <w:rFonts w:hint="eastAsia" w:ascii="方正仿宋_GBK" w:eastAsia="方正仿宋_GBK"/>
          <w:sz w:val="32"/>
          <w:szCs w:val="32"/>
        </w:rPr>
        <w:t>本单位2020年度未发生因公出国（境）费用支出。</w:t>
      </w:r>
      <w:r>
        <w:rPr>
          <w:rFonts w:hint="eastAsia" w:ascii="方正仿宋_GBK" w:eastAsia="方正仿宋_GBK"/>
          <w:sz w:val="32"/>
          <w:szCs w:val="32"/>
          <w:lang w:val="en-US" w:eastAsia="zh-CN"/>
        </w:rPr>
        <w:t>与上年支出数一致，与</w:t>
      </w:r>
      <w:r>
        <w:rPr>
          <w:rFonts w:hint="eastAsia" w:ascii="方正仿宋_GBK" w:eastAsia="方正仿宋_GBK"/>
          <w:sz w:val="32"/>
          <w:szCs w:val="32"/>
        </w:rPr>
        <w:t>年初预算数保持一致。</w:t>
      </w:r>
    </w:p>
    <w:p>
      <w:pPr>
        <w:pStyle w:val="6"/>
        <w:shd w:val="clear" w:color="auto" w:fill="FFFFFF"/>
        <w:spacing w:before="0" w:beforeAutospacing="0" w:after="0" w:afterAutospacing="0" w:line="560" w:lineRule="exact"/>
        <w:ind w:firstLine="640" w:firstLineChars="200"/>
        <w:jc w:val="both"/>
        <w:rPr>
          <w:rFonts w:ascii="方正仿宋_GBK" w:eastAsia="方正仿宋_GBK"/>
          <w:sz w:val="32"/>
          <w:szCs w:val="32"/>
        </w:rPr>
      </w:pPr>
      <w:r>
        <w:rPr>
          <w:rFonts w:hint="eastAsia" w:ascii="方正仿宋_GBK" w:eastAsia="方正仿宋_GBK"/>
          <w:sz w:val="32"/>
          <w:szCs w:val="32"/>
        </w:rPr>
        <w:t>本单位2020年度未发生公务车购置费支出。</w:t>
      </w:r>
      <w:r>
        <w:rPr>
          <w:rFonts w:hint="eastAsia" w:ascii="方正仿宋_GBK" w:eastAsia="方正仿宋_GBK"/>
          <w:sz w:val="32"/>
          <w:szCs w:val="32"/>
          <w:lang w:val="en-US" w:eastAsia="zh-CN"/>
        </w:rPr>
        <w:t>与上年支出数一致，与</w:t>
      </w:r>
      <w:r>
        <w:rPr>
          <w:rFonts w:hint="eastAsia" w:ascii="方正仿宋_GBK" w:eastAsia="方正仿宋_GBK"/>
          <w:sz w:val="32"/>
          <w:szCs w:val="32"/>
        </w:rPr>
        <w:t>年初预算数保持一致。</w:t>
      </w:r>
    </w:p>
    <w:p>
      <w:pPr>
        <w:pStyle w:val="6"/>
        <w:shd w:val="clear" w:color="auto" w:fill="FFFFFF"/>
        <w:spacing w:before="0" w:beforeAutospacing="0" w:after="0" w:afterAutospacing="0" w:line="560" w:lineRule="exact"/>
        <w:ind w:firstLine="640" w:firstLineChars="200"/>
        <w:jc w:val="both"/>
        <w:rPr>
          <w:rFonts w:ascii="方正仿宋_GBK" w:eastAsia="方正仿宋_GBK"/>
          <w:sz w:val="32"/>
          <w:szCs w:val="32"/>
        </w:rPr>
      </w:pPr>
      <w:r>
        <w:rPr>
          <w:rFonts w:hint="eastAsia" w:ascii="方正仿宋_GBK" w:eastAsia="方正仿宋_GBK"/>
          <w:sz w:val="32"/>
          <w:szCs w:val="32"/>
        </w:rPr>
        <w:t>公务车运行维护费1.39万元，主要用于市内因公出行、湿地公园检查等工作所需车辆的燃料费、维修费、过桥过路费、保险费等。较上年支出数减少1.41万元，下降50%，与年初预算数保持一致。主要原因是</w:t>
      </w:r>
      <w:r>
        <w:rPr>
          <w:rFonts w:hint="eastAsia" w:ascii="方正仿宋_GBK" w:eastAsia="方正仿宋_GBK"/>
          <w:sz w:val="32"/>
          <w:szCs w:val="32"/>
          <w:lang w:val="en-US" w:eastAsia="zh-CN"/>
        </w:rPr>
        <w:t>规范</w:t>
      </w:r>
      <w:r>
        <w:rPr>
          <w:rFonts w:hint="eastAsia" w:ascii="方正仿宋_GBK" w:eastAsia="方正仿宋_GBK"/>
          <w:sz w:val="32"/>
          <w:szCs w:val="32"/>
        </w:rPr>
        <w:t>公车</w:t>
      </w:r>
      <w:r>
        <w:rPr>
          <w:rFonts w:hint="eastAsia" w:ascii="方正仿宋_GBK" w:eastAsia="方正仿宋_GBK"/>
          <w:sz w:val="32"/>
          <w:szCs w:val="32"/>
          <w:lang w:val="en-US" w:eastAsia="zh-CN"/>
        </w:rPr>
        <w:t>管理运行</w:t>
      </w:r>
      <w:r>
        <w:rPr>
          <w:rFonts w:hint="eastAsia" w:ascii="方正仿宋_GBK" w:eastAsia="方正仿宋_GBK"/>
          <w:sz w:val="32"/>
          <w:szCs w:val="32"/>
        </w:rPr>
        <w:t>，</w:t>
      </w:r>
      <w:r>
        <w:rPr>
          <w:rFonts w:hint="eastAsia" w:ascii="方正仿宋_GBK" w:eastAsia="方正仿宋_GBK"/>
          <w:sz w:val="32"/>
          <w:szCs w:val="32"/>
          <w:lang w:val="en-US" w:eastAsia="zh-CN"/>
        </w:rPr>
        <w:t>更加注重公车使用安全与公车平时维护，维修费用与上年相比有所下降；同时由于我中心人员抽调及变动，车辆使用率降低，本年度公车运行维护成本有所下降</w:t>
      </w:r>
      <w:r>
        <w:rPr>
          <w:rFonts w:hint="eastAsia" w:ascii="方正仿宋_GBK" w:eastAsia="方正仿宋_GBK"/>
          <w:sz w:val="32"/>
          <w:szCs w:val="32"/>
        </w:rPr>
        <w:t>。</w:t>
      </w:r>
    </w:p>
    <w:p>
      <w:pPr>
        <w:pStyle w:val="6"/>
        <w:shd w:val="clear" w:color="auto" w:fill="FFFFFF"/>
        <w:spacing w:before="0" w:beforeAutospacing="0" w:after="0" w:afterAutospacing="0" w:line="560" w:lineRule="exact"/>
        <w:ind w:firstLine="640" w:firstLineChars="200"/>
        <w:jc w:val="both"/>
        <w:rPr>
          <w:rFonts w:ascii="方正仿宋_GBK" w:eastAsia="方正仿宋_GBK"/>
          <w:sz w:val="32"/>
          <w:szCs w:val="32"/>
        </w:rPr>
      </w:pPr>
      <w:r>
        <w:rPr>
          <w:rFonts w:hint="eastAsia" w:ascii="方正仿宋_GBK" w:eastAsia="方正仿宋_GBK"/>
          <w:sz w:val="32"/>
          <w:szCs w:val="32"/>
        </w:rPr>
        <w:t>公务接待费0.95万元，主要用于招商接待工作，接受相关部门检查指导工作发生的接待支出。较上年支出数减少2.39万元，下降72%，与年初预算数保持一致。主要原因是强化公务接待支出管理，严格遵守公务接待开支范围和开支标准，严格控制陪餐人数，对应由接待对象承担的费用一律由接待对象自行支付，并由于本年度疫情原因公务接待人次大幅下降，公务接待费大幅下降。</w:t>
      </w:r>
    </w:p>
    <w:p>
      <w:pPr>
        <w:pStyle w:val="6"/>
        <w:shd w:val="clear" w:color="auto" w:fill="FFFFFF"/>
        <w:spacing w:before="0" w:beforeAutospacing="0" w:after="0" w:afterAutospacing="0" w:line="560" w:lineRule="exact"/>
        <w:ind w:firstLine="643" w:firstLineChars="200"/>
        <w:jc w:val="both"/>
        <w:outlineLvl w:val="1"/>
        <w:rPr>
          <w:rFonts w:ascii="方正仿宋_GBK" w:eastAsia="方正仿宋_GBK"/>
          <w:sz w:val="32"/>
          <w:szCs w:val="32"/>
        </w:rPr>
      </w:pPr>
      <w:r>
        <w:rPr>
          <w:rStyle w:val="9"/>
          <w:rFonts w:hint="eastAsia" w:ascii="方正仿宋_GBK" w:eastAsia="方正仿宋_GBK"/>
          <w:sz w:val="32"/>
          <w:szCs w:val="32"/>
        </w:rPr>
        <w:t>（三）“三公”经费实物量情况</w:t>
      </w:r>
    </w:p>
    <w:p>
      <w:pPr>
        <w:pStyle w:val="6"/>
        <w:shd w:val="clear" w:color="auto" w:fill="FFFFFF"/>
        <w:spacing w:before="0" w:beforeAutospacing="0" w:after="0" w:afterAutospacing="0" w:line="560" w:lineRule="exact"/>
        <w:ind w:firstLine="640" w:firstLineChars="200"/>
        <w:jc w:val="both"/>
        <w:rPr>
          <w:rFonts w:ascii="方正仿宋_GBK" w:eastAsia="方正仿宋_GBK"/>
          <w:sz w:val="32"/>
          <w:szCs w:val="32"/>
        </w:rPr>
      </w:pPr>
      <w:r>
        <w:rPr>
          <w:rFonts w:hint="eastAsia" w:ascii="方正仿宋_GBK" w:eastAsia="方正仿宋_GBK"/>
          <w:sz w:val="32"/>
          <w:szCs w:val="32"/>
        </w:rPr>
        <w:t>2020年度本部门因公出国（境）共计0个团组，0人；公务用车购置0辆，公务车保有量为1辆；国内公务接待14批次220人；国（境）外公务接待0批次，0人。2019年本部门人均接待费69.96元，车均购置费0万元，车均维护费2.8万元。</w:t>
      </w:r>
    </w:p>
    <w:p>
      <w:pPr>
        <w:pStyle w:val="6"/>
        <w:shd w:val="clear" w:color="auto" w:fill="FFFFFF"/>
        <w:spacing w:before="0" w:beforeAutospacing="0" w:after="0" w:afterAutospacing="0" w:line="560" w:lineRule="exact"/>
        <w:ind w:firstLine="640" w:firstLineChars="200"/>
        <w:jc w:val="both"/>
        <w:outlineLvl w:val="0"/>
        <w:rPr>
          <w:rStyle w:val="9"/>
        </w:rPr>
      </w:pPr>
      <w:r>
        <w:rPr>
          <w:rStyle w:val="9"/>
          <w:rFonts w:hint="eastAsia" w:ascii="方正黑体_GBK" w:eastAsia="方正黑体_GBK"/>
          <w:b w:val="0"/>
          <w:sz w:val="32"/>
          <w:szCs w:val="32"/>
        </w:rPr>
        <w:t>四、其他需要说明的事项</w:t>
      </w:r>
    </w:p>
    <w:p>
      <w:pPr>
        <w:pStyle w:val="6"/>
        <w:shd w:val="clear" w:color="auto" w:fill="FFFFFF"/>
        <w:spacing w:before="0" w:beforeAutospacing="0" w:after="0" w:afterAutospacing="0" w:line="560" w:lineRule="exact"/>
        <w:ind w:firstLine="643" w:firstLineChars="200"/>
        <w:jc w:val="both"/>
        <w:rPr>
          <w:rStyle w:val="9"/>
          <w:rFonts w:ascii="方正仿宋_GBK" w:eastAsia="方正仿宋_GBK"/>
          <w:sz w:val="32"/>
          <w:szCs w:val="32"/>
        </w:rPr>
      </w:pPr>
      <w:r>
        <w:rPr>
          <w:rStyle w:val="9"/>
          <w:rFonts w:hint="eastAsia" w:ascii="方正仿宋_GBK" w:eastAsia="方正仿宋_GBK"/>
          <w:sz w:val="32"/>
          <w:szCs w:val="32"/>
        </w:rPr>
        <w:t>（一）机关运行经费情况说明</w:t>
      </w:r>
    </w:p>
    <w:p>
      <w:pPr>
        <w:pStyle w:val="6"/>
        <w:shd w:val="clear" w:color="auto" w:fill="FFFFFF"/>
        <w:spacing w:before="0" w:beforeAutospacing="0" w:after="0" w:afterAutospacing="0" w:line="560" w:lineRule="exact"/>
        <w:ind w:firstLine="640" w:firstLineChars="200"/>
        <w:jc w:val="both"/>
        <w:rPr>
          <w:rFonts w:ascii="方正仿宋_GBK" w:eastAsia="方正仿宋_GBK"/>
          <w:color w:val="FF0000"/>
          <w:sz w:val="32"/>
          <w:szCs w:val="32"/>
        </w:rPr>
      </w:pPr>
      <w:r>
        <w:rPr>
          <w:rFonts w:hint="eastAsia" w:ascii="方正仿宋_GBK" w:eastAsia="方正仿宋_GBK"/>
          <w:bCs/>
          <w:sz w:val="32"/>
          <w:szCs w:val="32"/>
        </w:rPr>
        <w:t>按照部门决算列报口径，我单位不在机关运行经费统计范围之内。</w:t>
      </w:r>
    </w:p>
    <w:p>
      <w:pPr>
        <w:widowControl w:val="0"/>
        <w:numPr>
          <w:ilvl w:val="0"/>
          <w:numId w:val="1"/>
        </w:numPr>
        <w:spacing w:line="560" w:lineRule="exact"/>
        <w:ind w:firstLine="643" w:firstLineChars="200"/>
        <w:jc w:val="both"/>
        <w:rPr>
          <w:rStyle w:val="9"/>
          <w:rFonts w:ascii="方正仿宋_GBK" w:eastAsia="方正仿宋_GBK"/>
          <w:sz w:val="32"/>
          <w:szCs w:val="32"/>
        </w:rPr>
      </w:pPr>
      <w:r>
        <w:rPr>
          <w:rStyle w:val="9"/>
          <w:rFonts w:hint="eastAsia" w:ascii="方正仿宋_GBK" w:eastAsia="方正仿宋_GBK"/>
          <w:sz w:val="32"/>
          <w:szCs w:val="32"/>
        </w:rPr>
        <w:t>国有资产占用情况说明</w:t>
      </w:r>
    </w:p>
    <w:p>
      <w:pPr>
        <w:widowControl w:val="0"/>
        <w:spacing w:line="560" w:lineRule="exact"/>
        <w:ind w:firstLine="640" w:firstLineChars="200"/>
        <w:jc w:val="both"/>
        <w:rPr>
          <w:rFonts w:ascii="方正仿宋_GBK" w:eastAsia="方正仿宋_GBK"/>
          <w:sz w:val="32"/>
          <w:szCs w:val="32"/>
        </w:rPr>
      </w:pPr>
      <w:r>
        <w:rPr>
          <w:rFonts w:hint="eastAsia" w:ascii="方正仿宋_GBK" w:eastAsia="方正仿宋_GBK"/>
          <w:sz w:val="32"/>
          <w:szCs w:val="32"/>
        </w:rPr>
        <w:t>截至2020年12月31日，本部门共有车辆2辆，其中，机要通信用车1辆、应急保障用车1辆。单价50万元（含）以上通用设备0台（套），单价100万元（含）以上专用设备0台（套）。</w:t>
      </w:r>
    </w:p>
    <w:p>
      <w:pPr>
        <w:pStyle w:val="6"/>
        <w:shd w:val="clear" w:color="auto" w:fill="FFFFFF"/>
        <w:spacing w:before="0" w:beforeAutospacing="0" w:after="0" w:afterAutospacing="0" w:line="560" w:lineRule="exact"/>
        <w:ind w:firstLine="643" w:firstLineChars="200"/>
        <w:jc w:val="both"/>
        <w:rPr>
          <w:rFonts w:ascii="方正仿宋_GBK" w:eastAsia="方正仿宋_GBK"/>
          <w:bCs/>
          <w:sz w:val="32"/>
          <w:szCs w:val="32"/>
        </w:rPr>
      </w:pPr>
      <w:r>
        <w:rPr>
          <w:rStyle w:val="9"/>
          <w:rFonts w:hint="eastAsia" w:ascii="方正仿宋_GBK" w:eastAsia="方正仿宋_GBK"/>
          <w:sz w:val="32"/>
          <w:szCs w:val="32"/>
        </w:rPr>
        <w:t>（三）政府采购支出情况说明</w:t>
      </w:r>
      <w:r>
        <w:rPr>
          <w:rStyle w:val="9"/>
          <w:rFonts w:hint="eastAsia" w:ascii="方正仿宋_GBK" w:eastAsia="方正仿宋_GBK"/>
          <w:sz w:val="32"/>
          <w:szCs w:val="32"/>
          <w:lang w:eastAsia="zh-CN"/>
        </w:rPr>
        <w:t>。</w:t>
      </w:r>
      <w:r>
        <w:rPr>
          <w:rFonts w:hint="eastAsia" w:ascii="方正仿宋_GBK" w:eastAsia="方正仿宋_GBK"/>
          <w:bCs/>
          <w:sz w:val="32"/>
          <w:szCs w:val="32"/>
        </w:rPr>
        <w:t>2020年度本部门政府采购支出总额</w:t>
      </w:r>
      <w:r>
        <w:rPr>
          <w:rFonts w:hint="eastAsia" w:ascii="方正仿宋_GBK" w:eastAsia="方正仿宋_GBK"/>
          <w:bCs/>
          <w:sz w:val="32"/>
          <w:szCs w:val="32"/>
          <w:lang w:val="en-US" w:eastAsia="zh-CN"/>
        </w:rPr>
        <w:t>0</w:t>
      </w:r>
      <w:r>
        <w:rPr>
          <w:rFonts w:hint="eastAsia" w:ascii="方正仿宋_GBK" w:eastAsia="方正仿宋_GBK"/>
          <w:bCs/>
          <w:sz w:val="32"/>
          <w:szCs w:val="32"/>
        </w:rPr>
        <w:t>万元，其中：政府采购货物支出</w:t>
      </w:r>
      <w:r>
        <w:rPr>
          <w:rFonts w:hint="eastAsia" w:ascii="方正仿宋_GBK" w:eastAsia="方正仿宋_GBK"/>
          <w:bCs/>
          <w:sz w:val="32"/>
          <w:szCs w:val="32"/>
          <w:lang w:val="en-US" w:eastAsia="zh-CN"/>
        </w:rPr>
        <w:t>0</w:t>
      </w:r>
      <w:r>
        <w:rPr>
          <w:rFonts w:hint="eastAsia" w:ascii="方正仿宋_GBK" w:eastAsia="方正仿宋_GBK"/>
          <w:bCs/>
          <w:sz w:val="32"/>
          <w:szCs w:val="32"/>
        </w:rPr>
        <w:t>万元、政府采购工程支出</w:t>
      </w:r>
      <w:r>
        <w:rPr>
          <w:rFonts w:hint="eastAsia" w:ascii="方正仿宋_GBK" w:eastAsia="方正仿宋_GBK"/>
          <w:bCs/>
          <w:sz w:val="32"/>
          <w:szCs w:val="32"/>
          <w:lang w:val="en-US" w:eastAsia="zh-CN"/>
        </w:rPr>
        <w:t>0</w:t>
      </w:r>
      <w:r>
        <w:rPr>
          <w:rFonts w:hint="eastAsia" w:ascii="方正仿宋_GBK" w:eastAsia="方正仿宋_GBK"/>
          <w:bCs/>
          <w:sz w:val="32"/>
          <w:szCs w:val="32"/>
        </w:rPr>
        <w:t>万元、政府采购服务支出</w:t>
      </w:r>
      <w:r>
        <w:rPr>
          <w:rFonts w:hint="eastAsia" w:ascii="方正仿宋_GBK" w:eastAsia="方正仿宋_GBK"/>
          <w:bCs/>
          <w:sz w:val="32"/>
          <w:szCs w:val="32"/>
          <w:lang w:val="en-US" w:eastAsia="zh-CN"/>
        </w:rPr>
        <w:t>0</w:t>
      </w:r>
      <w:r>
        <w:rPr>
          <w:rFonts w:hint="eastAsia" w:ascii="方正仿宋_GBK" w:eastAsia="方正仿宋_GBK"/>
          <w:bCs/>
          <w:sz w:val="32"/>
          <w:szCs w:val="32"/>
        </w:rPr>
        <w:t>万元。授予中小企业合同金额</w:t>
      </w:r>
      <w:r>
        <w:rPr>
          <w:rFonts w:hint="eastAsia" w:ascii="方正仿宋_GBK" w:eastAsia="方正仿宋_GBK"/>
          <w:bCs/>
          <w:sz w:val="32"/>
          <w:szCs w:val="32"/>
          <w:lang w:val="en-US" w:eastAsia="zh-CN"/>
        </w:rPr>
        <w:t>0</w:t>
      </w:r>
      <w:r>
        <w:rPr>
          <w:rFonts w:hint="eastAsia" w:ascii="方正仿宋_GBK" w:eastAsia="方正仿宋_GBK"/>
          <w:bCs/>
          <w:sz w:val="32"/>
          <w:szCs w:val="32"/>
        </w:rPr>
        <w:t>万元，占政府采购支出总额的</w:t>
      </w:r>
      <w:r>
        <w:rPr>
          <w:rFonts w:hint="eastAsia" w:ascii="方正仿宋_GBK" w:eastAsia="方正仿宋_GBK"/>
          <w:bCs/>
          <w:sz w:val="32"/>
          <w:szCs w:val="32"/>
          <w:lang w:val="en-US" w:eastAsia="zh-CN"/>
        </w:rPr>
        <w:t>0</w:t>
      </w:r>
      <w:r>
        <w:rPr>
          <w:rFonts w:hint="eastAsia" w:ascii="方正仿宋_GBK" w:eastAsia="方正仿宋_GBK"/>
          <w:bCs/>
          <w:sz w:val="32"/>
          <w:szCs w:val="32"/>
        </w:rPr>
        <w:t>%，其中：授予小微企业合同金额</w:t>
      </w:r>
      <w:r>
        <w:rPr>
          <w:rFonts w:hint="eastAsia" w:ascii="方正仿宋_GBK" w:eastAsia="方正仿宋_GBK"/>
          <w:bCs/>
          <w:sz w:val="32"/>
          <w:szCs w:val="32"/>
          <w:lang w:val="en-US" w:eastAsia="zh-CN"/>
        </w:rPr>
        <w:t>0</w:t>
      </w:r>
      <w:r>
        <w:rPr>
          <w:rFonts w:hint="eastAsia" w:ascii="方正仿宋_GBK" w:eastAsia="方正仿宋_GBK"/>
          <w:bCs/>
          <w:sz w:val="32"/>
          <w:szCs w:val="32"/>
        </w:rPr>
        <w:t>万元，占政府采购支出总额的</w:t>
      </w:r>
      <w:r>
        <w:rPr>
          <w:rFonts w:hint="eastAsia" w:ascii="方正仿宋_GBK" w:eastAsia="方正仿宋_GBK"/>
          <w:bCs/>
          <w:sz w:val="32"/>
          <w:szCs w:val="32"/>
          <w:lang w:val="en-US" w:eastAsia="zh-CN"/>
        </w:rPr>
        <w:t>0</w:t>
      </w:r>
      <w:r>
        <w:rPr>
          <w:rFonts w:hint="eastAsia" w:ascii="方正仿宋_GBK" w:eastAsia="方正仿宋_GBK"/>
          <w:bCs/>
          <w:sz w:val="32"/>
          <w:szCs w:val="32"/>
        </w:rPr>
        <w:t>%。</w:t>
      </w:r>
    </w:p>
    <w:p>
      <w:pPr>
        <w:pStyle w:val="6"/>
        <w:shd w:val="clear" w:color="auto" w:fill="FFFFFF"/>
        <w:spacing w:before="0" w:beforeAutospacing="0" w:after="0" w:afterAutospacing="0" w:line="560" w:lineRule="exact"/>
        <w:ind w:firstLine="643" w:firstLineChars="200"/>
        <w:jc w:val="both"/>
        <w:outlineLvl w:val="0"/>
        <w:rPr>
          <w:rStyle w:val="9"/>
          <w:rFonts w:ascii="方正黑体_GBK" w:eastAsia="方正黑体_GBK"/>
        </w:rPr>
      </w:pPr>
      <w:r>
        <w:rPr>
          <w:rStyle w:val="9"/>
          <w:rFonts w:hint="eastAsia" w:ascii="方正黑体_GBK" w:eastAsia="方正黑体_GBK"/>
          <w:sz w:val="32"/>
          <w:szCs w:val="32"/>
        </w:rPr>
        <w:t>五、预算绩效管理情况说明</w:t>
      </w:r>
    </w:p>
    <w:p>
      <w:pPr>
        <w:pStyle w:val="13"/>
        <w:tabs>
          <w:tab w:val="center" w:pos="4153"/>
          <w:tab w:val="left" w:pos="7275"/>
        </w:tabs>
        <w:spacing w:line="560" w:lineRule="exact"/>
        <w:ind w:firstLine="643"/>
        <w:rPr>
          <w:rFonts w:ascii="方正仿宋_GBK" w:hAnsi="宋体" w:eastAsia="方正仿宋_GBK" w:cs="宋体"/>
          <w:kern w:val="0"/>
          <w:sz w:val="32"/>
          <w:szCs w:val="32"/>
        </w:rPr>
      </w:pPr>
      <w:r>
        <w:rPr>
          <w:rFonts w:hint="eastAsia" w:ascii="方正仿宋_GBK" w:hAnsi="宋体" w:eastAsia="方正仿宋_GBK" w:cs="宋体"/>
          <w:b/>
          <w:kern w:val="0"/>
          <w:sz w:val="32"/>
          <w:szCs w:val="32"/>
        </w:rPr>
        <w:t>（一）预算绩效管理工作开展情况</w:t>
      </w:r>
    </w:p>
    <w:p>
      <w:pPr>
        <w:pStyle w:val="13"/>
        <w:tabs>
          <w:tab w:val="center" w:pos="4153"/>
          <w:tab w:val="left" w:pos="7275"/>
        </w:tabs>
        <w:spacing w:line="560" w:lineRule="exact"/>
        <w:ind w:firstLine="640"/>
        <w:rPr>
          <w:rFonts w:ascii="方正仿宋_GBK" w:hAnsi="宋体" w:eastAsia="方正仿宋_GBK" w:cs="宋体"/>
          <w:color w:val="FF0000"/>
          <w:kern w:val="0"/>
          <w:sz w:val="32"/>
          <w:szCs w:val="32"/>
        </w:rPr>
      </w:pPr>
      <w:r>
        <w:rPr>
          <w:rFonts w:hint="eastAsia" w:ascii="方正仿宋_GBK" w:hAnsi="宋体" w:eastAsia="方正仿宋_GBK" w:cs="宋体"/>
          <w:kern w:val="0"/>
          <w:sz w:val="32"/>
          <w:szCs w:val="32"/>
        </w:rPr>
        <w:t>根据预算绩效管理要求，本部门对10个项目开展了绩效自评，其中，以填报目标自评表形式开展自评10项，涉及资金4142.45万元；从评价情况来看，已完成年初制定的绩效目标。</w:t>
      </w:r>
    </w:p>
    <w:p>
      <w:pPr>
        <w:pStyle w:val="13"/>
        <w:tabs>
          <w:tab w:val="center" w:pos="4153"/>
          <w:tab w:val="left" w:pos="7275"/>
        </w:tabs>
        <w:spacing w:line="560" w:lineRule="exact"/>
        <w:ind w:firstLine="643"/>
        <w:rPr>
          <w:rFonts w:ascii="方正仿宋_GBK" w:hAnsi="宋体" w:eastAsia="方正仿宋_GBK" w:cs="宋体"/>
          <w:b/>
          <w:kern w:val="0"/>
          <w:sz w:val="32"/>
          <w:szCs w:val="32"/>
        </w:rPr>
      </w:pPr>
      <w:r>
        <w:rPr>
          <w:rFonts w:hint="eastAsia" w:ascii="方正仿宋_GBK" w:hAnsi="宋体" w:eastAsia="方正仿宋_GBK" w:cs="宋体"/>
          <w:b/>
          <w:kern w:val="0"/>
          <w:sz w:val="32"/>
          <w:szCs w:val="32"/>
        </w:rPr>
        <w:t>（二）绩效自评结果</w:t>
      </w:r>
    </w:p>
    <w:p>
      <w:pPr>
        <w:pStyle w:val="13"/>
        <w:tabs>
          <w:tab w:val="center" w:pos="4153"/>
          <w:tab w:val="left" w:pos="7275"/>
        </w:tabs>
        <w:spacing w:line="560" w:lineRule="exact"/>
        <w:ind w:firstLine="643"/>
        <w:rPr>
          <w:rFonts w:ascii="方正仿宋_GBK" w:hAnsi="宋体" w:eastAsia="方正仿宋_GBK" w:cs="宋体"/>
          <w:b/>
          <w:kern w:val="0"/>
          <w:sz w:val="32"/>
          <w:szCs w:val="32"/>
        </w:rPr>
      </w:pPr>
      <w:r>
        <w:rPr>
          <w:rFonts w:hint="eastAsia" w:ascii="方正仿宋_GBK" w:hAnsi="宋体" w:eastAsia="方正仿宋_GBK" w:cs="宋体"/>
          <w:b/>
          <w:kern w:val="0"/>
          <w:sz w:val="32"/>
          <w:szCs w:val="32"/>
        </w:rPr>
        <w:t>1.绩效自评表</w:t>
      </w:r>
    </w:p>
    <w:p>
      <w:pPr>
        <w:pStyle w:val="13"/>
        <w:tabs>
          <w:tab w:val="center" w:pos="4153"/>
          <w:tab w:val="left" w:pos="7275"/>
        </w:tabs>
        <w:spacing w:line="560" w:lineRule="exact"/>
        <w:ind w:firstLine="0" w:firstLineChars="0"/>
        <w:rPr>
          <w:rFonts w:ascii="方正仿宋_GBK" w:hAnsi="宋体" w:eastAsia="方正仿宋_GBK" w:cs="宋体"/>
          <w:b/>
          <w:kern w:val="0"/>
          <w:sz w:val="32"/>
          <w:szCs w:val="32"/>
        </w:rPr>
      </w:pPr>
      <w:bookmarkStart w:id="0" w:name="_GoBack"/>
      <w:bookmarkEnd w:id="0"/>
    </w:p>
    <w:tbl>
      <w:tblPr>
        <w:tblStyle w:val="7"/>
        <w:tblW w:w="0" w:type="auto"/>
        <w:tblInd w:w="108" w:type="dxa"/>
        <w:tblLayout w:type="fixed"/>
        <w:tblCellMar>
          <w:top w:w="0" w:type="dxa"/>
          <w:left w:w="108" w:type="dxa"/>
          <w:bottom w:w="0" w:type="dxa"/>
          <w:right w:w="108" w:type="dxa"/>
        </w:tblCellMar>
      </w:tblPr>
      <w:tblGrid>
        <w:gridCol w:w="717"/>
        <w:gridCol w:w="864"/>
        <w:gridCol w:w="486"/>
        <w:gridCol w:w="517"/>
        <w:gridCol w:w="975"/>
        <w:gridCol w:w="975"/>
        <w:gridCol w:w="944"/>
        <w:gridCol w:w="707"/>
        <w:gridCol w:w="779"/>
        <w:gridCol w:w="779"/>
        <w:gridCol w:w="688"/>
      </w:tblGrid>
      <w:tr>
        <w:tblPrEx>
          <w:tblCellMar>
            <w:top w:w="0" w:type="dxa"/>
            <w:left w:w="108" w:type="dxa"/>
            <w:bottom w:w="0" w:type="dxa"/>
            <w:right w:w="108" w:type="dxa"/>
          </w:tblCellMar>
        </w:tblPrEx>
        <w:trPr>
          <w:trHeight w:val="902" w:hRule="atLeast"/>
        </w:trPr>
        <w:tc>
          <w:tcPr>
            <w:tcW w:w="8431" w:type="dxa"/>
            <w:gridSpan w:val="11"/>
            <w:tcBorders>
              <w:top w:val="nil"/>
              <w:left w:val="nil"/>
              <w:bottom w:val="nil"/>
              <w:right w:val="nil"/>
            </w:tcBorders>
            <w:shd w:val="clear" w:color="auto" w:fill="auto"/>
            <w:vAlign w:val="center"/>
          </w:tcPr>
          <w:p>
            <w:pPr>
              <w:autoSpaceDN w:val="0"/>
              <w:jc w:val="center"/>
              <w:rPr>
                <w:rFonts w:ascii="方正小标宋_GBK" w:hAnsi="Calibri" w:eastAsia="方正小标宋_GBK"/>
                <w:color w:val="000000"/>
                <w:sz w:val="36"/>
                <w:szCs w:val="36"/>
              </w:rPr>
            </w:pPr>
            <w:r>
              <w:rPr>
                <w:rFonts w:hint="eastAsia" w:ascii="方正仿宋_GBK" w:eastAsia="方正仿宋_GBK"/>
                <w:color w:val="000000"/>
                <w:sz w:val="18"/>
                <w:szCs w:val="18"/>
              </w:rPr>
              <w:t>“</w:t>
            </w:r>
            <w:r>
              <w:rPr>
                <w:rFonts w:hint="eastAsia" w:ascii="方正小标宋_GBK" w:eastAsia="方正小标宋_GBK"/>
                <w:color w:val="000000"/>
                <w:sz w:val="36"/>
                <w:szCs w:val="36"/>
              </w:rPr>
              <w:t>三签”安置补助资金绩效自评表</w:t>
            </w:r>
          </w:p>
        </w:tc>
      </w:tr>
      <w:tr>
        <w:tblPrEx>
          <w:tblCellMar>
            <w:top w:w="0" w:type="dxa"/>
            <w:left w:w="108" w:type="dxa"/>
            <w:bottom w:w="0" w:type="dxa"/>
            <w:right w:w="108" w:type="dxa"/>
          </w:tblCellMar>
        </w:tblPrEx>
        <w:trPr>
          <w:trHeight w:val="857" w:hRule="atLeast"/>
        </w:trPr>
        <w:tc>
          <w:tcPr>
            <w:tcW w:w="717" w:type="dxa"/>
            <w:tcBorders>
              <w:top w:val="single" w:color="auto" w:sz="4" w:space="0"/>
              <w:left w:val="single" w:color="auto" w:sz="4" w:space="0"/>
              <w:bottom w:val="single" w:color="auto" w:sz="4" w:space="0"/>
              <w:right w:val="single" w:color="auto" w:sz="4" w:space="0"/>
            </w:tcBorders>
            <w:shd w:val="clear" w:color="auto" w:fill="auto"/>
            <w:vAlign w:val="center"/>
          </w:tcPr>
          <w:p>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项目名称</w:t>
            </w:r>
          </w:p>
        </w:tc>
        <w:tc>
          <w:tcPr>
            <w:tcW w:w="1350" w:type="dxa"/>
            <w:gridSpan w:val="2"/>
            <w:tcBorders>
              <w:top w:val="single" w:color="auto" w:sz="4" w:space="0"/>
              <w:left w:val="nil"/>
              <w:bottom w:val="single" w:color="auto" w:sz="4" w:space="0"/>
              <w:right w:val="single" w:color="000000" w:sz="4" w:space="0"/>
            </w:tcBorders>
            <w:shd w:val="clear" w:color="auto" w:fill="auto"/>
            <w:vAlign w:val="center"/>
          </w:tcPr>
          <w:p>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“三签”安置补助资金（代编）　</w:t>
            </w:r>
          </w:p>
        </w:tc>
        <w:tc>
          <w:tcPr>
            <w:tcW w:w="517" w:type="dxa"/>
            <w:tcBorders>
              <w:top w:val="single" w:color="auto" w:sz="4" w:space="0"/>
              <w:left w:val="nil"/>
              <w:bottom w:val="single" w:color="auto" w:sz="4" w:space="0"/>
              <w:right w:val="single" w:color="auto" w:sz="4" w:space="0"/>
            </w:tcBorders>
            <w:shd w:val="clear" w:color="auto" w:fill="auto"/>
            <w:vAlign w:val="center"/>
          </w:tcPr>
          <w:p>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项目编码</w:t>
            </w:r>
          </w:p>
        </w:tc>
        <w:tc>
          <w:tcPr>
            <w:tcW w:w="1950" w:type="dxa"/>
            <w:gridSpan w:val="2"/>
            <w:tcBorders>
              <w:top w:val="single" w:color="auto" w:sz="4" w:space="0"/>
              <w:left w:val="nil"/>
              <w:bottom w:val="single" w:color="auto" w:sz="4" w:space="0"/>
              <w:right w:val="single" w:color="000000" w:sz="4" w:space="0"/>
            </w:tcBorders>
            <w:shd w:val="clear" w:color="auto" w:fill="auto"/>
            <w:vAlign w:val="center"/>
          </w:tcPr>
          <w:p>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015005　</w:t>
            </w:r>
          </w:p>
        </w:tc>
        <w:tc>
          <w:tcPr>
            <w:tcW w:w="944" w:type="dxa"/>
            <w:tcBorders>
              <w:top w:val="single" w:color="auto" w:sz="4" w:space="0"/>
              <w:left w:val="nil"/>
              <w:bottom w:val="single" w:color="auto" w:sz="4" w:space="0"/>
              <w:right w:val="single" w:color="auto" w:sz="4" w:space="0"/>
            </w:tcBorders>
            <w:shd w:val="clear" w:color="auto" w:fill="auto"/>
            <w:vAlign w:val="center"/>
          </w:tcPr>
          <w:p>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自评总分</w:t>
            </w:r>
            <w:r>
              <w:rPr>
                <w:rFonts w:hint="eastAsia" w:ascii="方正仿宋_GBK" w:eastAsia="方正仿宋_GBK"/>
                <w:color w:val="000000"/>
                <w:sz w:val="18"/>
                <w:szCs w:val="18"/>
              </w:rPr>
              <w:br w:type="textWrapping" w:clear="all"/>
            </w:r>
            <w:r>
              <w:rPr>
                <w:rFonts w:hint="eastAsia" w:ascii="方正仿宋_GBK" w:eastAsia="方正仿宋_GBK"/>
                <w:color w:val="000000"/>
                <w:sz w:val="18"/>
                <w:szCs w:val="18"/>
              </w:rPr>
              <w:t>（分）</w:t>
            </w:r>
          </w:p>
        </w:tc>
        <w:tc>
          <w:tcPr>
            <w:tcW w:w="2953" w:type="dxa"/>
            <w:gridSpan w:val="4"/>
            <w:tcBorders>
              <w:top w:val="single" w:color="auto" w:sz="4" w:space="0"/>
              <w:left w:val="nil"/>
              <w:bottom w:val="single" w:color="auto" w:sz="4" w:space="0"/>
              <w:right w:val="single" w:color="000000" w:sz="4" w:space="0"/>
            </w:tcBorders>
            <w:shd w:val="clear" w:color="auto" w:fill="auto"/>
            <w:vAlign w:val="center"/>
          </w:tcPr>
          <w:p>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100　</w:t>
            </w:r>
          </w:p>
        </w:tc>
      </w:tr>
      <w:tr>
        <w:tblPrEx>
          <w:tblCellMar>
            <w:top w:w="0" w:type="dxa"/>
            <w:left w:w="108" w:type="dxa"/>
            <w:bottom w:w="0" w:type="dxa"/>
            <w:right w:w="108" w:type="dxa"/>
          </w:tblCellMar>
        </w:tblPrEx>
        <w:trPr>
          <w:trHeight w:val="623" w:hRule="atLeast"/>
        </w:trPr>
        <w:tc>
          <w:tcPr>
            <w:tcW w:w="717" w:type="dxa"/>
            <w:tcBorders>
              <w:top w:val="nil"/>
              <w:left w:val="single" w:color="auto" w:sz="4" w:space="0"/>
              <w:bottom w:val="single" w:color="auto" w:sz="4" w:space="0"/>
              <w:right w:val="single" w:color="auto" w:sz="4" w:space="0"/>
            </w:tcBorders>
            <w:shd w:val="clear" w:color="auto" w:fill="auto"/>
            <w:vAlign w:val="center"/>
          </w:tcPr>
          <w:p>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主管部门</w:t>
            </w:r>
          </w:p>
        </w:tc>
        <w:tc>
          <w:tcPr>
            <w:tcW w:w="1350" w:type="dxa"/>
            <w:gridSpan w:val="2"/>
            <w:tcBorders>
              <w:top w:val="single" w:color="auto" w:sz="4" w:space="0"/>
              <w:left w:val="nil"/>
              <w:bottom w:val="single" w:color="auto" w:sz="4" w:space="0"/>
              <w:right w:val="single" w:color="000000" w:sz="4" w:space="0"/>
            </w:tcBorders>
            <w:shd w:val="clear" w:color="auto" w:fill="auto"/>
            <w:vAlign w:val="center"/>
          </w:tcPr>
          <w:p>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重庆经济技术开发区管理委员会　</w:t>
            </w:r>
          </w:p>
        </w:tc>
        <w:tc>
          <w:tcPr>
            <w:tcW w:w="517" w:type="dxa"/>
            <w:tcBorders>
              <w:top w:val="nil"/>
              <w:left w:val="nil"/>
              <w:bottom w:val="single" w:color="auto" w:sz="4" w:space="0"/>
              <w:right w:val="single" w:color="auto" w:sz="4" w:space="0"/>
            </w:tcBorders>
            <w:shd w:val="clear" w:color="auto" w:fill="auto"/>
            <w:vAlign w:val="center"/>
          </w:tcPr>
          <w:p>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财政处室</w:t>
            </w:r>
          </w:p>
        </w:tc>
        <w:tc>
          <w:tcPr>
            <w:tcW w:w="1950" w:type="dxa"/>
            <w:gridSpan w:val="2"/>
            <w:tcBorders>
              <w:top w:val="single" w:color="auto" w:sz="4" w:space="0"/>
              <w:left w:val="nil"/>
              <w:bottom w:val="single" w:color="auto" w:sz="4" w:space="0"/>
              <w:right w:val="single" w:color="000000" w:sz="4" w:space="0"/>
            </w:tcBorders>
            <w:shd w:val="clear" w:color="auto" w:fill="auto"/>
            <w:vAlign w:val="center"/>
          </w:tcPr>
          <w:p>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预算科　</w:t>
            </w:r>
          </w:p>
        </w:tc>
        <w:tc>
          <w:tcPr>
            <w:tcW w:w="944" w:type="dxa"/>
            <w:tcBorders>
              <w:top w:val="nil"/>
              <w:left w:val="nil"/>
              <w:bottom w:val="single" w:color="auto" w:sz="4" w:space="0"/>
              <w:right w:val="single" w:color="auto" w:sz="4" w:space="0"/>
            </w:tcBorders>
            <w:shd w:val="clear" w:color="auto" w:fill="auto"/>
            <w:vAlign w:val="center"/>
          </w:tcPr>
          <w:p>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项目</w:t>
            </w:r>
            <w:r>
              <w:rPr>
                <w:rFonts w:hint="eastAsia" w:ascii="方正仿宋_GBK" w:eastAsia="方正仿宋_GBK"/>
                <w:color w:val="000000"/>
                <w:sz w:val="18"/>
                <w:szCs w:val="18"/>
              </w:rPr>
              <w:br w:type="textWrapping" w:clear="all"/>
            </w:r>
            <w:r>
              <w:rPr>
                <w:rFonts w:hint="eastAsia" w:ascii="方正仿宋_GBK" w:eastAsia="方正仿宋_GBK"/>
                <w:color w:val="000000"/>
                <w:sz w:val="18"/>
                <w:szCs w:val="18"/>
              </w:rPr>
              <w:t>联系人</w:t>
            </w:r>
          </w:p>
        </w:tc>
        <w:tc>
          <w:tcPr>
            <w:tcW w:w="707" w:type="dxa"/>
            <w:tcBorders>
              <w:top w:val="nil"/>
              <w:left w:val="nil"/>
              <w:bottom w:val="single" w:color="auto" w:sz="4" w:space="0"/>
              <w:right w:val="single" w:color="auto" w:sz="4" w:space="0"/>
            </w:tcBorders>
            <w:shd w:val="clear" w:color="auto" w:fill="auto"/>
            <w:vAlign w:val="center"/>
          </w:tcPr>
          <w:p>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祁峰　</w:t>
            </w:r>
          </w:p>
        </w:tc>
        <w:tc>
          <w:tcPr>
            <w:tcW w:w="779" w:type="dxa"/>
            <w:tcBorders>
              <w:top w:val="nil"/>
              <w:left w:val="nil"/>
              <w:bottom w:val="single" w:color="auto" w:sz="4" w:space="0"/>
              <w:right w:val="single" w:color="auto" w:sz="4" w:space="0"/>
            </w:tcBorders>
            <w:shd w:val="clear" w:color="auto" w:fill="auto"/>
            <w:vAlign w:val="center"/>
          </w:tcPr>
          <w:p>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联系电话</w:t>
            </w:r>
          </w:p>
        </w:tc>
        <w:tc>
          <w:tcPr>
            <w:tcW w:w="1467" w:type="dxa"/>
            <w:gridSpan w:val="2"/>
            <w:tcBorders>
              <w:top w:val="single" w:color="auto" w:sz="4" w:space="0"/>
              <w:left w:val="nil"/>
              <w:bottom w:val="single" w:color="auto" w:sz="4" w:space="0"/>
              <w:right w:val="single" w:color="000000" w:sz="4" w:space="0"/>
            </w:tcBorders>
            <w:shd w:val="clear" w:color="auto" w:fill="auto"/>
            <w:vAlign w:val="center"/>
          </w:tcPr>
          <w:p>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62455462　</w:t>
            </w:r>
          </w:p>
        </w:tc>
      </w:tr>
      <w:tr>
        <w:tblPrEx>
          <w:tblCellMar>
            <w:top w:w="0" w:type="dxa"/>
            <w:left w:w="108" w:type="dxa"/>
            <w:bottom w:w="0" w:type="dxa"/>
            <w:right w:w="108" w:type="dxa"/>
          </w:tblCellMar>
        </w:tblPrEx>
        <w:trPr>
          <w:cantSplit/>
          <w:trHeight w:val="405" w:hRule="atLeast"/>
        </w:trPr>
        <w:tc>
          <w:tcPr>
            <w:tcW w:w="717" w:type="dxa"/>
            <w:vMerge w:val="restart"/>
            <w:tcBorders>
              <w:top w:val="nil"/>
              <w:left w:val="single" w:color="auto" w:sz="4" w:space="0"/>
              <w:bottom w:val="single" w:color="auto" w:sz="4" w:space="0"/>
              <w:right w:val="single" w:color="auto" w:sz="4" w:space="0"/>
            </w:tcBorders>
            <w:shd w:val="clear" w:color="auto" w:fill="auto"/>
            <w:vAlign w:val="center"/>
          </w:tcPr>
          <w:p>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项目资金（万元）</w:t>
            </w:r>
          </w:p>
        </w:tc>
        <w:tc>
          <w:tcPr>
            <w:tcW w:w="864" w:type="dxa"/>
            <w:tcBorders>
              <w:top w:val="nil"/>
              <w:left w:val="nil"/>
              <w:bottom w:val="single" w:color="auto" w:sz="4" w:space="0"/>
              <w:right w:val="nil"/>
            </w:tcBorders>
            <w:shd w:val="clear" w:color="auto" w:fill="auto"/>
            <w:vAlign w:val="center"/>
          </w:tcPr>
          <w:p>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　</w:t>
            </w:r>
          </w:p>
        </w:tc>
        <w:tc>
          <w:tcPr>
            <w:tcW w:w="1003"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年初预算数</w:t>
            </w:r>
          </w:p>
        </w:tc>
        <w:tc>
          <w:tcPr>
            <w:tcW w:w="1950" w:type="dxa"/>
            <w:gridSpan w:val="2"/>
            <w:tcBorders>
              <w:top w:val="single" w:color="auto" w:sz="4" w:space="0"/>
              <w:left w:val="nil"/>
              <w:bottom w:val="single" w:color="auto" w:sz="4" w:space="0"/>
              <w:right w:val="single" w:color="auto" w:sz="4" w:space="0"/>
            </w:tcBorders>
            <w:shd w:val="clear" w:color="auto" w:fill="auto"/>
            <w:vAlign w:val="center"/>
          </w:tcPr>
          <w:p>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全年（调整）预算数</w:t>
            </w:r>
          </w:p>
        </w:tc>
        <w:tc>
          <w:tcPr>
            <w:tcW w:w="1651" w:type="dxa"/>
            <w:gridSpan w:val="2"/>
            <w:tcBorders>
              <w:top w:val="single" w:color="auto" w:sz="4" w:space="0"/>
              <w:left w:val="nil"/>
              <w:bottom w:val="single" w:color="auto" w:sz="4" w:space="0"/>
              <w:right w:val="single" w:color="auto" w:sz="4" w:space="0"/>
            </w:tcBorders>
            <w:shd w:val="clear" w:color="auto" w:fill="auto"/>
            <w:vAlign w:val="center"/>
          </w:tcPr>
          <w:p>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全年执行数</w:t>
            </w:r>
          </w:p>
        </w:tc>
        <w:tc>
          <w:tcPr>
            <w:tcW w:w="779" w:type="dxa"/>
            <w:tcBorders>
              <w:top w:val="nil"/>
              <w:left w:val="nil"/>
              <w:bottom w:val="single" w:color="auto" w:sz="4" w:space="0"/>
              <w:right w:val="single" w:color="auto" w:sz="4" w:space="0"/>
            </w:tcBorders>
            <w:shd w:val="clear" w:color="auto" w:fill="auto"/>
            <w:vAlign w:val="center"/>
          </w:tcPr>
          <w:p>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执行率</w:t>
            </w:r>
            <w:r>
              <w:rPr>
                <w:rFonts w:hint="eastAsia" w:ascii="方正仿宋_GBK" w:eastAsia="方正仿宋_GBK"/>
                <w:color w:val="000000"/>
                <w:sz w:val="18"/>
                <w:szCs w:val="18"/>
              </w:rPr>
              <w:br w:type="textWrapping" w:clear="all"/>
            </w:r>
            <w:r>
              <w:rPr>
                <w:rFonts w:hint="eastAsia" w:ascii="方正仿宋_GBK" w:eastAsia="方正仿宋_GBK"/>
                <w:color w:val="000000"/>
                <w:sz w:val="18"/>
                <w:szCs w:val="18"/>
              </w:rPr>
              <w:t>（%）</w:t>
            </w:r>
          </w:p>
        </w:tc>
        <w:tc>
          <w:tcPr>
            <w:tcW w:w="779" w:type="dxa"/>
            <w:tcBorders>
              <w:top w:val="nil"/>
              <w:left w:val="nil"/>
              <w:bottom w:val="single" w:color="auto" w:sz="4" w:space="0"/>
              <w:right w:val="single" w:color="auto" w:sz="4" w:space="0"/>
            </w:tcBorders>
            <w:shd w:val="clear" w:color="auto" w:fill="auto"/>
            <w:vAlign w:val="center"/>
          </w:tcPr>
          <w:p>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执行率</w:t>
            </w:r>
            <w:r>
              <w:rPr>
                <w:rFonts w:hint="eastAsia" w:ascii="方正仿宋_GBK" w:eastAsia="方正仿宋_GBK"/>
                <w:color w:val="000000"/>
                <w:sz w:val="18"/>
                <w:szCs w:val="18"/>
              </w:rPr>
              <w:br w:type="textWrapping" w:clear="all"/>
            </w:r>
            <w:r>
              <w:rPr>
                <w:rFonts w:hint="eastAsia" w:ascii="方正仿宋_GBK" w:eastAsia="方正仿宋_GBK"/>
                <w:color w:val="000000"/>
                <w:sz w:val="18"/>
                <w:szCs w:val="18"/>
              </w:rPr>
              <w:t>权重</w:t>
            </w:r>
          </w:p>
        </w:tc>
        <w:tc>
          <w:tcPr>
            <w:tcW w:w="688" w:type="dxa"/>
            <w:tcBorders>
              <w:top w:val="nil"/>
              <w:left w:val="nil"/>
              <w:bottom w:val="single" w:color="auto" w:sz="4" w:space="0"/>
              <w:right w:val="single" w:color="auto" w:sz="4" w:space="0"/>
            </w:tcBorders>
            <w:shd w:val="clear" w:color="auto" w:fill="auto"/>
            <w:vAlign w:val="center"/>
          </w:tcPr>
          <w:p>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执行率得分</w:t>
            </w:r>
            <w:r>
              <w:rPr>
                <w:rFonts w:hint="eastAsia" w:ascii="方正仿宋_GBK" w:eastAsia="方正仿宋_GBK"/>
                <w:color w:val="000000"/>
                <w:sz w:val="18"/>
                <w:szCs w:val="18"/>
              </w:rPr>
              <w:br w:type="textWrapping" w:clear="all"/>
            </w:r>
            <w:r>
              <w:rPr>
                <w:rFonts w:hint="eastAsia" w:ascii="方正仿宋_GBK" w:eastAsia="方正仿宋_GBK"/>
                <w:color w:val="000000"/>
                <w:sz w:val="18"/>
                <w:szCs w:val="18"/>
              </w:rPr>
              <w:t>（分）</w:t>
            </w:r>
          </w:p>
        </w:tc>
      </w:tr>
      <w:tr>
        <w:tblPrEx>
          <w:tblCellMar>
            <w:top w:w="0" w:type="dxa"/>
            <w:left w:w="108" w:type="dxa"/>
            <w:bottom w:w="0" w:type="dxa"/>
            <w:right w:w="108" w:type="dxa"/>
          </w:tblCellMar>
        </w:tblPrEx>
        <w:trPr>
          <w:cantSplit/>
          <w:trHeight w:val="249" w:hRule="atLeast"/>
        </w:trPr>
        <w:tc>
          <w:tcPr>
            <w:tcW w:w="717" w:type="dxa"/>
            <w:vMerge w:val="continue"/>
            <w:tcBorders>
              <w:top w:val="nil"/>
              <w:left w:val="single" w:color="auto" w:sz="4" w:space="0"/>
              <w:bottom w:val="single" w:color="auto" w:sz="4" w:space="0"/>
              <w:right w:val="single" w:color="auto" w:sz="4" w:space="0"/>
            </w:tcBorders>
            <w:vAlign w:val="center"/>
          </w:tcPr>
          <w:p>
            <w:pPr>
              <w:rPr>
                <w:rFonts w:ascii="方正仿宋_GBK" w:hAnsi="Calibri" w:eastAsia="方正仿宋_GBK"/>
                <w:color w:val="000000"/>
                <w:sz w:val="18"/>
                <w:szCs w:val="18"/>
              </w:rPr>
            </w:pPr>
          </w:p>
        </w:tc>
        <w:tc>
          <w:tcPr>
            <w:tcW w:w="864" w:type="dxa"/>
            <w:tcBorders>
              <w:top w:val="nil"/>
              <w:left w:val="nil"/>
              <w:bottom w:val="single" w:color="auto" w:sz="4" w:space="0"/>
              <w:right w:val="nil"/>
            </w:tcBorders>
            <w:shd w:val="clear" w:color="auto" w:fill="auto"/>
            <w:vAlign w:val="center"/>
          </w:tcPr>
          <w:p>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年度总金额</w:t>
            </w:r>
          </w:p>
        </w:tc>
        <w:tc>
          <w:tcPr>
            <w:tcW w:w="1003"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3267.6　</w:t>
            </w:r>
          </w:p>
        </w:tc>
        <w:tc>
          <w:tcPr>
            <w:tcW w:w="1950" w:type="dxa"/>
            <w:gridSpan w:val="2"/>
            <w:tcBorders>
              <w:top w:val="single" w:color="auto" w:sz="4" w:space="0"/>
              <w:left w:val="nil"/>
              <w:bottom w:val="single" w:color="auto" w:sz="4" w:space="0"/>
              <w:right w:val="single" w:color="auto" w:sz="4" w:space="0"/>
            </w:tcBorders>
            <w:shd w:val="clear" w:color="auto" w:fill="auto"/>
            <w:vAlign w:val="center"/>
          </w:tcPr>
          <w:p>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　</w:t>
            </w:r>
          </w:p>
        </w:tc>
        <w:tc>
          <w:tcPr>
            <w:tcW w:w="1651" w:type="dxa"/>
            <w:gridSpan w:val="2"/>
            <w:tcBorders>
              <w:top w:val="single" w:color="auto" w:sz="4" w:space="0"/>
              <w:left w:val="nil"/>
              <w:bottom w:val="single" w:color="auto" w:sz="4" w:space="0"/>
              <w:right w:val="single" w:color="auto" w:sz="4" w:space="0"/>
            </w:tcBorders>
            <w:shd w:val="clear" w:color="auto" w:fill="auto"/>
            <w:vAlign w:val="center"/>
          </w:tcPr>
          <w:p>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3267.6　　</w:t>
            </w:r>
          </w:p>
        </w:tc>
        <w:tc>
          <w:tcPr>
            <w:tcW w:w="779" w:type="dxa"/>
            <w:tcBorders>
              <w:top w:val="nil"/>
              <w:left w:val="nil"/>
              <w:bottom w:val="single" w:color="auto" w:sz="4" w:space="0"/>
              <w:right w:val="single" w:color="auto" w:sz="4" w:space="0"/>
            </w:tcBorders>
            <w:shd w:val="clear" w:color="auto" w:fill="auto"/>
            <w:vAlign w:val="center"/>
          </w:tcPr>
          <w:p>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100%　</w:t>
            </w:r>
          </w:p>
        </w:tc>
        <w:tc>
          <w:tcPr>
            <w:tcW w:w="779" w:type="dxa"/>
            <w:tcBorders>
              <w:top w:val="nil"/>
              <w:left w:val="nil"/>
              <w:bottom w:val="single" w:color="auto" w:sz="4" w:space="0"/>
              <w:right w:val="single" w:color="auto" w:sz="4" w:space="0"/>
            </w:tcBorders>
            <w:shd w:val="clear" w:color="auto" w:fill="auto"/>
            <w:vAlign w:val="center"/>
          </w:tcPr>
          <w:p>
            <w:pPr>
              <w:autoSpaceDN w:val="0"/>
              <w:jc w:val="center"/>
              <w:rPr>
                <w:rFonts w:ascii="方正仿宋_GBK" w:hAnsi="Calibri" w:eastAsia="方正仿宋_GBK"/>
                <w:sz w:val="18"/>
                <w:szCs w:val="18"/>
              </w:rPr>
            </w:pPr>
            <w:r>
              <w:rPr>
                <w:rFonts w:hint="eastAsia" w:ascii="方正仿宋_GBK" w:eastAsia="方正仿宋_GBK"/>
                <w:sz w:val="18"/>
                <w:szCs w:val="18"/>
              </w:rPr>
              <w:t>10　</w:t>
            </w:r>
          </w:p>
        </w:tc>
        <w:tc>
          <w:tcPr>
            <w:tcW w:w="688" w:type="dxa"/>
            <w:tcBorders>
              <w:top w:val="nil"/>
              <w:left w:val="nil"/>
              <w:bottom w:val="single" w:color="auto" w:sz="4" w:space="0"/>
              <w:right w:val="single" w:color="auto" w:sz="4" w:space="0"/>
            </w:tcBorders>
            <w:shd w:val="clear" w:color="auto" w:fill="auto"/>
            <w:vAlign w:val="center"/>
          </w:tcPr>
          <w:p>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10　</w:t>
            </w:r>
          </w:p>
        </w:tc>
      </w:tr>
      <w:tr>
        <w:tblPrEx>
          <w:tblCellMar>
            <w:top w:w="0" w:type="dxa"/>
            <w:left w:w="108" w:type="dxa"/>
            <w:bottom w:w="0" w:type="dxa"/>
            <w:right w:w="108" w:type="dxa"/>
          </w:tblCellMar>
        </w:tblPrEx>
        <w:trPr>
          <w:cantSplit/>
          <w:trHeight w:val="390" w:hRule="atLeast"/>
        </w:trPr>
        <w:tc>
          <w:tcPr>
            <w:tcW w:w="717" w:type="dxa"/>
            <w:vMerge w:val="continue"/>
            <w:tcBorders>
              <w:top w:val="nil"/>
              <w:left w:val="single" w:color="auto" w:sz="4" w:space="0"/>
              <w:bottom w:val="single" w:color="auto" w:sz="4" w:space="0"/>
              <w:right w:val="single" w:color="auto" w:sz="4" w:space="0"/>
            </w:tcBorders>
            <w:vAlign w:val="center"/>
          </w:tcPr>
          <w:p>
            <w:pPr>
              <w:rPr>
                <w:rFonts w:ascii="方正仿宋_GBK" w:hAnsi="Calibri" w:eastAsia="方正仿宋_GBK"/>
                <w:color w:val="000000"/>
                <w:sz w:val="18"/>
                <w:szCs w:val="18"/>
              </w:rPr>
            </w:pPr>
          </w:p>
        </w:tc>
        <w:tc>
          <w:tcPr>
            <w:tcW w:w="864" w:type="dxa"/>
            <w:tcBorders>
              <w:top w:val="nil"/>
              <w:left w:val="nil"/>
              <w:bottom w:val="single" w:color="auto" w:sz="4" w:space="0"/>
              <w:right w:val="nil"/>
            </w:tcBorders>
            <w:shd w:val="clear" w:color="auto" w:fill="auto"/>
            <w:vAlign w:val="center"/>
          </w:tcPr>
          <w:p>
            <w:pPr>
              <w:wordWrap w:val="0"/>
              <w:autoSpaceDN w:val="0"/>
              <w:jc w:val="right"/>
              <w:rPr>
                <w:rFonts w:ascii="方正仿宋_GBK" w:hAnsi="Calibri" w:eastAsia="方正仿宋_GBK"/>
                <w:color w:val="000000"/>
                <w:sz w:val="18"/>
                <w:szCs w:val="18"/>
              </w:rPr>
            </w:pPr>
            <w:r>
              <w:rPr>
                <w:rFonts w:hint="eastAsia" w:ascii="方正仿宋_GBK" w:eastAsia="方正仿宋_GBK"/>
                <w:color w:val="000000"/>
                <w:sz w:val="18"/>
                <w:szCs w:val="18"/>
              </w:rPr>
              <w:t>其中：区级支出</w:t>
            </w:r>
          </w:p>
        </w:tc>
        <w:tc>
          <w:tcPr>
            <w:tcW w:w="1003"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3267.6　</w:t>
            </w:r>
          </w:p>
        </w:tc>
        <w:tc>
          <w:tcPr>
            <w:tcW w:w="1950" w:type="dxa"/>
            <w:gridSpan w:val="2"/>
            <w:tcBorders>
              <w:top w:val="single" w:color="auto" w:sz="4" w:space="0"/>
              <w:left w:val="nil"/>
              <w:bottom w:val="single" w:color="auto" w:sz="4" w:space="0"/>
              <w:right w:val="single" w:color="auto" w:sz="4" w:space="0"/>
            </w:tcBorders>
            <w:shd w:val="clear" w:color="auto" w:fill="auto"/>
            <w:vAlign w:val="center"/>
          </w:tcPr>
          <w:p>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　</w:t>
            </w:r>
          </w:p>
        </w:tc>
        <w:tc>
          <w:tcPr>
            <w:tcW w:w="1651" w:type="dxa"/>
            <w:gridSpan w:val="2"/>
            <w:tcBorders>
              <w:top w:val="single" w:color="auto" w:sz="4" w:space="0"/>
              <w:left w:val="nil"/>
              <w:bottom w:val="single" w:color="auto" w:sz="4" w:space="0"/>
              <w:right w:val="single" w:color="auto" w:sz="4" w:space="0"/>
            </w:tcBorders>
            <w:shd w:val="clear" w:color="auto" w:fill="auto"/>
            <w:vAlign w:val="center"/>
          </w:tcPr>
          <w:p>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3267.6　　</w:t>
            </w:r>
          </w:p>
        </w:tc>
        <w:tc>
          <w:tcPr>
            <w:tcW w:w="779" w:type="dxa"/>
            <w:tcBorders>
              <w:top w:val="nil"/>
              <w:left w:val="nil"/>
              <w:bottom w:val="single" w:color="auto" w:sz="4" w:space="0"/>
              <w:right w:val="single" w:color="auto" w:sz="4" w:space="0"/>
            </w:tcBorders>
            <w:shd w:val="clear" w:color="auto" w:fill="auto"/>
            <w:vAlign w:val="center"/>
          </w:tcPr>
          <w:p>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100%　</w:t>
            </w:r>
          </w:p>
        </w:tc>
        <w:tc>
          <w:tcPr>
            <w:tcW w:w="779" w:type="dxa"/>
            <w:tcBorders>
              <w:top w:val="nil"/>
              <w:left w:val="nil"/>
              <w:bottom w:val="single" w:color="auto" w:sz="4" w:space="0"/>
              <w:right w:val="single" w:color="auto" w:sz="4" w:space="0"/>
            </w:tcBorders>
            <w:shd w:val="clear" w:color="auto" w:fill="auto"/>
            <w:vAlign w:val="center"/>
          </w:tcPr>
          <w:p>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10　</w:t>
            </w:r>
          </w:p>
        </w:tc>
        <w:tc>
          <w:tcPr>
            <w:tcW w:w="688" w:type="dxa"/>
            <w:tcBorders>
              <w:top w:val="nil"/>
              <w:left w:val="nil"/>
              <w:bottom w:val="single" w:color="auto" w:sz="4" w:space="0"/>
              <w:right w:val="single" w:color="auto" w:sz="4" w:space="0"/>
            </w:tcBorders>
            <w:shd w:val="clear" w:color="auto" w:fill="auto"/>
            <w:vAlign w:val="center"/>
          </w:tcPr>
          <w:p>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10　</w:t>
            </w:r>
          </w:p>
        </w:tc>
      </w:tr>
      <w:tr>
        <w:tblPrEx>
          <w:tblCellMar>
            <w:top w:w="0" w:type="dxa"/>
            <w:left w:w="108" w:type="dxa"/>
            <w:bottom w:w="0" w:type="dxa"/>
            <w:right w:w="108" w:type="dxa"/>
          </w:tblCellMar>
        </w:tblPrEx>
        <w:trPr>
          <w:cantSplit/>
          <w:trHeight w:val="172" w:hRule="atLeast"/>
        </w:trPr>
        <w:tc>
          <w:tcPr>
            <w:tcW w:w="717" w:type="dxa"/>
            <w:vMerge w:val="restart"/>
            <w:tcBorders>
              <w:top w:val="nil"/>
              <w:left w:val="single" w:color="auto" w:sz="4" w:space="0"/>
              <w:bottom w:val="single" w:color="auto" w:sz="4" w:space="0"/>
              <w:right w:val="single" w:color="auto" w:sz="4" w:space="0"/>
            </w:tcBorders>
            <w:shd w:val="clear" w:color="auto" w:fill="auto"/>
            <w:vAlign w:val="center"/>
          </w:tcPr>
          <w:p>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当年绩效目标</w:t>
            </w:r>
          </w:p>
        </w:tc>
        <w:tc>
          <w:tcPr>
            <w:tcW w:w="1867" w:type="dxa"/>
            <w:gridSpan w:val="3"/>
            <w:tcBorders>
              <w:top w:val="single" w:color="auto" w:sz="4" w:space="0"/>
              <w:left w:val="nil"/>
              <w:bottom w:val="single" w:color="auto" w:sz="4" w:space="0"/>
              <w:right w:val="single" w:color="000000" w:sz="4" w:space="0"/>
            </w:tcBorders>
            <w:shd w:val="clear" w:color="auto" w:fill="auto"/>
            <w:vAlign w:val="center"/>
          </w:tcPr>
          <w:p>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年初绩效目标</w:t>
            </w:r>
          </w:p>
        </w:tc>
        <w:tc>
          <w:tcPr>
            <w:tcW w:w="3601" w:type="dxa"/>
            <w:gridSpan w:val="4"/>
            <w:tcBorders>
              <w:top w:val="single" w:color="auto" w:sz="4" w:space="0"/>
              <w:left w:val="nil"/>
              <w:bottom w:val="single" w:color="auto" w:sz="4" w:space="0"/>
              <w:right w:val="single" w:color="000000" w:sz="4" w:space="0"/>
            </w:tcBorders>
            <w:shd w:val="clear" w:color="auto" w:fill="auto"/>
            <w:vAlign w:val="center"/>
          </w:tcPr>
          <w:p>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全年（调整）绩效目标</w:t>
            </w:r>
          </w:p>
        </w:tc>
        <w:tc>
          <w:tcPr>
            <w:tcW w:w="2246" w:type="dxa"/>
            <w:gridSpan w:val="3"/>
            <w:tcBorders>
              <w:top w:val="single" w:color="auto" w:sz="4" w:space="0"/>
              <w:left w:val="nil"/>
              <w:bottom w:val="single" w:color="auto" w:sz="4" w:space="0"/>
              <w:right w:val="single" w:color="000000" w:sz="4" w:space="0"/>
            </w:tcBorders>
            <w:shd w:val="clear" w:color="auto" w:fill="auto"/>
            <w:vAlign w:val="center"/>
          </w:tcPr>
          <w:p>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全年目标实际完成情况</w:t>
            </w:r>
          </w:p>
        </w:tc>
      </w:tr>
      <w:tr>
        <w:tblPrEx>
          <w:tblCellMar>
            <w:top w:w="0" w:type="dxa"/>
            <w:left w:w="108" w:type="dxa"/>
            <w:bottom w:w="0" w:type="dxa"/>
            <w:right w:w="108" w:type="dxa"/>
          </w:tblCellMar>
        </w:tblPrEx>
        <w:trPr>
          <w:cantSplit/>
          <w:trHeight w:val="745" w:hRule="atLeast"/>
        </w:trPr>
        <w:tc>
          <w:tcPr>
            <w:tcW w:w="717" w:type="dxa"/>
            <w:vMerge w:val="continue"/>
            <w:tcBorders>
              <w:top w:val="nil"/>
              <w:left w:val="single" w:color="auto" w:sz="4" w:space="0"/>
              <w:bottom w:val="single" w:color="auto" w:sz="4" w:space="0"/>
              <w:right w:val="single" w:color="auto" w:sz="4" w:space="0"/>
            </w:tcBorders>
            <w:vAlign w:val="center"/>
          </w:tcPr>
          <w:p>
            <w:pPr>
              <w:rPr>
                <w:rFonts w:ascii="方正仿宋_GBK" w:hAnsi="Calibri" w:eastAsia="方正仿宋_GBK"/>
                <w:color w:val="000000"/>
                <w:sz w:val="18"/>
                <w:szCs w:val="18"/>
              </w:rPr>
            </w:pPr>
          </w:p>
        </w:tc>
        <w:tc>
          <w:tcPr>
            <w:tcW w:w="1867" w:type="dxa"/>
            <w:gridSpan w:val="3"/>
            <w:tcBorders>
              <w:top w:val="single" w:color="auto" w:sz="4" w:space="0"/>
              <w:left w:val="nil"/>
              <w:bottom w:val="single" w:color="auto" w:sz="4" w:space="0"/>
              <w:right w:val="single" w:color="000000" w:sz="4" w:space="0"/>
            </w:tcBorders>
            <w:shd w:val="clear" w:color="auto" w:fill="auto"/>
            <w:vAlign w:val="center"/>
          </w:tcPr>
          <w:p>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完成2019.5.31-2020.6.1年度集中流转土地的流转金发放工作。　</w:t>
            </w:r>
          </w:p>
        </w:tc>
        <w:tc>
          <w:tcPr>
            <w:tcW w:w="3601" w:type="dxa"/>
            <w:gridSpan w:val="4"/>
            <w:tcBorders>
              <w:top w:val="single" w:color="auto" w:sz="4" w:space="0"/>
              <w:left w:val="nil"/>
              <w:bottom w:val="single" w:color="auto" w:sz="4" w:space="0"/>
              <w:right w:val="single" w:color="000000" w:sz="4" w:space="0"/>
            </w:tcBorders>
            <w:shd w:val="clear" w:color="auto" w:fill="auto"/>
            <w:vAlign w:val="center"/>
          </w:tcPr>
          <w:p>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完成2019.5.31-2020.6.1年度集中流转土地的流转金发放工作。　</w:t>
            </w:r>
          </w:p>
        </w:tc>
        <w:tc>
          <w:tcPr>
            <w:tcW w:w="2246" w:type="dxa"/>
            <w:gridSpan w:val="3"/>
            <w:tcBorders>
              <w:top w:val="single" w:color="auto" w:sz="4" w:space="0"/>
              <w:left w:val="nil"/>
              <w:bottom w:val="single" w:color="auto" w:sz="4" w:space="0"/>
              <w:right w:val="single" w:color="000000" w:sz="4" w:space="0"/>
            </w:tcBorders>
            <w:shd w:val="clear" w:color="auto" w:fill="auto"/>
            <w:vAlign w:val="center"/>
          </w:tcPr>
          <w:p>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已完成2019.5.31-2020.6.1年度集中流转土地的流转金发放和2013.5.31-2026.6.1土地流转期内流转金的发放工作。　</w:t>
            </w:r>
          </w:p>
        </w:tc>
      </w:tr>
      <w:tr>
        <w:tblPrEx>
          <w:tblCellMar>
            <w:top w:w="0" w:type="dxa"/>
            <w:left w:w="108" w:type="dxa"/>
            <w:bottom w:w="0" w:type="dxa"/>
            <w:right w:w="108" w:type="dxa"/>
          </w:tblCellMar>
        </w:tblPrEx>
        <w:trPr>
          <w:cantSplit/>
          <w:trHeight w:val="715" w:hRule="atLeast"/>
        </w:trPr>
        <w:tc>
          <w:tcPr>
            <w:tcW w:w="717" w:type="dxa"/>
            <w:vMerge w:val="restart"/>
            <w:tcBorders>
              <w:top w:val="nil"/>
              <w:left w:val="single" w:color="auto" w:sz="4" w:space="0"/>
              <w:bottom w:val="single" w:color="auto" w:sz="4" w:space="0"/>
              <w:right w:val="single" w:color="auto" w:sz="4" w:space="0"/>
            </w:tcBorders>
            <w:shd w:val="clear" w:color="auto" w:fill="auto"/>
            <w:textDirection w:val="tbRlV"/>
            <w:vAlign w:val="center"/>
          </w:tcPr>
          <w:p>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绩效指标</w:t>
            </w:r>
          </w:p>
        </w:tc>
        <w:tc>
          <w:tcPr>
            <w:tcW w:w="864" w:type="dxa"/>
            <w:tcBorders>
              <w:top w:val="nil"/>
              <w:left w:val="nil"/>
              <w:bottom w:val="single" w:color="auto" w:sz="4" w:space="0"/>
              <w:right w:val="nil"/>
            </w:tcBorders>
            <w:shd w:val="clear" w:color="auto" w:fill="auto"/>
            <w:vAlign w:val="center"/>
          </w:tcPr>
          <w:p>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指标名称</w:t>
            </w:r>
          </w:p>
        </w:tc>
        <w:tc>
          <w:tcPr>
            <w:tcW w:w="486" w:type="dxa"/>
            <w:tcBorders>
              <w:top w:val="nil"/>
              <w:left w:val="single" w:color="auto" w:sz="4" w:space="0"/>
              <w:bottom w:val="single" w:color="auto" w:sz="4" w:space="0"/>
              <w:right w:val="single" w:color="auto" w:sz="4" w:space="0"/>
            </w:tcBorders>
            <w:shd w:val="clear" w:color="auto" w:fill="auto"/>
            <w:vAlign w:val="center"/>
          </w:tcPr>
          <w:p>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计量</w:t>
            </w:r>
            <w:r>
              <w:rPr>
                <w:rFonts w:hint="eastAsia" w:ascii="方正仿宋_GBK" w:eastAsia="方正仿宋_GBK"/>
                <w:color w:val="000000"/>
                <w:sz w:val="18"/>
                <w:szCs w:val="18"/>
              </w:rPr>
              <w:br w:type="textWrapping" w:clear="all"/>
            </w:r>
            <w:r>
              <w:rPr>
                <w:rFonts w:hint="eastAsia" w:ascii="方正仿宋_GBK" w:eastAsia="方正仿宋_GBK"/>
                <w:color w:val="000000"/>
                <w:sz w:val="18"/>
                <w:szCs w:val="18"/>
              </w:rPr>
              <w:t>单位</w:t>
            </w:r>
          </w:p>
        </w:tc>
        <w:tc>
          <w:tcPr>
            <w:tcW w:w="517" w:type="dxa"/>
            <w:tcBorders>
              <w:top w:val="nil"/>
              <w:left w:val="nil"/>
              <w:bottom w:val="single" w:color="auto" w:sz="4" w:space="0"/>
              <w:right w:val="single" w:color="auto" w:sz="4" w:space="0"/>
            </w:tcBorders>
            <w:shd w:val="clear" w:color="auto" w:fill="auto"/>
            <w:vAlign w:val="center"/>
          </w:tcPr>
          <w:p>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指标</w:t>
            </w:r>
            <w:r>
              <w:rPr>
                <w:rFonts w:hint="eastAsia" w:ascii="方正仿宋_GBK" w:eastAsia="方正仿宋_GBK"/>
                <w:color w:val="000000"/>
                <w:sz w:val="18"/>
                <w:szCs w:val="18"/>
              </w:rPr>
              <w:br w:type="textWrapping" w:clear="all"/>
            </w:r>
            <w:r>
              <w:rPr>
                <w:rFonts w:hint="eastAsia" w:ascii="方正仿宋_GBK" w:eastAsia="方正仿宋_GBK"/>
                <w:color w:val="000000"/>
                <w:sz w:val="18"/>
                <w:szCs w:val="18"/>
              </w:rPr>
              <w:t>性质</w:t>
            </w:r>
          </w:p>
        </w:tc>
        <w:tc>
          <w:tcPr>
            <w:tcW w:w="975" w:type="dxa"/>
            <w:tcBorders>
              <w:top w:val="nil"/>
              <w:left w:val="nil"/>
              <w:bottom w:val="single" w:color="auto" w:sz="4" w:space="0"/>
              <w:right w:val="single" w:color="auto" w:sz="4" w:space="0"/>
            </w:tcBorders>
            <w:shd w:val="clear" w:color="auto" w:fill="auto"/>
            <w:vAlign w:val="center"/>
          </w:tcPr>
          <w:p>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年初</w:t>
            </w:r>
            <w:r>
              <w:rPr>
                <w:rFonts w:hint="eastAsia" w:ascii="方正仿宋_GBK" w:eastAsia="方正仿宋_GBK"/>
                <w:color w:val="000000"/>
                <w:sz w:val="18"/>
                <w:szCs w:val="18"/>
              </w:rPr>
              <w:br w:type="textWrapping" w:clear="all"/>
            </w:r>
            <w:r>
              <w:rPr>
                <w:rFonts w:hint="eastAsia" w:ascii="方正仿宋_GBK" w:eastAsia="方正仿宋_GBK"/>
                <w:color w:val="000000"/>
                <w:sz w:val="18"/>
                <w:szCs w:val="18"/>
              </w:rPr>
              <w:t>指标值</w:t>
            </w:r>
          </w:p>
        </w:tc>
        <w:tc>
          <w:tcPr>
            <w:tcW w:w="975" w:type="dxa"/>
            <w:tcBorders>
              <w:top w:val="nil"/>
              <w:left w:val="nil"/>
              <w:bottom w:val="single" w:color="auto" w:sz="4" w:space="0"/>
              <w:right w:val="single" w:color="auto" w:sz="4" w:space="0"/>
            </w:tcBorders>
            <w:shd w:val="clear" w:color="auto" w:fill="auto"/>
            <w:vAlign w:val="center"/>
          </w:tcPr>
          <w:p>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调整</w:t>
            </w:r>
            <w:r>
              <w:rPr>
                <w:rFonts w:hint="eastAsia" w:ascii="方正仿宋_GBK" w:eastAsia="方正仿宋_GBK"/>
                <w:color w:val="000000"/>
                <w:sz w:val="18"/>
                <w:szCs w:val="18"/>
              </w:rPr>
              <w:br w:type="textWrapping" w:clear="all"/>
            </w:r>
            <w:r>
              <w:rPr>
                <w:rFonts w:hint="eastAsia" w:ascii="方正仿宋_GBK" w:eastAsia="方正仿宋_GBK"/>
                <w:color w:val="000000"/>
                <w:sz w:val="18"/>
                <w:szCs w:val="18"/>
              </w:rPr>
              <w:t>指标值</w:t>
            </w:r>
          </w:p>
        </w:tc>
        <w:tc>
          <w:tcPr>
            <w:tcW w:w="944" w:type="dxa"/>
            <w:tcBorders>
              <w:top w:val="nil"/>
              <w:left w:val="nil"/>
              <w:bottom w:val="single" w:color="auto" w:sz="4" w:space="0"/>
              <w:right w:val="single" w:color="auto" w:sz="4" w:space="0"/>
            </w:tcBorders>
            <w:shd w:val="clear" w:color="auto" w:fill="auto"/>
            <w:vAlign w:val="center"/>
          </w:tcPr>
          <w:p>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全年</w:t>
            </w:r>
            <w:r>
              <w:rPr>
                <w:rFonts w:hint="eastAsia" w:ascii="方正仿宋_GBK" w:eastAsia="方正仿宋_GBK"/>
                <w:color w:val="000000"/>
                <w:sz w:val="18"/>
                <w:szCs w:val="18"/>
              </w:rPr>
              <w:br w:type="textWrapping" w:clear="all"/>
            </w:r>
            <w:r>
              <w:rPr>
                <w:rFonts w:hint="eastAsia" w:ascii="方正仿宋_GBK" w:eastAsia="方正仿宋_GBK"/>
                <w:color w:val="000000"/>
                <w:sz w:val="18"/>
                <w:szCs w:val="18"/>
              </w:rPr>
              <w:t>完成值</w:t>
            </w:r>
          </w:p>
        </w:tc>
        <w:tc>
          <w:tcPr>
            <w:tcW w:w="707" w:type="dxa"/>
            <w:tcBorders>
              <w:top w:val="nil"/>
              <w:left w:val="nil"/>
              <w:bottom w:val="single" w:color="auto" w:sz="4" w:space="0"/>
              <w:right w:val="single" w:color="auto" w:sz="4" w:space="0"/>
            </w:tcBorders>
            <w:shd w:val="clear" w:color="auto" w:fill="auto"/>
            <w:vAlign w:val="center"/>
          </w:tcPr>
          <w:p>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得分系数</w:t>
            </w:r>
            <w:r>
              <w:rPr>
                <w:rFonts w:hint="eastAsia" w:ascii="方正仿宋_GBK" w:eastAsia="方正仿宋_GBK"/>
                <w:color w:val="000000"/>
                <w:sz w:val="18"/>
                <w:szCs w:val="18"/>
              </w:rPr>
              <w:br w:type="textWrapping" w:clear="all"/>
            </w:r>
            <w:r>
              <w:rPr>
                <w:rFonts w:hint="eastAsia" w:ascii="方正仿宋_GBK" w:eastAsia="方正仿宋_GBK"/>
                <w:color w:val="000000"/>
                <w:sz w:val="18"/>
                <w:szCs w:val="18"/>
              </w:rPr>
              <w:t>（%）</w:t>
            </w:r>
          </w:p>
        </w:tc>
        <w:tc>
          <w:tcPr>
            <w:tcW w:w="779" w:type="dxa"/>
            <w:tcBorders>
              <w:top w:val="nil"/>
              <w:left w:val="nil"/>
              <w:bottom w:val="single" w:color="auto" w:sz="4" w:space="0"/>
              <w:right w:val="single" w:color="auto" w:sz="4" w:space="0"/>
            </w:tcBorders>
            <w:shd w:val="clear" w:color="auto" w:fill="auto"/>
            <w:vAlign w:val="center"/>
          </w:tcPr>
          <w:p>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指标权重</w:t>
            </w:r>
            <w:r>
              <w:rPr>
                <w:rFonts w:hint="eastAsia" w:ascii="方正仿宋_GBK" w:eastAsia="方正仿宋_GBK"/>
                <w:color w:val="000000"/>
                <w:sz w:val="18"/>
                <w:szCs w:val="18"/>
              </w:rPr>
              <w:br w:type="textWrapping" w:clear="all"/>
            </w:r>
            <w:r>
              <w:rPr>
                <w:rFonts w:hint="eastAsia" w:ascii="方正仿宋_GBK" w:eastAsia="方正仿宋_GBK"/>
                <w:color w:val="000000"/>
                <w:sz w:val="18"/>
                <w:szCs w:val="18"/>
              </w:rPr>
              <w:t>（分）</w:t>
            </w:r>
          </w:p>
        </w:tc>
        <w:tc>
          <w:tcPr>
            <w:tcW w:w="779" w:type="dxa"/>
            <w:tcBorders>
              <w:top w:val="nil"/>
              <w:left w:val="nil"/>
              <w:bottom w:val="single" w:color="auto" w:sz="4" w:space="0"/>
              <w:right w:val="single" w:color="auto" w:sz="4" w:space="0"/>
            </w:tcBorders>
            <w:shd w:val="clear" w:color="auto" w:fill="auto"/>
            <w:vAlign w:val="center"/>
          </w:tcPr>
          <w:p>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指标得分</w:t>
            </w:r>
            <w:r>
              <w:rPr>
                <w:rFonts w:hint="eastAsia" w:ascii="方正仿宋_GBK" w:eastAsia="方正仿宋_GBK"/>
                <w:color w:val="000000"/>
                <w:sz w:val="18"/>
                <w:szCs w:val="18"/>
              </w:rPr>
              <w:br w:type="textWrapping" w:clear="all"/>
            </w:r>
            <w:r>
              <w:rPr>
                <w:rFonts w:hint="eastAsia" w:ascii="方正仿宋_GBK" w:eastAsia="方正仿宋_GBK"/>
                <w:color w:val="000000"/>
                <w:sz w:val="18"/>
                <w:szCs w:val="18"/>
              </w:rPr>
              <w:t>（分）</w:t>
            </w:r>
          </w:p>
        </w:tc>
        <w:tc>
          <w:tcPr>
            <w:tcW w:w="688" w:type="dxa"/>
            <w:tcBorders>
              <w:top w:val="nil"/>
              <w:left w:val="nil"/>
              <w:bottom w:val="single" w:color="auto" w:sz="4" w:space="0"/>
              <w:right w:val="single" w:color="auto" w:sz="4" w:space="0"/>
            </w:tcBorders>
            <w:shd w:val="clear" w:color="auto" w:fill="auto"/>
            <w:vAlign w:val="center"/>
          </w:tcPr>
          <w:p>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是否核心</w:t>
            </w:r>
            <w:r>
              <w:rPr>
                <w:rFonts w:hint="eastAsia" w:ascii="方正仿宋_GBK" w:eastAsia="方正仿宋_GBK"/>
                <w:color w:val="000000"/>
                <w:sz w:val="18"/>
                <w:szCs w:val="18"/>
              </w:rPr>
              <w:br w:type="textWrapping" w:clear="all"/>
            </w:r>
            <w:r>
              <w:rPr>
                <w:rFonts w:hint="eastAsia" w:ascii="方正仿宋_GBK" w:eastAsia="方正仿宋_GBK"/>
                <w:color w:val="000000"/>
                <w:sz w:val="18"/>
                <w:szCs w:val="18"/>
              </w:rPr>
              <w:t>指标</w:t>
            </w:r>
          </w:p>
        </w:tc>
      </w:tr>
      <w:tr>
        <w:tblPrEx>
          <w:tblCellMar>
            <w:top w:w="0" w:type="dxa"/>
            <w:left w:w="108" w:type="dxa"/>
            <w:bottom w:w="0" w:type="dxa"/>
            <w:right w:w="108" w:type="dxa"/>
          </w:tblCellMar>
        </w:tblPrEx>
        <w:trPr>
          <w:cantSplit/>
          <w:trHeight w:val="90" w:hRule="atLeast"/>
        </w:trPr>
        <w:tc>
          <w:tcPr>
            <w:tcW w:w="717" w:type="dxa"/>
            <w:vMerge w:val="continue"/>
            <w:tcBorders>
              <w:top w:val="nil"/>
              <w:left w:val="single" w:color="auto" w:sz="4" w:space="0"/>
              <w:bottom w:val="single" w:color="auto" w:sz="4" w:space="0"/>
              <w:right w:val="single" w:color="auto" w:sz="4" w:space="0"/>
            </w:tcBorders>
            <w:vAlign w:val="center"/>
          </w:tcPr>
          <w:p>
            <w:pPr>
              <w:rPr>
                <w:rFonts w:ascii="方正仿宋_GBK" w:hAnsi="Calibri" w:eastAsia="方正仿宋_GBK"/>
                <w:color w:val="000000"/>
                <w:sz w:val="18"/>
                <w:szCs w:val="18"/>
              </w:rPr>
            </w:pPr>
          </w:p>
        </w:tc>
        <w:tc>
          <w:tcPr>
            <w:tcW w:w="864" w:type="dxa"/>
            <w:tcBorders>
              <w:top w:val="nil"/>
              <w:left w:val="nil"/>
              <w:bottom w:val="single" w:color="auto" w:sz="4" w:space="0"/>
              <w:right w:val="nil"/>
            </w:tcBorders>
            <w:shd w:val="clear" w:color="auto" w:fill="auto"/>
            <w:vAlign w:val="center"/>
          </w:tcPr>
          <w:p>
            <w:pPr>
              <w:autoSpaceDN w:val="0"/>
              <w:jc w:val="center"/>
              <w:rPr>
                <w:rFonts w:ascii="方正仿宋_GBK" w:eastAsia="方正仿宋_GBK"/>
                <w:color w:val="000000"/>
                <w:sz w:val="18"/>
                <w:szCs w:val="18"/>
              </w:rPr>
            </w:pPr>
            <w:r>
              <w:rPr>
                <w:rFonts w:hint="eastAsia" w:ascii="方正仿宋_GBK" w:eastAsia="方正仿宋_GBK"/>
                <w:color w:val="000000"/>
                <w:sz w:val="18"/>
                <w:szCs w:val="18"/>
              </w:rPr>
              <w:t>7项工作　</w:t>
            </w:r>
          </w:p>
        </w:tc>
        <w:tc>
          <w:tcPr>
            <w:tcW w:w="486" w:type="dxa"/>
            <w:tcBorders>
              <w:top w:val="nil"/>
              <w:left w:val="single" w:color="auto" w:sz="4" w:space="0"/>
              <w:bottom w:val="single" w:color="auto" w:sz="4" w:space="0"/>
              <w:right w:val="nil"/>
            </w:tcBorders>
            <w:shd w:val="clear" w:color="auto" w:fill="auto"/>
            <w:vAlign w:val="center"/>
          </w:tcPr>
          <w:p>
            <w:pPr>
              <w:autoSpaceDN w:val="0"/>
              <w:jc w:val="center"/>
              <w:rPr>
                <w:rFonts w:ascii="方正仿宋_GBK" w:eastAsia="方正仿宋_GBK"/>
                <w:color w:val="000000"/>
                <w:sz w:val="18"/>
                <w:szCs w:val="18"/>
              </w:rPr>
            </w:pPr>
            <w:r>
              <w:rPr>
                <w:rFonts w:hint="eastAsia" w:ascii="方正仿宋_GBK" w:eastAsia="方正仿宋_GBK"/>
                <w:color w:val="000000"/>
                <w:sz w:val="18"/>
                <w:szCs w:val="18"/>
              </w:rPr>
              <w:t>项　</w:t>
            </w:r>
          </w:p>
        </w:tc>
        <w:tc>
          <w:tcPr>
            <w:tcW w:w="517" w:type="dxa"/>
            <w:tcBorders>
              <w:top w:val="nil"/>
              <w:left w:val="single" w:color="auto" w:sz="4" w:space="0"/>
              <w:bottom w:val="single" w:color="auto" w:sz="4" w:space="0"/>
              <w:right w:val="nil"/>
            </w:tcBorders>
            <w:shd w:val="clear" w:color="auto" w:fill="auto"/>
            <w:vAlign w:val="center"/>
          </w:tcPr>
          <w:p>
            <w:pPr>
              <w:autoSpaceDN w:val="0"/>
              <w:jc w:val="center"/>
              <w:rPr>
                <w:rFonts w:ascii="方正仿宋_GBK" w:eastAsia="方正仿宋_GBK"/>
                <w:color w:val="000000"/>
                <w:sz w:val="18"/>
                <w:szCs w:val="18"/>
              </w:rPr>
            </w:pPr>
            <w:r>
              <w:rPr>
                <w:rFonts w:hint="eastAsia" w:ascii="方正仿宋_GBK" w:eastAsia="方正仿宋_GBK"/>
                <w:color w:val="000000"/>
                <w:sz w:val="18"/>
                <w:szCs w:val="18"/>
              </w:rPr>
              <w:t>=　</w:t>
            </w:r>
          </w:p>
        </w:tc>
        <w:tc>
          <w:tcPr>
            <w:tcW w:w="975" w:type="dxa"/>
            <w:tcBorders>
              <w:top w:val="nil"/>
              <w:left w:val="single" w:color="auto" w:sz="4" w:space="0"/>
              <w:bottom w:val="single" w:color="auto" w:sz="4" w:space="0"/>
              <w:right w:val="nil"/>
            </w:tcBorders>
            <w:shd w:val="clear" w:color="auto" w:fill="auto"/>
            <w:vAlign w:val="center"/>
          </w:tcPr>
          <w:p>
            <w:pPr>
              <w:autoSpaceDN w:val="0"/>
              <w:jc w:val="center"/>
              <w:rPr>
                <w:rFonts w:ascii="方正仿宋_GBK" w:eastAsia="方正仿宋_GBK"/>
                <w:color w:val="000000"/>
                <w:sz w:val="18"/>
                <w:szCs w:val="18"/>
              </w:rPr>
            </w:pPr>
            <w:r>
              <w:rPr>
                <w:rFonts w:hint="eastAsia" w:ascii="方正仿宋_GBK" w:eastAsia="方正仿宋_GBK"/>
                <w:color w:val="000000"/>
                <w:sz w:val="18"/>
                <w:szCs w:val="18"/>
              </w:rPr>
              <w:t>完成7项工作　</w:t>
            </w:r>
          </w:p>
        </w:tc>
        <w:tc>
          <w:tcPr>
            <w:tcW w:w="975" w:type="dxa"/>
            <w:tcBorders>
              <w:top w:val="nil"/>
              <w:left w:val="single" w:color="auto" w:sz="4" w:space="0"/>
              <w:bottom w:val="single" w:color="auto" w:sz="4" w:space="0"/>
              <w:right w:val="nil"/>
            </w:tcBorders>
            <w:shd w:val="clear" w:color="auto" w:fill="auto"/>
            <w:vAlign w:val="center"/>
          </w:tcPr>
          <w:p>
            <w:pPr>
              <w:autoSpaceDN w:val="0"/>
              <w:jc w:val="center"/>
              <w:rPr>
                <w:rFonts w:ascii="方正仿宋_GBK" w:eastAsia="方正仿宋_GBK"/>
                <w:color w:val="000000"/>
                <w:sz w:val="18"/>
                <w:szCs w:val="18"/>
              </w:rPr>
            </w:pPr>
            <w:r>
              <w:rPr>
                <w:rFonts w:hint="eastAsia" w:ascii="方正仿宋_GBK" w:eastAsia="方正仿宋_GBK"/>
                <w:color w:val="000000"/>
                <w:sz w:val="18"/>
                <w:szCs w:val="18"/>
              </w:rPr>
              <w:t>完成7项工作　</w:t>
            </w:r>
          </w:p>
        </w:tc>
        <w:tc>
          <w:tcPr>
            <w:tcW w:w="944" w:type="dxa"/>
            <w:tcBorders>
              <w:top w:val="nil"/>
              <w:left w:val="single" w:color="auto" w:sz="4" w:space="0"/>
              <w:bottom w:val="single" w:color="auto" w:sz="4" w:space="0"/>
              <w:right w:val="nil"/>
            </w:tcBorders>
            <w:shd w:val="clear" w:color="auto" w:fill="auto"/>
            <w:vAlign w:val="center"/>
          </w:tcPr>
          <w:p>
            <w:pPr>
              <w:autoSpaceDN w:val="0"/>
              <w:jc w:val="center"/>
              <w:rPr>
                <w:rFonts w:ascii="方正仿宋_GBK" w:eastAsia="方正仿宋_GBK"/>
                <w:color w:val="000000"/>
                <w:sz w:val="18"/>
                <w:szCs w:val="18"/>
              </w:rPr>
            </w:pPr>
            <w:r>
              <w:rPr>
                <w:rFonts w:hint="eastAsia" w:ascii="方正仿宋_GBK" w:eastAsia="方正仿宋_GBK"/>
                <w:color w:val="000000"/>
                <w:sz w:val="18"/>
                <w:szCs w:val="18"/>
              </w:rPr>
              <w:t>已完成</w:t>
            </w:r>
          </w:p>
        </w:tc>
        <w:tc>
          <w:tcPr>
            <w:tcW w:w="707" w:type="dxa"/>
            <w:tcBorders>
              <w:top w:val="nil"/>
              <w:left w:val="single" w:color="auto" w:sz="4" w:space="0"/>
              <w:bottom w:val="single" w:color="auto" w:sz="4" w:space="0"/>
              <w:right w:val="nil"/>
            </w:tcBorders>
            <w:shd w:val="clear" w:color="auto" w:fill="auto"/>
            <w:vAlign w:val="center"/>
          </w:tcPr>
          <w:p>
            <w:pPr>
              <w:autoSpaceDN w:val="0"/>
              <w:jc w:val="center"/>
              <w:rPr>
                <w:rFonts w:ascii="方正仿宋_GBK" w:eastAsia="方正仿宋_GBK"/>
                <w:color w:val="000000"/>
                <w:sz w:val="18"/>
                <w:szCs w:val="18"/>
              </w:rPr>
            </w:pPr>
            <w:r>
              <w:rPr>
                <w:rFonts w:hint="eastAsia" w:ascii="方正仿宋_GBK" w:eastAsia="方正仿宋_GBK"/>
                <w:color w:val="000000"/>
                <w:sz w:val="18"/>
                <w:szCs w:val="18"/>
              </w:rPr>
              <w:t>100%　</w:t>
            </w:r>
          </w:p>
        </w:tc>
        <w:tc>
          <w:tcPr>
            <w:tcW w:w="779" w:type="dxa"/>
            <w:tcBorders>
              <w:top w:val="nil"/>
              <w:left w:val="single" w:color="auto" w:sz="4" w:space="0"/>
              <w:bottom w:val="single" w:color="auto" w:sz="4" w:space="0"/>
              <w:right w:val="nil"/>
            </w:tcBorders>
            <w:shd w:val="clear" w:color="auto" w:fill="auto"/>
            <w:vAlign w:val="center"/>
          </w:tcPr>
          <w:p>
            <w:pPr>
              <w:autoSpaceDN w:val="0"/>
              <w:jc w:val="center"/>
              <w:rPr>
                <w:rFonts w:ascii="方正仿宋_GBK" w:eastAsia="方正仿宋_GBK"/>
                <w:color w:val="000000"/>
                <w:sz w:val="18"/>
                <w:szCs w:val="18"/>
              </w:rPr>
            </w:pPr>
            <w:r>
              <w:rPr>
                <w:rFonts w:hint="eastAsia" w:ascii="方正仿宋_GBK" w:eastAsia="方正仿宋_GBK"/>
                <w:color w:val="000000"/>
                <w:sz w:val="18"/>
                <w:szCs w:val="18"/>
              </w:rPr>
              <w:t>13.3　</w:t>
            </w:r>
          </w:p>
        </w:tc>
        <w:tc>
          <w:tcPr>
            <w:tcW w:w="779" w:type="dxa"/>
            <w:tcBorders>
              <w:top w:val="nil"/>
              <w:left w:val="single" w:color="auto" w:sz="4" w:space="0"/>
              <w:bottom w:val="single" w:color="auto" w:sz="4" w:space="0"/>
              <w:right w:val="nil"/>
            </w:tcBorders>
            <w:shd w:val="clear" w:color="auto" w:fill="auto"/>
            <w:vAlign w:val="center"/>
          </w:tcPr>
          <w:p>
            <w:pPr>
              <w:autoSpaceDN w:val="0"/>
              <w:jc w:val="center"/>
              <w:rPr>
                <w:rFonts w:ascii="方正仿宋_GBK" w:eastAsia="方正仿宋_GBK"/>
                <w:color w:val="000000"/>
                <w:sz w:val="18"/>
                <w:szCs w:val="18"/>
              </w:rPr>
            </w:pPr>
            <w:r>
              <w:rPr>
                <w:rFonts w:hint="eastAsia" w:ascii="方正仿宋_GBK" w:eastAsia="方正仿宋_GBK"/>
                <w:color w:val="000000"/>
                <w:sz w:val="18"/>
                <w:szCs w:val="18"/>
              </w:rPr>
              <w:t>13.3　</w:t>
            </w:r>
          </w:p>
        </w:tc>
        <w:tc>
          <w:tcPr>
            <w:tcW w:w="688" w:type="dxa"/>
            <w:tcBorders>
              <w:top w:val="nil"/>
              <w:left w:val="single" w:color="auto" w:sz="4" w:space="0"/>
              <w:bottom w:val="single" w:color="auto" w:sz="4" w:space="0"/>
              <w:right w:val="single" w:color="auto" w:sz="4" w:space="0"/>
            </w:tcBorders>
            <w:shd w:val="clear" w:color="auto" w:fill="auto"/>
            <w:vAlign w:val="center"/>
          </w:tcPr>
          <w:p>
            <w:pPr>
              <w:autoSpaceDN w:val="0"/>
              <w:jc w:val="center"/>
              <w:rPr>
                <w:rFonts w:ascii="方正仿宋_GBK" w:eastAsia="方正仿宋_GBK"/>
                <w:color w:val="000000"/>
                <w:sz w:val="18"/>
                <w:szCs w:val="18"/>
              </w:rPr>
            </w:pPr>
            <w:r>
              <w:rPr>
                <w:rFonts w:hint="eastAsia" w:ascii="方正仿宋_GBK" w:eastAsia="方正仿宋_GBK"/>
                <w:color w:val="000000"/>
                <w:sz w:val="18"/>
                <w:szCs w:val="18"/>
              </w:rPr>
              <w:t>是　</w:t>
            </w:r>
          </w:p>
        </w:tc>
      </w:tr>
      <w:tr>
        <w:tblPrEx>
          <w:tblCellMar>
            <w:top w:w="0" w:type="dxa"/>
            <w:left w:w="108" w:type="dxa"/>
            <w:bottom w:w="0" w:type="dxa"/>
            <w:right w:w="108" w:type="dxa"/>
          </w:tblCellMar>
        </w:tblPrEx>
        <w:trPr>
          <w:cantSplit/>
          <w:trHeight w:val="184" w:hRule="atLeast"/>
        </w:trPr>
        <w:tc>
          <w:tcPr>
            <w:tcW w:w="717" w:type="dxa"/>
            <w:vMerge w:val="continue"/>
            <w:tcBorders>
              <w:top w:val="nil"/>
              <w:left w:val="single" w:color="auto" w:sz="4" w:space="0"/>
              <w:bottom w:val="single" w:color="auto" w:sz="4" w:space="0"/>
              <w:right w:val="single" w:color="auto" w:sz="4" w:space="0"/>
            </w:tcBorders>
            <w:vAlign w:val="center"/>
          </w:tcPr>
          <w:p>
            <w:pPr>
              <w:rPr>
                <w:rFonts w:ascii="方正仿宋_GBK" w:hAnsi="Calibri" w:eastAsia="方正仿宋_GBK"/>
                <w:color w:val="000000"/>
                <w:sz w:val="18"/>
                <w:szCs w:val="18"/>
              </w:rPr>
            </w:pPr>
          </w:p>
        </w:tc>
        <w:tc>
          <w:tcPr>
            <w:tcW w:w="864" w:type="dxa"/>
            <w:tcBorders>
              <w:top w:val="nil"/>
              <w:left w:val="nil"/>
              <w:bottom w:val="single" w:color="auto" w:sz="4" w:space="0"/>
              <w:right w:val="nil"/>
            </w:tcBorders>
            <w:shd w:val="clear" w:color="auto" w:fill="auto"/>
            <w:vAlign w:val="center"/>
          </w:tcPr>
          <w:p>
            <w:pPr>
              <w:autoSpaceDN w:val="0"/>
              <w:jc w:val="center"/>
              <w:rPr>
                <w:rFonts w:ascii="方正仿宋_GBK" w:eastAsia="方正仿宋_GBK"/>
                <w:color w:val="000000"/>
                <w:sz w:val="18"/>
                <w:szCs w:val="18"/>
              </w:rPr>
            </w:pPr>
            <w:r>
              <w:rPr>
                <w:rFonts w:hint="eastAsia" w:ascii="方正仿宋_GBK" w:eastAsia="方正仿宋_GBK"/>
                <w:color w:val="000000"/>
                <w:sz w:val="18"/>
                <w:szCs w:val="18"/>
              </w:rPr>
              <w:t>3055户</w:t>
            </w:r>
          </w:p>
        </w:tc>
        <w:tc>
          <w:tcPr>
            <w:tcW w:w="486" w:type="dxa"/>
            <w:tcBorders>
              <w:top w:val="nil"/>
              <w:left w:val="single" w:color="auto" w:sz="4" w:space="0"/>
              <w:bottom w:val="single" w:color="auto" w:sz="4" w:space="0"/>
              <w:right w:val="nil"/>
            </w:tcBorders>
            <w:shd w:val="clear" w:color="auto" w:fill="auto"/>
            <w:vAlign w:val="center"/>
          </w:tcPr>
          <w:p>
            <w:pPr>
              <w:autoSpaceDN w:val="0"/>
              <w:jc w:val="center"/>
              <w:rPr>
                <w:rFonts w:ascii="方正仿宋_GBK" w:eastAsia="方正仿宋_GBK"/>
                <w:color w:val="000000"/>
                <w:sz w:val="18"/>
                <w:szCs w:val="18"/>
              </w:rPr>
            </w:pPr>
            <w:r>
              <w:rPr>
                <w:rFonts w:hint="eastAsia" w:ascii="方正仿宋_GBK" w:eastAsia="方正仿宋_GBK"/>
                <w:color w:val="000000"/>
                <w:sz w:val="18"/>
                <w:szCs w:val="18"/>
              </w:rPr>
              <w:t>%　</w:t>
            </w:r>
          </w:p>
        </w:tc>
        <w:tc>
          <w:tcPr>
            <w:tcW w:w="517" w:type="dxa"/>
            <w:tcBorders>
              <w:top w:val="nil"/>
              <w:left w:val="single" w:color="auto" w:sz="4" w:space="0"/>
              <w:bottom w:val="single" w:color="auto" w:sz="4" w:space="0"/>
              <w:right w:val="nil"/>
            </w:tcBorders>
            <w:shd w:val="clear" w:color="auto" w:fill="auto"/>
            <w:vAlign w:val="center"/>
          </w:tcPr>
          <w:p>
            <w:pPr>
              <w:autoSpaceDN w:val="0"/>
              <w:jc w:val="center"/>
              <w:rPr>
                <w:rFonts w:ascii="方正仿宋_GBK" w:eastAsia="方正仿宋_GBK"/>
                <w:color w:val="000000"/>
                <w:sz w:val="18"/>
                <w:szCs w:val="18"/>
              </w:rPr>
            </w:pPr>
            <w:r>
              <w:rPr>
                <w:rFonts w:hint="eastAsia" w:ascii="方正仿宋_GBK" w:eastAsia="方正仿宋_GBK"/>
                <w:color w:val="000000"/>
                <w:sz w:val="18"/>
                <w:szCs w:val="18"/>
              </w:rPr>
              <w:t>=　</w:t>
            </w:r>
          </w:p>
        </w:tc>
        <w:tc>
          <w:tcPr>
            <w:tcW w:w="975" w:type="dxa"/>
            <w:tcBorders>
              <w:top w:val="nil"/>
              <w:left w:val="single" w:color="auto" w:sz="4" w:space="0"/>
              <w:bottom w:val="single" w:color="auto" w:sz="4" w:space="0"/>
              <w:right w:val="nil"/>
            </w:tcBorders>
            <w:shd w:val="clear" w:color="auto" w:fill="auto"/>
            <w:vAlign w:val="center"/>
          </w:tcPr>
          <w:p>
            <w:pPr>
              <w:autoSpaceDN w:val="0"/>
              <w:jc w:val="both"/>
              <w:rPr>
                <w:rFonts w:ascii="方正仿宋_GBK" w:eastAsia="方正仿宋_GBK"/>
                <w:color w:val="000000"/>
                <w:sz w:val="18"/>
                <w:szCs w:val="18"/>
              </w:rPr>
            </w:pPr>
            <w:r>
              <w:rPr>
                <w:rFonts w:hint="eastAsia" w:ascii="方正仿宋_GBK" w:eastAsia="方正仿宋_GBK"/>
                <w:color w:val="000000"/>
                <w:sz w:val="18"/>
                <w:szCs w:val="18"/>
              </w:rPr>
              <w:t>完成3055户村民流转金的发放工作　</w:t>
            </w:r>
          </w:p>
        </w:tc>
        <w:tc>
          <w:tcPr>
            <w:tcW w:w="975" w:type="dxa"/>
            <w:tcBorders>
              <w:top w:val="nil"/>
              <w:left w:val="single" w:color="auto" w:sz="4" w:space="0"/>
              <w:bottom w:val="single" w:color="auto" w:sz="4" w:space="0"/>
              <w:right w:val="nil"/>
            </w:tcBorders>
            <w:shd w:val="clear" w:color="auto" w:fill="auto"/>
            <w:vAlign w:val="center"/>
          </w:tcPr>
          <w:p>
            <w:pPr>
              <w:autoSpaceDN w:val="0"/>
              <w:jc w:val="center"/>
              <w:rPr>
                <w:rFonts w:ascii="方正仿宋_GBK" w:eastAsia="方正仿宋_GBK"/>
                <w:color w:val="000000"/>
                <w:sz w:val="18"/>
                <w:szCs w:val="18"/>
              </w:rPr>
            </w:pPr>
            <w:r>
              <w:rPr>
                <w:rFonts w:hint="eastAsia" w:ascii="方正仿宋_GBK" w:eastAsia="方正仿宋_GBK"/>
                <w:color w:val="000000"/>
                <w:sz w:val="18"/>
                <w:szCs w:val="18"/>
              </w:rPr>
              <w:t>完成3055户村民流转金的发放工作</w:t>
            </w:r>
          </w:p>
        </w:tc>
        <w:tc>
          <w:tcPr>
            <w:tcW w:w="944" w:type="dxa"/>
            <w:tcBorders>
              <w:top w:val="nil"/>
              <w:left w:val="single" w:color="auto" w:sz="4" w:space="0"/>
              <w:bottom w:val="single" w:color="auto" w:sz="4" w:space="0"/>
              <w:right w:val="nil"/>
            </w:tcBorders>
            <w:shd w:val="clear" w:color="auto" w:fill="auto"/>
            <w:vAlign w:val="center"/>
          </w:tcPr>
          <w:p>
            <w:pPr>
              <w:autoSpaceDN w:val="0"/>
              <w:jc w:val="center"/>
              <w:rPr>
                <w:rFonts w:ascii="方正仿宋_GBK" w:eastAsia="方正仿宋_GBK"/>
                <w:color w:val="000000"/>
                <w:sz w:val="18"/>
                <w:szCs w:val="18"/>
              </w:rPr>
            </w:pPr>
            <w:r>
              <w:rPr>
                <w:rFonts w:hint="eastAsia" w:ascii="方正仿宋_GBK" w:eastAsia="方正仿宋_GBK"/>
                <w:color w:val="000000"/>
                <w:sz w:val="18"/>
                <w:szCs w:val="18"/>
              </w:rPr>
              <w:t>已完成　</w:t>
            </w:r>
          </w:p>
        </w:tc>
        <w:tc>
          <w:tcPr>
            <w:tcW w:w="707" w:type="dxa"/>
            <w:tcBorders>
              <w:top w:val="nil"/>
              <w:left w:val="single" w:color="auto" w:sz="4" w:space="0"/>
              <w:bottom w:val="single" w:color="auto" w:sz="4" w:space="0"/>
              <w:right w:val="nil"/>
            </w:tcBorders>
            <w:shd w:val="clear" w:color="auto" w:fill="auto"/>
            <w:vAlign w:val="center"/>
          </w:tcPr>
          <w:p>
            <w:pPr>
              <w:autoSpaceDN w:val="0"/>
              <w:jc w:val="center"/>
              <w:rPr>
                <w:rFonts w:ascii="方正仿宋_GBK" w:eastAsia="方正仿宋_GBK"/>
                <w:color w:val="000000"/>
                <w:sz w:val="18"/>
                <w:szCs w:val="18"/>
              </w:rPr>
            </w:pPr>
            <w:r>
              <w:rPr>
                <w:rFonts w:hint="eastAsia" w:ascii="方正仿宋_GBK" w:eastAsia="方正仿宋_GBK"/>
                <w:color w:val="000000"/>
                <w:sz w:val="18"/>
                <w:szCs w:val="18"/>
              </w:rPr>
              <w:t>　100%</w:t>
            </w:r>
          </w:p>
        </w:tc>
        <w:tc>
          <w:tcPr>
            <w:tcW w:w="779" w:type="dxa"/>
            <w:tcBorders>
              <w:top w:val="nil"/>
              <w:left w:val="single" w:color="auto" w:sz="4" w:space="0"/>
              <w:bottom w:val="single" w:color="auto" w:sz="4" w:space="0"/>
              <w:right w:val="nil"/>
            </w:tcBorders>
            <w:shd w:val="clear" w:color="auto" w:fill="auto"/>
            <w:vAlign w:val="center"/>
          </w:tcPr>
          <w:p>
            <w:pPr>
              <w:autoSpaceDN w:val="0"/>
              <w:jc w:val="center"/>
              <w:rPr>
                <w:rFonts w:ascii="方正仿宋_GBK" w:eastAsia="方正仿宋_GBK"/>
                <w:color w:val="000000"/>
                <w:sz w:val="18"/>
                <w:szCs w:val="18"/>
              </w:rPr>
            </w:pPr>
            <w:r>
              <w:rPr>
                <w:rFonts w:hint="eastAsia" w:ascii="方正仿宋_GBK" w:eastAsia="方正仿宋_GBK"/>
                <w:color w:val="000000"/>
                <w:sz w:val="18"/>
                <w:szCs w:val="18"/>
              </w:rPr>
              <w:t>13.3　</w:t>
            </w:r>
          </w:p>
        </w:tc>
        <w:tc>
          <w:tcPr>
            <w:tcW w:w="779" w:type="dxa"/>
            <w:tcBorders>
              <w:top w:val="nil"/>
              <w:left w:val="single" w:color="auto" w:sz="4" w:space="0"/>
              <w:bottom w:val="single" w:color="auto" w:sz="4" w:space="0"/>
              <w:right w:val="nil"/>
            </w:tcBorders>
            <w:shd w:val="clear" w:color="auto" w:fill="auto"/>
            <w:vAlign w:val="center"/>
          </w:tcPr>
          <w:p>
            <w:pPr>
              <w:autoSpaceDN w:val="0"/>
              <w:jc w:val="center"/>
              <w:rPr>
                <w:rFonts w:ascii="方正仿宋_GBK" w:eastAsia="方正仿宋_GBK"/>
                <w:color w:val="000000"/>
                <w:sz w:val="18"/>
                <w:szCs w:val="18"/>
              </w:rPr>
            </w:pPr>
            <w:r>
              <w:rPr>
                <w:rFonts w:hint="eastAsia" w:ascii="方正仿宋_GBK" w:eastAsia="方正仿宋_GBK"/>
                <w:color w:val="000000"/>
                <w:sz w:val="18"/>
                <w:szCs w:val="18"/>
              </w:rPr>
              <w:t>13.3　</w:t>
            </w:r>
          </w:p>
        </w:tc>
        <w:tc>
          <w:tcPr>
            <w:tcW w:w="688" w:type="dxa"/>
            <w:tcBorders>
              <w:top w:val="nil"/>
              <w:left w:val="single" w:color="auto" w:sz="4" w:space="0"/>
              <w:bottom w:val="single" w:color="auto" w:sz="4" w:space="0"/>
              <w:right w:val="single" w:color="auto" w:sz="4" w:space="0"/>
            </w:tcBorders>
            <w:shd w:val="clear" w:color="auto" w:fill="auto"/>
            <w:vAlign w:val="center"/>
          </w:tcPr>
          <w:p>
            <w:pPr>
              <w:autoSpaceDN w:val="0"/>
              <w:jc w:val="center"/>
              <w:rPr>
                <w:rFonts w:ascii="方正仿宋_GBK" w:eastAsia="方正仿宋_GBK"/>
                <w:color w:val="000000"/>
                <w:sz w:val="18"/>
                <w:szCs w:val="18"/>
              </w:rPr>
            </w:pPr>
            <w:r>
              <w:rPr>
                <w:rFonts w:hint="eastAsia" w:ascii="方正仿宋_GBK" w:eastAsia="方正仿宋_GBK"/>
                <w:color w:val="000000"/>
                <w:sz w:val="18"/>
                <w:szCs w:val="18"/>
              </w:rPr>
              <w:t>是　</w:t>
            </w:r>
          </w:p>
        </w:tc>
      </w:tr>
      <w:tr>
        <w:tblPrEx>
          <w:tblCellMar>
            <w:top w:w="0" w:type="dxa"/>
            <w:left w:w="108" w:type="dxa"/>
            <w:bottom w:w="0" w:type="dxa"/>
            <w:right w:w="108" w:type="dxa"/>
          </w:tblCellMar>
        </w:tblPrEx>
        <w:trPr>
          <w:cantSplit/>
          <w:trHeight w:val="523" w:hRule="atLeast"/>
        </w:trPr>
        <w:tc>
          <w:tcPr>
            <w:tcW w:w="717" w:type="dxa"/>
            <w:vMerge w:val="continue"/>
            <w:tcBorders>
              <w:top w:val="nil"/>
              <w:left w:val="single" w:color="auto" w:sz="4" w:space="0"/>
              <w:bottom w:val="single" w:color="auto" w:sz="4" w:space="0"/>
              <w:right w:val="single" w:color="auto" w:sz="4" w:space="0"/>
            </w:tcBorders>
            <w:vAlign w:val="center"/>
          </w:tcPr>
          <w:p>
            <w:pPr>
              <w:rPr>
                <w:rFonts w:ascii="方正仿宋_GBK" w:hAnsi="Calibri" w:eastAsia="方正仿宋_GBK"/>
                <w:color w:val="000000"/>
                <w:sz w:val="18"/>
                <w:szCs w:val="18"/>
              </w:rPr>
            </w:pPr>
          </w:p>
        </w:tc>
        <w:tc>
          <w:tcPr>
            <w:tcW w:w="864" w:type="dxa"/>
            <w:tcBorders>
              <w:top w:val="nil"/>
              <w:left w:val="nil"/>
              <w:bottom w:val="single" w:color="auto" w:sz="4" w:space="0"/>
              <w:right w:val="nil"/>
            </w:tcBorders>
            <w:shd w:val="clear" w:color="auto" w:fill="auto"/>
            <w:vAlign w:val="center"/>
          </w:tcPr>
          <w:p>
            <w:pPr>
              <w:autoSpaceDN w:val="0"/>
              <w:jc w:val="center"/>
              <w:rPr>
                <w:rFonts w:ascii="方正仿宋_GBK" w:eastAsia="方正仿宋_GBK"/>
                <w:color w:val="000000"/>
                <w:sz w:val="18"/>
                <w:szCs w:val="18"/>
              </w:rPr>
            </w:pPr>
            <w:r>
              <w:rPr>
                <w:rFonts w:hint="eastAsia" w:ascii="方正仿宋_GBK" w:eastAsia="方正仿宋_GBK"/>
                <w:color w:val="000000"/>
                <w:sz w:val="18"/>
                <w:szCs w:val="18"/>
              </w:rPr>
              <w:t>完成时间</w:t>
            </w:r>
          </w:p>
        </w:tc>
        <w:tc>
          <w:tcPr>
            <w:tcW w:w="486" w:type="dxa"/>
            <w:tcBorders>
              <w:top w:val="nil"/>
              <w:left w:val="single" w:color="auto" w:sz="4" w:space="0"/>
              <w:bottom w:val="single" w:color="auto" w:sz="4" w:space="0"/>
              <w:right w:val="nil"/>
            </w:tcBorders>
            <w:shd w:val="clear" w:color="auto" w:fill="auto"/>
            <w:vAlign w:val="center"/>
          </w:tcPr>
          <w:p>
            <w:pPr>
              <w:autoSpaceDN w:val="0"/>
              <w:jc w:val="center"/>
              <w:rPr>
                <w:rFonts w:ascii="方正仿宋_GBK" w:eastAsia="方正仿宋_GBK"/>
                <w:color w:val="000000"/>
                <w:sz w:val="18"/>
                <w:szCs w:val="18"/>
              </w:rPr>
            </w:pPr>
            <w:r>
              <w:rPr>
                <w:rFonts w:hint="eastAsia" w:ascii="方正仿宋_GBK" w:eastAsia="方正仿宋_GBK"/>
                <w:color w:val="000000"/>
                <w:sz w:val="18"/>
                <w:szCs w:val="18"/>
              </w:rPr>
              <w:t>月　</w:t>
            </w:r>
          </w:p>
        </w:tc>
        <w:tc>
          <w:tcPr>
            <w:tcW w:w="517" w:type="dxa"/>
            <w:tcBorders>
              <w:top w:val="nil"/>
              <w:left w:val="single" w:color="auto" w:sz="4" w:space="0"/>
              <w:bottom w:val="single" w:color="auto" w:sz="4" w:space="0"/>
              <w:right w:val="nil"/>
            </w:tcBorders>
            <w:shd w:val="clear" w:color="auto" w:fill="auto"/>
            <w:vAlign w:val="center"/>
          </w:tcPr>
          <w:p>
            <w:pPr>
              <w:autoSpaceDN w:val="0"/>
              <w:jc w:val="center"/>
              <w:rPr>
                <w:rFonts w:ascii="方正仿宋_GBK" w:eastAsia="方正仿宋_GBK"/>
                <w:color w:val="000000"/>
                <w:sz w:val="18"/>
                <w:szCs w:val="18"/>
              </w:rPr>
            </w:pPr>
            <w:r>
              <w:rPr>
                <w:rFonts w:hint="eastAsia" w:ascii="方正仿宋_GBK" w:eastAsia="方正仿宋_GBK"/>
                <w:color w:val="000000"/>
                <w:sz w:val="18"/>
                <w:szCs w:val="18"/>
              </w:rPr>
              <w:t>≤　</w:t>
            </w:r>
          </w:p>
        </w:tc>
        <w:tc>
          <w:tcPr>
            <w:tcW w:w="975" w:type="dxa"/>
            <w:tcBorders>
              <w:top w:val="nil"/>
              <w:left w:val="single" w:color="auto" w:sz="4" w:space="0"/>
              <w:bottom w:val="single" w:color="auto" w:sz="4" w:space="0"/>
              <w:right w:val="nil"/>
            </w:tcBorders>
            <w:shd w:val="clear" w:color="auto" w:fill="auto"/>
            <w:vAlign w:val="center"/>
          </w:tcPr>
          <w:p>
            <w:pPr>
              <w:autoSpaceDN w:val="0"/>
              <w:jc w:val="center"/>
              <w:rPr>
                <w:rFonts w:ascii="方正仿宋_GBK" w:eastAsia="方正仿宋_GBK"/>
                <w:color w:val="000000"/>
                <w:sz w:val="18"/>
                <w:szCs w:val="18"/>
              </w:rPr>
            </w:pPr>
            <w:r>
              <w:rPr>
                <w:rFonts w:hint="eastAsia" w:ascii="方正仿宋_GBK" w:eastAsia="方正仿宋_GBK"/>
                <w:color w:val="000000"/>
                <w:sz w:val="18"/>
                <w:szCs w:val="18"/>
              </w:rPr>
              <w:t>6月底前完成　</w:t>
            </w:r>
          </w:p>
        </w:tc>
        <w:tc>
          <w:tcPr>
            <w:tcW w:w="975" w:type="dxa"/>
            <w:tcBorders>
              <w:top w:val="nil"/>
              <w:left w:val="single" w:color="auto" w:sz="4" w:space="0"/>
              <w:bottom w:val="single" w:color="auto" w:sz="4" w:space="0"/>
              <w:right w:val="nil"/>
            </w:tcBorders>
            <w:shd w:val="clear" w:color="auto" w:fill="auto"/>
            <w:vAlign w:val="center"/>
          </w:tcPr>
          <w:p>
            <w:pPr>
              <w:autoSpaceDN w:val="0"/>
              <w:jc w:val="center"/>
              <w:rPr>
                <w:rFonts w:ascii="方正仿宋_GBK" w:eastAsia="方正仿宋_GBK"/>
                <w:color w:val="000000"/>
                <w:sz w:val="18"/>
                <w:szCs w:val="18"/>
              </w:rPr>
            </w:pPr>
            <w:r>
              <w:rPr>
                <w:rFonts w:hint="eastAsia" w:ascii="方正仿宋_GBK" w:eastAsia="方正仿宋_GBK"/>
                <w:color w:val="000000"/>
                <w:sz w:val="18"/>
                <w:szCs w:val="18"/>
              </w:rPr>
              <w:t>6月底前完成　</w:t>
            </w:r>
          </w:p>
        </w:tc>
        <w:tc>
          <w:tcPr>
            <w:tcW w:w="944" w:type="dxa"/>
            <w:tcBorders>
              <w:top w:val="nil"/>
              <w:left w:val="single" w:color="auto" w:sz="4" w:space="0"/>
              <w:bottom w:val="single" w:color="auto" w:sz="4" w:space="0"/>
              <w:right w:val="nil"/>
            </w:tcBorders>
            <w:shd w:val="clear" w:color="auto" w:fill="auto"/>
            <w:vAlign w:val="center"/>
          </w:tcPr>
          <w:p>
            <w:pPr>
              <w:autoSpaceDN w:val="0"/>
              <w:jc w:val="center"/>
              <w:rPr>
                <w:rFonts w:ascii="方正仿宋_GBK" w:eastAsia="方正仿宋_GBK"/>
                <w:color w:val="000000"/>
                <w:sz w:val="18"/>
                <w:szCs w:val="18"/>
              </w:rPr>
            </w:pPr>
            <w:r>
              <w:rPr>
                <w:rFonts w:hint="eastAsia" w:ascii="方正仿宋_GBK" w:eastAsia="方正仿宋_GBK"/>
                <w:color w:val="000000"/>
                <w:sz w:val="18"/>
                <w:szCs w:val="18"/>
              </w:rPr>
              <w:t>已完成　</w:t>
            </w:r>
          </w:p>
        </w:tc>
        <w:tc>
          <w:tcPr>
            <w:tcW w:w="707" w:type="dxa"/>
            <w:tcBorders>
              <w:top w:val="nil"/>
              <w:left w:val="single" w:color="auto" w:sz="4" w:space="0"/>
              <w:bottom w:val="single" w:color="auto" w:sz="4" w:space="0"/>
              <w:right w:val="nil"/>
            </w:tcBorders>
            <w:shd w:val="clear" w:color="auto" w:fill="auto"/>
            <w:vAlign w:val="center"/>
          </w:tcPr>
          <w:p>
            <w:pPr>
              <w:autoSpaceDN w:val="0"/>
              <w:jc w:val="center"/>
              <w:rPr>
                <w:rFonts w:ascii="方正仿宋_GBK" w:eastAsia="方正仿宋_GBK"/>
                <w:color w:val="000000"/>
                <w:sz w:val="18"/>
                <w:szCs w:val="18"/>
              </w:rPr>
            </w:pPr>
            <w:r>
              <w:rPr>
                <w:rFonts w:hint="eastAsia" w:ascii="方正仿宋_GBK" w:eastAsia="方正仿宋_GBK"/>
                <w:color w:val="000000"/>
                <w:sz w:val="18"/>
                <w:szCs w:val="18"/>
              </w:rPr>
              <w:t>100%　</w:t>
            </w:r>
          </w:p>
        </w:tc>
        <w:tc>
          <w:tcPr>
            <w:tcW w:w="779" w:type="dxa"/>
            <w:tcBorders>
              <w:top w:val="nil"/>
              <w:left w:val="single" w:color="auto" w:sz="4" w:space="0"/>
              <w:bottom w:val="single" w:color="auto" w:sz="4" w:space="0"/>
              <w:right w:val="nil"/>
            </w:tcBorders>
            <w:shd w:val="clear" w:color="auto" w:fill="auto"/>
            <w:vAlign w:val="center"/>
          </w:tcPr>
          <w:p>
            <w:pPr>
              <w:autoSpaceDN w:val="0"/>
              <w:jc w:val="center"/>
              <w:rPr>
                <w:rFonts w:ascii="方正仿宋_GBK" w:eastAsia="方正仿宋_GBK"/>
                <w:color w:val="000000"/>
                <w:sz w:val="18"/>
                <w:szCs w:val="18"/>
              </w:rPr>
            </w:pPr>
            <w:r>
              <w:rPr>
                <w:rFonts w:hint="eastAsia" w:ascii="方正仿宋_GBK" w:eastAsia="方正仿宋_GBK"/>
                <w:color w:val="000000"/>
                <w:sz w:val="18"/>
                <w:szCs w:val="18"/>
              </w:rPr>
              <w:t>13.4　</w:t>
            </w:r>
          </w:p>
        </w:tc>
        <w:tc>
          <w:tcPr>
            <w:tcW w:w="779" w:type="dxa"/>
            <w:tcBorders>
              <w:top w:val="nil"/>
              <w:left w:val="single" w:color="auto" w:sz="4" w:space="0"/>
              <w:bottom w:val="single" w:color="auto" w:sz="4" w:space="0"/>
              <w:right w:val="nil"/>
            </w:tcBorders>
            <w:shd w:val="clear" w:color="auto" w:fill="auto"/>
            <w:vAlign w:val="center"/>
          </w:tcPr>
          <w:p>
            <w:pPr>
              <w:autoSpaceDN w:val="0"/>
              <w:jc w:val="center"/>
              <w:rPr>
                <w:rFonts w:ascii="方正仿宋_GBK" w:eastAsia="方正仿宋_GBK"/>
                <w:color w:val="000000"/>
                <w:sz w:val="18"/>
                <w:szCs w:val="18"/>
              </w:rPr>
            </w:pPr>
            <w:r>
              <w:rPr>
                <w:rFonts w:hint="eastAsia" w:ascii="方正仿宋_GBK" w:eastAsia="方正仿宋_GBK"/>
                <w:color w:val="000000"/>
                <w:sz w:val="18"/>
                <w:szCs w:val="18"/>
              </w:rPr>
              <w:t>13.4　</w:t>
            </w:r>
          </w:p>
        </w:tc>
        <w:tc>
          <w:tcPr>
            <w:tcW w:w="688" w:type="dxa"/>
            <w:tcBorders>
              <w:top w:val="nil"/>
              <w:left w:val="single" w:color="auto" w:sz="4" w:space="0"/>
              <w:bottom w:val="single" w:color="auto" w:sz="4" w:space="0"/>
              <w:right w:val="single" w:color="auto" w:sz="4" w:space="0"/>
            </w:tcBorders>
            <w:shd w:val="clear" w:color="auto" w:fill="auto"/>
            <w:vAlign w:val="center"/>
          </w:tcPr>
          <w:p>
            <w:pPr>
              <w:autoSpaceDN w:val="0"/>
              <w:jc w:val="center"/>
              <w:rPr>
                <w:rFonts w:ascii="方正仿宋_GBK" w:eastAsia="方正仿宋_GBK"/>
                <w:color w:val="000000"/>
                <w:sz w:val="18"/>
                <w:szCs w:val="18"/>
              </w:rPr>
            </w:pPr>
            <w:r>
              <w:rPr>
                <w:rFonts w:hint="eastAsia" w:ascii="方正仿宋_GBK" w:eastAsia="方正仿宋_GBK"/>
                <w:color w:val="000000"/>
                <w:sz w:val="18"/>
                <w:szCs w:val="18"/>
              </w:rPr>
              <w:t>是　</w:t>
            </w:r>
          </w:p>
        </w:tc>
      </w:tr>
      <w:tr>
        <w:tblPrEx>
          <w:tblCellMar>
            <w:top w:w="0" w:type="dxa"/>
            <w:left w:w="108" w:type="dxa"/>
            <w:bottom w:w="0" w:type="dxa"/>
            <w:right w:w="108" w:type="dxa"/>
          </w:tblCellMar>
        </w:tblPrEx>
        <w:trPr>
          <w:cantSplit/>
          <w:trHeight w:val="1455" w:hRule="atLeast"/>
        </w:trPr>
        <w:tc>
          <w:tcPr>
            <w:tcW w:w="717" w:type="dxa"/>
            <w:vMerge w:val="continue"/>
            <w:tcBorders>
              <w:top w:val="nil"/>
              <w:left w:val="single" w:color="auto" w:sz="4" w:space="0"/>
              <w:bottom w:val="single" w:color="auto" w:sz="4" w:space="0"/>
              <w:right w:val="single" w:color="auto" w:sz="4" w:space="0"/>
            </w:tcBorders>
            <w:vAlign w:val="center"/>
          </w:tcPr>
          <w:p>
            <w:pPr>
              <w:rPr>
                <w:rFonts w:ascii="方正仿宋_GBK" w:hAnsi="Calibri" w:eastAsia="方正仿宋_GBK"/>
                <w:color w:val="000000"/>
                <w:sz w:val="18"/>
                <w:szCs w:val="18"/>
              </w:rPr>
            </w:pPr>
          </w:p>
        </w:tc>
        <w:tc>
          <w:tcPr>
            <w:tcW w:w="864" w:type="dxa"/>
            <w:tcBorders>
              <w:top w:val="nil"/>
              <w:left w:val="nil"/>
              <w:bottom w:val="single" w:color="auto" w:sz="4" w:space="0"/>
              <w:right w:val="nil"/>
            </w:tcBorders>
            <w:shd w:val="clear" w:color="auto" w:fill="auto"/>
            <w:vAlign w:val="center"/>
          </w:tcPr>
          <w:p>
            <w:pPr>
              <w:autoSpaceDN w:val="0"/>
              <w:jc w:val="center"/>
              <w:rPr>
                <w:rFonts w:ascii="方正仿宋_GBK" w:eastAsia="方正仿宋_GBK"/>
                <w:color w:val="000000"/>
                <w:sz w:val="18"/>
                <w:szCs w:val="18"/>
              </w:rPr>
            </w:pPr>
            <w:r>
              <w:rPr>
                <w:rFonts w:hint="eastAsia" w:ascii="方正仿宋_GBK" w:eastAsia="方正仿宋_GBK"/>
                <w:color w:val="000000"/>
                <w:sz w:val="18"/>
                <w:szCs w:val="18"/>
              </w:rPr>
              <w:t>社会稳定</w:t>
            </w:r>
          </w:p>
        </w:tc>
        <w:tc>
          <w:tcPr>
            <w:tcW w:w="486" w:type="dxa"/>
            <w:tcBorders>
              <w:top w:val="nil"/>
              <w:left w:val="single" w:color="auto" w:sz="4" w:space="0"/>
              <w:bottom w:val="single" w:color="auto" w:sz="4" w:space="0"/>
              <w:right w:val="nil"/>
            </w:tcBorders>
            <w:shd w:val="clear" w:color="auto" w:fill="auto"/>
            <w:vAlign w:val="center"/>
          </w:tcPr>
          <w:p>
            <w:pPr>
              <w:autoSpaceDN w:val="0"/>
              <w:jc w:val="center"/>
              <w:rPr>
                <w:rFonts w:ascii="方正仿宋_GBK" w:eastAsia="方正仿宋_GBK"/>
                <w:color w:val="000000"/>
                <w:sz w:val="18"/>
                <w:szCs w:val="18"/>
              </w:rPr>
            </w:pPr>
            <w:r>
              <w:rPr>
                <w:rFonts w:hint="eastAsia" w:ascii="方正仿宋_GBK" w:eastAsia="方正仿宋_GBK"/>
                <w:color w:val="000000"/>
                <w:sz w:val="18"/>
                <w:szCs w:val="18"/>
              </w:rPr>
              <w:t>定性</w:t>
            </w:r>
          </w:p>
        </w:tc>
        <w:tc>
          <w:tcPr>
            <w:tcW w:w="517" w:type="dxa"/>
            <w:tcBorders>
              <w:top w:val="nil"/>
              <w:left w:val="single" w:color="auto" w:sz="4" w:space="0"/>
              <w:bottom w:val="single" w:color="auto" w:sz="4" w:space="0"/>
              <w:right w:val="nil"/>
            </w:tcBorders>
            <w:shd w:val="clear" w:color="auto" w:fill="auto"/>
            <w:vAlign w:val="center"/>
          </w:tcPr>
          <w:p>
            <w:pPr>
              <w:autoSpaceDN w:val="0"/>
              <w:jc w:val="center"/>
              <w:rPr>
                <w:rFonts w:ascii="方正仿宋_GBK" w:eastAsia="方正仿宋_GBK"/>
                <w:color w:val="000000"/>
                <w:sz w:val="18"/>
                <w:szCs w:val="18"/>
              </w:rPr>
            </w:pPr>
          </w:p>
        </w:tc>
        <w:tc>
          <w:tcPr>
            <w:tcW w:w="975" w:type="dxa"/>
            <w:tcBorders>
              <w:top w:val="nil"/>
              <w:left w:val="single" w:color="auto" w:sz="4" w:space="0"/>
              <w:bottom w:val="single" w:color="auto" w:sz="4" w:space="0"/>
              <w:right w:val="nil"/>
            </w:tcBorders>
            <w:shd w:val="clear" w:color="auto" w:fill="auto"/>
            <w:vAlign w:val="center"/>
          </w:tcPr>
          <w:p>
            <w:pPr>
              <w:autoSpaceDN w:val="0"/>
              <w:jc w:val="center"/>
              <w:rPr>
                <w:rFonts w:ascii="方正仿宋_GBK" w:eastAsia="方正仿宋_GBK"/>
                <w:color w:val="000000"/>
                <w:sz w:val="18"/>
                <w:szCs w:val="18"/>
              </w:rPr>
            </w:pPr>
            <w:r>
              <w:rPr>
                <w:rFonts w:hint="eastAsia" w:ascii="方正仿宋_GBK" w:eastAsia="方正仿宋_GBK"/>
                <w:color w:val="000000"/>
                <w:sz w:val="18"/>
                <w:szCs w:val="18"/>
              </w:rPr>
              <w:t>预防社会不稳定，为区域发展提供条件。</w:t>
            </w:r>
          </w:p>
        </w:tc>
        <w:tc>
          <w:tcPr>
            <w:tcW w:w="975" w:type="dxa"/>
            <w:tcBorders>
              <w:top w:val="nil"/>
              <w:left w:val="single" w:color="auto" w:sz="4" w:space="0"/>
              <w:bottom w:val="single" w:color="auto" w:sz="4" w:space="0"/>
              <w:right w:val="nil"/>
            </w:tcBorders>
            <w:shd w:val="clear" w:color="auto" w:fill="auto"/>
            <w:vAlign w:val="center"/>
          </w:tcPr>
          <w:p>
            <w:pPr>
              <w:autoSpaceDN w:val="0"/>
              <w:jc w:val="center"/>
              <w:rPr>
                <w:rFonts w:ascii="方正仿宋_GBK" w:eastAsia="方正仿宋_GBK"/>
                <w:color w:val="000000"/>
                <w:sz w:val="18"/>
                <w:szCs w:val="18"/>
              </w:rPr>
            </w:pPr>
            <w:r>
              <w:rPr>
                <w:rFonts w:hint="eastAsia" w:ascii="方正仿宋_GBK" w:eastAsia="方正仿宋_GBK"/>
                <w:color w:val="000000"/>
                <w:sz w:val="18"/>
                <w:szCs w:val="18"/>
              </w:rPr>
              <w:t>预防社会不稳定，为区域发展提供条件。</w:t>
            </w:r>
          </w:p>
        </w:tc>
        <w:tc>
          <w:tcPr>
            <w:tcW w:w="944" w:type="dxa"/>
            <w:tcBorders>
              <w:top w:val="nil"/>
              <w:left w:val="single" w:color="auto" w:sz="4" w:space="0"/>
              <w:bottom w:val="single" w:color="auto" w:sz="4" w:space="0"/>
              <w:right w:val="nil"/>
            </w:tcBorders>
            <w:shd w:val="clear" w:color="auto" w:fill="auto"/>
            <w:vAlign w:val="center"/>
          </w:tcPr>
          <w:p>
            <w:pPr>
              <w:autoSpaceDN w:val="0"/>
              <w:jc w:val="center"/>
              <w:rPr>
                <w:rFonts w:ascii="方正仿宋_GBK" w:eastAsia="方正仿宋_GBK"/>
                <w:color w:val="000000"/>
                <w:sz w:val="18"/>
                <w:szCs w:val="18"/>
              </w:rPr>
            </w:pPr>
            <w:r>
              <w:rPr>
                <w:rFonts w:hint="eastAsia" w:ascii="方正仿宋_GBK" w:eastAsia="方正仿宋_GBK"/>
                <w:color w:val="000000"/>
                <w:sz w:val="18"/>
                <w:szCs w:val="18"/>
              </w:rPr>
              <w:t>已完成</w:t>
            </w:r>
          </w:p>
        </w:tc>
        <w:tc>
          <w:tcPr>
            <w:tcW w:w="707" w:type="dxa"/>
            <w:tcBorders>
              <w:top w:val="nil"/>
              <w:left w:val="single" w:color="auto" w:sz="4" w:space="0"/>
              <w:bottom w:val="single" w:color="auto" w:sz="4" w:space="0"/>
              <w:right w:val="nil"/>
            </w:tcBorders>
            <w:shd w:val="clear" w:color="auto" w:fill="auto"/>
            <w:vAlign w:val="center"/>
          </w:tcPr>
          <w:p>
            <w:pPr>
              <w:autoSpaceDN w:val="0"/>
              <w:jc w:val="center"/>
              <w:rPr>
                <w:rFonts w:ascii="方正仿宋_GBK" w:eastAsia="方正仿宋_GBK"/>
                <w:color w:val="000000"/>
                <w:sz w:val="18"/>
                <w:szCs w:val="18"/>
              </w:rPr>
            </w:pPr>
            <w:r>
              <w:rPr>
                <w:rFonts w:hint="eastAsia" w:ascii="方正仿宋_GBK" w:eastAsia="方正仿宋_GBK"/>
                <w:color w:val="000000"/>
                <w:sz w:val="18"/>
                <w:szCs w:val="18"/>
              </w:rPr>
              <w:t>100%</w:t>
            </w:r>
          </w:p>
        </w:tc>
        <w:tc>
          <w:tcPr>
            <w:tcW w:w="779" w:type="dxa"/>
            <w:tcBorders>
              <w:top w:val="nil"/>
              <w:left w:val="single" w:color="auto" w:sz="4" w:space="0"/>
              <w:bottom w:val="single" w:color="auto" w:sz="4" w:space="0"/>
              <w:right w:val="nil"/>
            </w:tcBorders>
            <w:shd w:val="clear" w:color="auto" w:fill="auto"/>
            <w:vAlign w:val="center"/>
          </w:tcPr>
          <w:p>
            <w:pPr>
              <w:autoSpaceDN w:val="0"/>
              <w:jc w:val="center"/>
              <w:rPr>
                <w:rFonts w:ascii="方正仿宋_GBK" w:eastAsia="方正仿宋_GBK"/>
                <w:color w:val="000000"/>
                <w:sz w:val="18"/>
                <w:szCs w:val="18"/>
              </w:rPr>
            </w:pPr>
            <w:r>
              <w:rPr>
                <w:rFonts w:hint="eastAsia" w:ascii="方正仿宋_GBK" w:eastAsia="方正仿宋_GBK"/>
                <w:color w:val="000000"/>
                <w:sz w:val="18"/>
                <w:szCs w:val="18"/>
              </w:rPr>
              <w:t>15</w:t>
            </w:r>
          </w:p>
        </w:tc>
        <w:tc>
          <w:tcPr>
            <w:tcW w:w="779" w:type="dxa"/>
            <w:tcBorders>
              <w:top w:val="nil"/>
              <w:left w:val="single" w:color="auto" w:sz="4" w:space="0"/>
              <w:bottom w:val="single" w:color="auto" w:sz="4" w:space="0"/>
              <w:right w:val="nil"/>
            </w:tcBorders>
            <w:shd w:val="clear" w:color="auto" w:fill="auto"/>
            <w:vAlign w:val="center"/>
          </w:tcPr>
          <w:p>
            <w:pPr>
              <w:autoSpaceDN w:val="0"/>
              <w:jc w:val="center"/>
              <w:rPr>
                <w:rFonts w:ascii="方正仿宋_GBK" w:eastAsia="方正仿宋_GBK"/>
                <w:color w:val="000000"/>
                <w:sz w:val="18"/>
                <w:szCs w:val="18"/>
              </w:rPr>
            </w:pPr>
            <w:r>
              <w:rPr>
                <w:rFonts w:hint="eastAsia" w:ascii="方正仿宋_GBK" w:eastAsia="方正仿宋_GBK"/>
                <w:color w:val="000000"/>
                <w:sz w:val="18"/>
                <w:szCs w:val="18"/>
              </w:rPr>
              <w:t>12</w:t>
            </w:r>
          </w:p>
        </w:tc>
        <w:tc>
          <w:tcPr>
            <w:tcW w:w="688" w:type="dxa"/>
            <w:tcBorders>
              <w:top w:val="nil"/>
              <w:left w:val="single" w:color="auto" w:sz="4" w:space="0"/>
              <w:bottom w:val="single" w:color="auto" w:sz="4" w:space="0"/>
              <w:right w:val="single" w:color="auto" w:sz="4" w:space="0"/>
            </w:tcBorders>
            <w:shd w:val="clear" w:color="auto" w:fill="auto"/>
            <w:vAlign w:val="center"/>
          </w:tcPr>
          <w:p>
            <w:pPr>
              <w:autoSpaceDN w:val="0"/>
              <w:jc w:val="center"/>
              <w:rPr>
                <w:rFonts w:ascii="方正仿宋_GBK" w:eastAsia="方正仿宋_GBK"/>
                <w:color w:val="000000"/>
                <w:sz w:val="18"/>
                <w:szCs w:val="18"/>
              </w:rPr>
            </w:pPr>
            <w:r>
              <w:rPr>
                <w:rFonts w:hint="eastAsia" w:ascii="方正仿宋_GBK" w:eastAsia="方正仿宋_GBK"/>
                <w:color w:val="000000"/>
                <w:sz w:val="18"/>
                <w:szCs w:val="18"/>
              </w:rPr>
              <w:t>是</w:t>
            </w:r>
          </w:p>
        </w:tc>
      </w:tr>
      <w:tr>
        <w:tblPrEx>
          <w:tblCellMar>
            <w:top w:w="0" w:type="dxa"/>
            <w:left w:w="108" w:type="dxa"/>
            <w:bottom w:w="0" w:type="dxa"/>
            <w:right w:w="108" w:type="dxa"/>
          </w:tblCellMar>
        </w:tblPrEx>
        <w:trPr>
          <w:cantSplit/>
          <w:trHeight w:val="932" w:hRule="atLeast"/>
        </w:trPr>
        <w:tc>
          <w:tcPr>
            <w:tcW w:w="717" w:type="dxa"/>
            <w:vMerge w:val="continue"/>
            <w:tcBorders>
              <w:top w:val="nil"/>
              <w:left w:val="single" w:color="auto" w:sz="4" w:space="0"/>
              <w:bottom w:val="single" w:color="auto" w:sz="4" w:space="0"/>
              <w:right w:val="single" w:color="auto" w:sz="4" w:space="0"/>
            </w:tcBorders>
            <w:vAlign w:val="center"/>
          </w:tcPr>
          <w:p>
            <w:pPr>
              <w:rPr>
                <w:rFonts w:ascii="方正仿宋_GBK" w:hAnsi="Calibri" w:eastAsia="方正仿宋_GBK"/>
                <w:color w:val="000000"/>
                <w:sz w:val="18"/>
                <w:szCs w:val="18"/>
              </w:rPr>
            </w:pPr>
          </w:p>
        </w:tc>
        <w:tc>
          <w:tcPr>
            <w:tcW w:w="864" w:type="dxa"/>
            <w:tcBorders>
              <w:top w:val="nil"/>
              <w:left w:val="nil"/>
              <w:bottom w:val="single" w:color="auto" w:sz="4" w:space="0"/>
              <w:right w:val="nil"/>
            </w:tcBorders>
            <w:shd w:val="clear" w:color="auto" w:fill="auto"/>
            <w:vAlign w:val="center"/>
          </w:tcPr>
          <w:p>
            <w:pPr>
              <w:autoSpaceDN w:val="0"/>
              <w:jc w:val="center"/>
              <w:rPr>
                <w:rFonts w:ascii="方正仿宋_GBK" w:eastAsia="方正仿宋_GBK"/>
                <w:color w:val="000000"/>
                <w:sz w:val="18"/>
                <w:szCs w:val="18"/>
              </w:rPr>
            </w:pPr>
            <w:r>
              <w:rPr>
                <w:rFonts w:hint="eastAsia" w:ascii="方正仿宋_GBK" w:eastAsia="方正仿宋_GBK"/>
                <w:color w:val="000000"/>
                <w:sz w:val="18"/>
                <w:szCs w:val="18"/>
              </w:rPr>
              <w:t>生态环境改善</w:t>
            </w:r>
          </w:p>
        </w:tc>
        <w:tc>
          <w:tcPr>
            <w:tcW w:w="486" w:type="dxa"/>
            <w:tcBorders>
              <w:top w:val="nil"/>
              <w:left w:val="single" w:color="auto" w:sz="4" w:space="0"/>
              <w:bottom w:val="single" w:color="auto" w:sz="4" w:space="0"/>
              <w:right w:val="nil"/>
            </w:tcBorders>
            <w:shd w:val="clear" w:color="auto" w:fill="auto"/>
            <w:vAlign w:val="center"/>
          </w:tcPr>
          <w:p>
            <w:pPr>
              <w:autoSpaceDN w:val="0"/>
              <w:jc w:val="center"/>
              <w:rPr>
                <w:rFonts w:ascii="方正仿宋_GBK" w:eastAsia="方正仿宋_GBK"/>
                <w:color w:val="000000"/>
                <w:sz w:val="18"/>
                <w:szCs w:val="18"/>
              </w:rPr>
            </w:pPr>
            <w:r>
              <w:rPr>
                <w:rFonts w:hint="eastAsia" w:ascii="方正仿宋_GBK" w:eastAsia="方正仿宋_GBK"/>
                <w:color w:val="000000"/>
                <w:sz w:val="18"/>
                <w:szCs w:val="18"/>
              </w:rPr>
              <w:t>定性　</w:t>
            </w:r>
          </w:p>
        </w:tc>
        <w:tc>
          <w:tcPr>
            <w:tcW w:w="517" w:type="dxa"/>
            <w:tcBorders>
              <w:top w:val="nil"/>
              <w:left w:val="single" w:color="auto" w:sz="4" w:space="0"/>
              <w:bottom w:val="single" w:color="auto" w:sz="4" w:space="0"/>
              <w:right w:val="nil"/>
            </w:tcBorders>
            <w:shd w:val="clear" w:color="auto" w:fill="auto"/>
            <w:vAlign w:val="center"/>
          </w:tcPr>
          <w:p>
            <w:pPr>
              <w:autoSpaceDN w:val="0"/>
              <w:jc w:val="center"/>
              <w:rPr>
                <w:rFonts w:ascii="方正仿宋_GBK" w:eastAsia="方正仿宋_GBK"/>
                <w:color w:val="000000"/>
                <w:sz w:val="18"/>
                <w:szCs w:val="18"/>
              </w:rPr>
            </w:pPr>
            <w:r>
              <w:rPr>
                <w:rFonts w:hint="eastAsia" w:ascii="方正仿宋_GBK" w:eastAsia="方正仿宋_GBK"/>
                <w:color w:val="000000"/>
                <w:sz w:val="18"/>
                <w:szCs w:val="18"/>
              </w:rPr>
              <w:t>　</w:t>
            </w:r>
          </w:p>
        </w:tc>
        <w:tc>
          <w:tcPr>
            <w:tcW w:w="975" w:type="dxa"/>
            <w:tcBorders>
              <w:top w:val="nil"/>
              <w:left w:val="single" w:color="auto" w:sz="4" w:space="0"/>
              <w:bottom w:val="single" w:color="auto" w:sz="4" w:space="0"/>
              <w:right w:val="nil"/>
            </w:tcBorders>
            <w:shd w:val="clear" w:color="auto" w:fill="auto"/>
            <w:vAlign w:val="center"/>
          </w:tcPr>
          <w:p>
            <w:pPr>
              <w:autoSpaceDN w:val="0"/>
              <w:jc w:val="center"/>
              <w:rPr>
                <w:rFonts w:ascii="方正仿宋_GBK" w:eastAsia="方正仿宋_GBK"/>
                <w:color w:val="000000"/>
                <w:sz w:val="18"/>
                <w:szCs w:val="18"/>
              </w:rPr>
            </w:pPr>
            <w:r>
              <w:rPr>
                <w:rFonts w:hint="eastAsia" w:ascii="方正仿宋_GBK" w:eastAsia="方正仿宋_GBK"/>
                <w:color w:val="000000"/>
                <w:sz w:val="18"/>
                <w:szCs w:val="18"/>
              </w:rPr>
              <w:t>当地生态环境得到有效改善</w:t>
            </w:r>
          </w:p>
        </w:tc>
        <w:tc>
          <w:tcPr>
            <w:tcW w:w="975" w:type="dxa"/>
            <w:tcBorders>
              <w:top w:val="nil"/>
              <w:left w:val="single" w:color="auto" w:sz="4" w:space="0"/>
              <w:bottom w:val="single" w:color="auto" w:sz="4" w:space="0"/>
              <w:right w:val="nil"/>
            </w:tcBorders>
            <w:shd w:val="clear" w:color="auto" w:fill="auto"/>
            <w:vAlign w:val="center"/>
          </w:tcPr>
          <w:p>
            <w:pPr>
              <w:autoSpaceDN w:val="0"/>
              <w:jc w:val="center"/>
              <w:rPr>
                <w:rFonts w:ascii="方正仿宋_GBK" w:eastAsia="方正仿宋_GBK"/>
                <w:color w:val="000000"/>
                <w:sz w:val="18"/>
                <w:szCs w:val="18"/>
              </w:rPr>
            </w:pPr>
            <w:r>
              <w:rPr>
                <w:rFonts w:hint="eastAsia" w:ascii="方正仿宋_GBK" w:eastAsia="方正仿宋_GBK"/>
                <w:color w:val="000000"/>
                <w:sz w:val="18"/>
                <w:szCs w:val="18"/>
              </w:rPr>
              <w:t>当地生态环境得到有效改善　</w:t>
            </w:r>
          </w:p>
        </w:tc>
        <w:tc>
          <w:tcPr>
            <w:tcW w:w="944" w:type="dxa"/>
            <w:tcBorders>
              <w:top w:val="nil"/>
              <w:left w:val="single" w:color="auto" w:sz="4" w:space="0"/>
              <w:bottom w:val="single" w:color="auto" w:sz="4" w:space="0"/>
              <w:right w:val="nil"/>
            </w:tcBorders>
            <w:shd w:val="clear" w:color="auto" w:fill="auto"/>
            <w:vAlign w:val="center"/>
          </w:tcPr>
          <w:p>
            <w:pPr>
              <w:autoSpaceDN w:val="0"/>
              <w:jc w:val="center"/>
              <w:rPr>
                <w:rFonts w:ascii="方正仿宋_GBK" w:eastAsia="方正仿宋_GBK"/>
                <w:color w:val="000000"/>
                <w:sz w:val="18"/>
                <w:szCs w:val="18"/>
              </w:rPr>
            </w:pPr>
            <w:r>
              <w:rPr>
                <w:rFonts w:hint="eastAsia" w:ascii="方正仿宋_GBK" w:eastAsia="方正仿宋_GBK"/>
                <w:color w:val="000000"/>
                <w:sz w:val="18"/>
                <w:szCs w:val="18"/>
              </w:rPr>
              <w:t>已有效改善当地生态环境　</w:t>
            </w:r>
          </w:p>
        </w:tc>
        <w:tc>
          <w:tcPr>
            <w:tcW w:w="707" w:type="dxa"/>
            <w:tcBorders>
              <w:top w:val="nil"/>
              <w:left w:val="single" w:color="auto" w:sz="4" w:space="0"/>
              <w:bottom w:val="single" w:color="auto" w:sz="4" w:space="0"/>
              <w:right w:val="nil"/>
            </w:tcBorders>
            <w:shd w:val="clear" w:color="auto" w:fill="auto"/>
            <w:vAlign w:val="center"/>
          </w:tcPr>
          <w:p>
            <w:pPr>
              <w:autoSpaceDN w:val="0"/>
              <w:jc w:val="center"/>
              <w:rPr>
                <w:rFonts w:ascii="方正仿宋_GBK" w:eastAsia="方正仿宋_GBK"/>
                <w:color w:val="000000"/>
                <w:sz w:val="18"/>
                <w:szCs w:val="18"/>
              </w:rPr>
            </w:pPr>
            <w:r>
              <w:rPr>
                <w:rFonts w:hint="eastAsia" w:ascii="方正仿宋_GBK" w:eastAsia="方正仿宋_GBK"/>
                <w:color w:val="000000"/>
                <w:sz w:val="18"/>
                <w:szCs w:val="18"/>
              </w:rPr>
              <w:t>　100%</w:t>
            </w:r>
          </w:p>
        </w:tc>
        <w:tc>
          <w:tcPr>
            <w:tcW w:w="779" w:type="dxa"/>
            <w:tcBorders>
              <w:top w:val="nil"/>
              <w:left w:val="single" w:color="auto" w:sz="4" w:space="0"/>
              <w:bottom w:val="single" w:color="auto" w:sz="4" w:space="0"/>
              <w:right w:val="nil"/>
            </w:tcBorders>
            <w:shd w:val="clear" w:color="auto" w:fill="auto"/>
            <w:vAlign w:val="center"/>
          </w:tcPr>
          <w:p>
            <w:pPr>
              <w:autoSpaceDN w:val="0"/>
              <w:jc w:val="center"/>
              <w:rPr>
                <w:rFonts w:ascii="方正仿宋_GBK" w:eastAsia="方正仿宋_GBK"/>
                <w:color w:val="000000"/>
                <w:sz w:val="18"/>
                <w:szCs w:val="18"/>
              </w:rPr>
            </w:pPr>
            <w:r>
              <w:rPr>
                <w:rFonts w:hint="eastAsia" w:ascii="方正仿宋_GBK" w:eastAsia="方正仿宋_GBK"/>
                <w:color w:val="000000"/>
                <w:sz w:val="18"/>
                <w:szCs w:val="18"/>
              </w:rPr>
              <w:t>15　</w:t>
            </w:r>
          </w:p>
        </w:tc>
        <w:tc>
          <w:tcPr>
            <w:tcW w:w="779" w:type="dxa"/>
            <w:tcBorders>
              <w:top w:val="nil"/>
              <w:left w:val="single" w:color="auto" w:sz="4" w:space="0"/>
              <w:bottom w:val="single" w:color="auto" w:sz="4" w:space="0"/>
              <w:right w:val="nil"/>
            </w:tcBorders>
            <w:shd w:val="clear" w:color="auto" w:fill="auto"/>
            <w:vAlign w:val="center"/>
          </w:tcPr>
          <w:p>
            <w:pPr>
              <w:autoSpaceDN w:val="0"/>
              <w:jc w:val="center"/>
              <w:rPr>
                <w:rFonts w:ascii="方正仿宋_GBK" w:eastAsia="方正仿宋_GBK"/>
                <w:color w:val="000000"/>
                <w:sz w:val="18"/>
                <w:szCs w:val="18"/>
              </w:rPr>
            </w:pPr>
            <w:r>
              <w:rPr>
                <w:rFonts w:hint="eastAsia" w:ascii="方正仿宋_GBK" w:eastAsia="方正仿宋_GBK"/>
                <w:color w:val="000000"/>
                <w:sz w:val="18"/>
                <w:szCs w:val="18"/>
              </w:rPr>
              <w:t>12　</w:t>
            </w:r>
          </w:p>
        </w:tc>
        <w:tc>
          <w:tcPr>
            <w:tcW w:w="688" w:type="dxa"/>
            <w:tcBorders>
              <w:top w:val="nil"/>
              <w:left w:val="single" w:color="auto" w:sz="4" w:space="0"/>
              <w:bottom w:val="single" w:color="auto" w:sz="4" w:space="0"/>
              <w:right w:val="single" w:color="auto" w:sz="4" w:space="0"/>
            </w:tcBorders>
            <w:shd w:val="clear" w:color="auto" w:fill="auto"/>
            <w:vAlign w:val="center"/>
          </w:tcPr>
          <w:p>
            <w:pPr>
              <w:autoSpaceDN w:val="0"/>
              <w:jc w:val="center"/>
              <w:rPr>
                <w:rFonts w:ascii="方正仿宋_GBK" w:eastAsia="方正仿宋_GBK"/>
                <w:color w:val="000000"/>
                <w:sz w:val="18"/>
                <w:szCs w:val="18"/>
              </w:rPr>
            </w:pPr>
            <w:r>
              <w:rPr>
                <w:rFonts w:hint="eastAsia" w:ascii="方正仿宋_GBK" w:eastAsia="方正仿宋_GBK"/>
                <w:color w:val="000000"/>
                <w:sz w:val="18"/>
                <w:szCs w:val="18"/>
              </w:rPr>
              <w:t>是　</w:t>
            </w:r>
          </w:p>
        </w:tc>
      </w:tr>
      <w:tr>
        <w:tblPrEx>
          <w:tblCellMar>
            <w:top w:w="0" w:type="dxa"/>
            <w:left w:w="108" w:type="dxa"/>
            <w:bottom w:w="0" w:type="dxa"/>
            <w:right w:w="108" w:type="dxa"/>
          </w:tblCellMar>
        </w:tblPrEx>
        <w:trPr>
          <w:cantSplit/>
          <w:trHeight w:val="523" w:hRule="atLeast"/>
        </w:trPr>
        <w:tc>
          <w:tcPr>
            <w:tcW w:w="717" w:type="dxa"/>
            <w:vMerge w:val="continue"/>
            <w:tcBorders>
              <w:top w:val="nil"/>
              <w:left w:val="single" w:color="auto" w:sz="4" w:space="0"/>
              <w:bottom w:val="single" w:color="auto" w:sz="4" w:space="0"/>
              <w:right w:val="single" w:color="auto" w:sz="4" w:space="0"/>
            </w:tcBorders>
            <w:vAlign w:val="center"/>
          </w:tcPr>
          <w:p>
            <w:pPr>
              <w:rPr>
                <w:rFonts w:ascii="方正仿宋_GBK" w:hAnsi="Calibri" w:eastAsia="方正仿宋_GBK"/>
                <w:color w:val="000000"/>
                <w:sz w:val="18"/>
                <w:szCs w:val="18"/>
              </w:rPr>
            </w:pPr>
          </w:p>
        </w:tc>
        <w:tc>
          <w:tcPr>
            <w:tcW w:w="864" w:type="dxa"/>
            <w:tcBorders>
              <w:top w:val="nil"/>
              <w:left w:val="nil"/>
              <w:bottom w:val="single" w:color="auto" w:sz="4" w:space="0"/>
              <w:right w:val="nil"/>
            </w:tcBorders>
            <w:shd w:val="clear" w:color="auto" w:fill="auto"/>
            <w:vAlign w:val="center"/>
          </w:tcPr>
          <w:p>
            <w:pPr>
              <w:autoSpaceDN w:val="0"/>
              <w:jc w:val="center"/>
              <w:rPr>
                <w:rFonts w:ascii="方正仿宋_GBK" w:eastAsia="方正仿宋_GBK"/>
                <w:color w:val="000000"/>
                <w:sz w:val="18"/>
                <w:szCs w:val="18"/>
              </w:rPr>
            </w:pPr>
            <w:r>
              <w:rPr>
                <w:rFonts w:hint="eastAsia" w:ascii="方正仿宋_GBK" w:eastAsia="方正仿宋_GBK"/>
                <w:color w:val="000000"/>
                <w:sz w:val="18"/>
                <w:szCs w:val="18"/>
              </w:rPr>
              <w:t>群众满意度</w:t>
            </w:r>
          </w:p>
        </w:tc>
        <w:tc>
          <w:tcPr>
            <w:tcW w:w="486" w:type="dxa"/>
            <w:tcBorders>
              <w:top w:val="nil"/>
              <w:left w:val="single" w:color="auto" w:sz="4" w:space="0"/>
              <w:bottom w:val="single" w:color="auto" w:sz="4" w:space="0"/>
              <w:right w:val="nil"/>
            </w:tcBorders>
            <w:shd w:val="clear" w:color="auto" w:fill="auto"/>
            <w:vAlign w:val="center"/>
          </w:tcPr>
          <w:p>
            <w:pPr>
              <w:autoSpaceDN w:val="0"/>
              <w:jc w:val="center"/>
              <w:rPr>
                <w:rFonts w:ascii="方正仿宋_GBK" w:eastAsia="方正仿宋_GBK"/>
                <w:color w:val="000000"/>
                <w:sz w:val="18"/>
                <w:szCs w:val="18"/>
              </w:rPr>
            </w:pPr>
            <w:r>
              <w:rPr>
                <w:rFonts w:hint="eastAsia" w:ascii="方正仿宋_GBK" w:eastAsia="方正仿宋_GBK"/>
                <w:color w:val="000000"/>
                <w:sz w:val="18"/>
                <w:szCs w:val="18"/>
              </w:rPr>
              <w:t>%　</w:t>
            </w:r>
          </w:p>
        </w:tc>
        <w:tc>
          <w:tcPr>
            <w:tcW w:w="517" w:type="dxa"/>
            <w:tcBorders>
              <w:top w:val="nil"/>
              <w:left w:val="single" w:color="auto" w:sz="4" w:space="0"/>
              <w:bottom w:val="single" w:color="auto" w:sz="4" w:space="0"/>
              <w:right w:val="nil"/>
            </w:tcBorders>
            <w:shd w:val="clear" w:color="auto" w:fill="auto"/>
            <w:vAlign w:val="center"/>
          </w:tcPr>
          <w:p>
            <w:pPr>
              <w:autoSpaceDN w:val="0"/>
              <w:jc w:val="center"/>
              <w:rPr>
                <w:rFonts w:ascii="方正仿宋_GBK" w:eastAsia="方正仿宋_GBK"/>
                <w:color w:val="000000"/>
                <w:sz w:val="18"/>
                <w:szCs w:val="18"/>
              </w:rPr>
            </w:pPr>
            <w:r>
              <w:rPr>
                <w:rFonts w:hint="eastAsia" w:ascii="方正仿宋_GBK" w:eastAsia="方正仿宋_GBK"/>
                <w:color w:val="000000"/>
                <w:sz w:val="18"/>
                <w:szCs w:val="18"/>
              </w:rPr>
              <w:t>=　</w:t>
            </w:r>
          </w:p>
        </w:tc>
        <w:tc>
          <w:tcPr>
            <w:tcW w:w="975" w:type="dxa"/>
            <w:tcBorders>
              <w:top w:val="nil"/>
              <w:left w:val="single" w:color="auto" w:sz="4" w:space="0"/>
              <w:bottom w:val="single" w:color="auto" w:sz="4" w:space="0"/>
              <w:right w:val="nil"/>
            </w:tcBorders>
            <w:shd w:val="clear" w:color="auto" w:fill="auto"/>
            <w:vAlign w:val="center"/>
          </w:tcPr>
          <w:p>
            <w:pPr>
              <w:autoSpaceDN w:val="0"/>
              <w:jc w:val="center"/>
              <w:rPr>
                <w:rFonts w:ascii="方正仿宋_GBK" w:eastAsia="方正仿宋_GBK"/>
                <w:color w:val="000000"/>
                <w:sz w:val="18"/>
                <w:szCs w:val="18"/>
              </w:rPr>
            </w:pPr>
            <w:r>
              <w:rPr>
                <w:rFonts w:hint="eastAsia" w:ascii="方正仿宋_GBK" w:eastAsia="方正仿宋_GBK"/>
                <w:color w:val="000000"/>
                <w:sz w:val="18"/>
                <w:szCs w:val="18"/>
              </w:rPr>
              <w:t>受益群众满意度达到100%　</w:t>
            </w:r>
          </w:p>
        </w:tc>
        <w:tc>
          <w:tcPr>
            <w:tcW w:w="975" w:type="dxa"/>
            <w:tcBorders>
              <w:top w:val="nil"/>
              <w:left w:val="single" w:color="auto" w:sz="4" w:space="0"/>
              <w:bottom w:val="single" w:color="auto" w:sz="4" w:space="0"/>
              <w:right w:val="nil"/>
            </w:tcBorders>
            <w:shd w:val="clear" w:color="auto" w:fill="auto"/>
            <w:vAlign w:val="center"/>
          </w:tcPr>
          <w:p>
            <w:pPr>
              <w:autoSpaceDN w:val="0"/>
              <w:jc w:val="center"/>
              <w:rPr>
                <w:rFonts w:ascii="方正仿宋_GBK" w:eastAsia="方正仿宋_GBK"/>
                <w:color w:val="000000"/>
                <w:sz w:val="18"/>
                <w:szCs w:val="18"/>
              </w:rPr>
            </w:pPr>
            <w:r>
              <w:rPr>
                <w:rFonts w:hint="eastAsia" w:ascii="方正仿宋_GBK" w:eastAsia="方正仿宋_GBK"/>
                <w:color w:val="000000"/>
                <w:sz w:val="18"/>
                <w:szCs w:val="18"/>
              </w:rPr>
              <w:t>受益群众满意度达到100%　</w:t>
            </w:r>
          </w:p>
        </w:tc>
        <w:tc>
          <w:tcPr>
            <w:tcW w:w="944" w:type="dxa"/>
            <w:tcBorders>
              <w:top w:val="nil"/>
              <w:left w:val="single" w:color="auto" w:sz="4" w:space="0"/>
              <w:bottom w:val="single" w:color="auto" w:sz="4" w:space="0"/>
              <w:right w:val="nil"/>
            </w:tcBorders>
            <w:shd w:val="clear" w:color="auto" w:fill="auto"/>
            <w:vAlign w:val="center"/>
          </w:tcPr>
          <w:p>
            <w:pPr>
              <w:autoSpaceDN w:val="0"/>
              <w:jc w:val="center"/>
              <w:rPr>
                <w:rFonts w:ascii="方正仿宋_GBK" w:eastAsia="方正仿宋_GBK"/>
                <w:color w:val="000000"/>
                <w:sz w:val="18"/>
                <w:szCs w:val="18"/>
              </w:rPr>
            </w:pPr>
            <w:r>
              <w:rPr>
                <w:rFonts w:hint="eastAsia" w:ascii="方正仿宋_GBK" w:eastAsia="方正仿宋_GBK"/>
                <w:color w:val="000000"/>
                <w:sz w:val="18"/>
                <w:szCs w:val="18"/>
              </w:rPr>
              <w:t>已完成　</w:t>
            </w:r>
          </w:p>
        </w:tc>
        <w:tc>
          <w:tcPr>
            <w:tcW w:w="707" w:type="dxa"/>
            <w:tcBorders>
              <w:top w:val="nil"/>
              <w:left w:val="single" w:color="auto" w:sz="4" w:space="0"/>
              <w:bottom w:val="single" w:color="auto" w:sz="4" w:space="0"/>
              <w:right w:val="nil"/>
            </w:tcBorders>
            <w:shd w:val="clear" w:color="auto" w:fill="auto"/>
            <w:vAlign w:val="center"/>
          </w:tcPr>
          <w:p>
            <w:pPr>
              <w:autoSpaceDN w:val="0"/>
              <w:jc w:val="center"/>
              <w:rPr>
                <w:rFonts w:ascii="方正仿宋_GBK" w:eastAsia="方正仿宋_GBK"/>
                <w:color w:val="000000"/>
                <w:sz w:val="18"/>
                <w:szCs w:val="18"/>
              </w:rPr>
            </w:pPr>
            <w:r>
              <w:rPr>
                <w:rFonts w:hint="eastAsia" w:ascii="方正仿宋_GBK" w:eastAsia="方正仿宋_GBK"/>
                <w:color w:val="000000"/>
                <w:sz w:val="18"/>
                <w:szCs w:val="18"/>
              </w:rPr>
              <w:t>100%　</w:t>
            </w:r>
          </w:p>
        </w:tc>
        <w:tc>
          <w:tcPr>
            <w:tcW w:w="779" w:type="dxa"/>
            <w:tcBorders>
              <w:top w:val="nil"/>
              <w:left w:val="single" w:color="auto" w:sz="4" w:space="0"/>
              <w:bottom w:val="single" w:color="auto" w:sz="4" w:space="0"/>
              <w:right w:val="nil"/>
            </w:tcBorders>
            <w:shd w:val="clear" w:color="auto" w:fill="auto"/>
            <w:vAlign w:val="center"/>
          </w:tcPr>
          <w:p>
            <w:pPr>
              <w:autoSpaceDN w:val="0"/>
              <w:jc w:val="center"/>
              <w:rPr>
                <w:rFonts w:ascii="方正仿宋_GBK" w:eastAsia="方正仿宋_GBK"/>
                <w:color w:val="000000"/>
                <w:sz w:val="18"/>
                <w:szCs w:val="18"/>
              </w:rPr>
            </w:pPr>
            <w:r>
              <w:rPr>
                <w:rFonts w:hint="eastAsia" w:ascii="方正仿宋_GBK" w:eastAsia="方正仿宋_GBK"/>
                <w:color w:val="000000"/>
                <w:sz w:val="18"/>
                <w:szCs w:val="18"/>
              </w:rPr>
              <w:t>20　</w:t>
            </w:r>
          </w:p>
        </w:tc>
        <w:tc>
          <w:tcPr>
            <w:tcW w:w="779" w:type="dxa"/>
            <w:tcBorders>
              <w:top w:val="nil"/>
              <w:left w:val="single" w:color="auto" w:sz="4" w:space="0"/>
              <w:bottom w:val="single" w:color="auto" w:sz="4" w:space="0"/>
              <w:right w:val="nil"/>
            </w:tcBorders>
            <w:shd w:val="clear" w:color="auto" w:fill="auto"/>
            <w:vAlign w:val="center"/>
          </w:tcPr>
          <w:p>
            <w:pPr>
              <w:autoSpaceDN w:val="0"/>
              <w:jc w:val="center"/>
              <w:rPr>
                <w:rFonts w:ascii="方正仿宋_GBK" w:eastAsia="方正仿宋_GBK"/>
                <w:color w:val="000000"/>
                <w:sz w:val="18"/>
                <w:szCs w:val="18"/>
              </w:rPr>
            </w:pPr>
            <w:r>
              <w:rPr>
                <w:rFonts w:hint="eastAsia" w:ascii="方正仿宋_GBK" w:eastAsia="方正仿宋_GBK"/>
                <w:color w:val="000000"/>
                <w:sz w:val="18"/>
                <w:szCs w:val="18"/>
              </w:rPr>
              <w:t>18　</w:t>
            </w:r>
          </w:p>
        </w:tc>
        <w:tc>
          <w:tcPr>
            <w:tcW w:w="688" w:type="dxa"/>
            <w:tcBorders>
              <w:top w:val="nil"/>
              <w:left w:val="single" w:color="auto" w:sz="4" w:space="0"/>
              <w:bottom w:val="single" w:color="auto" w:sz="4" w:space="0"/>
              <w:right w:val="single" w:color="auto" w:sz="4" w:space="0"/>
            </w:tcBorders>
            <w:shd w:val="clear" w:color="auto" w:fill="auto"/>
            <w:vAlign w:val="center"/>
          </w:tcPr>
          <w:p>
            <w:pPr>
              <w:autoSpaceDN w:val="0"/>
              <w:jc w:val="center"/>
              <w:rPr>
                <w:rFonts w:ascii="方正仿宋_GBK" w:eastAsia="方正仿宋_GBK"/>
                <w:color w:val="000000"/>
                <w:sz w:val="18"/>
                <w:szCs w:val="18"/>
              </w:rPr>
            </w:pPr>
            <w:r>
              <w:rPr>
                <w:rFonts w:hint="eastAsia" w:ascii="方正仿宋_GBK" w:eastAsia="方正仿宋_GBK"/>
                <w:color w:val="000000"/>
                <w:sz w:val="18"/>
                <w:szCs w:val="18"/>
              </w:rPr>
              <w:t>是　</w:t>
            </w:r>
          </w:p>
        </w:tc>
      </w:tr>
      <w:tr>
        <w:tblPrEx>
          <w:tblCellMar>
            <w:top w:w="0" w:type="dxa"/>
            <w:left w:w="108" w:type="dxa"/>
            <w:bottom w:w="0" w:type="dxa"/>
            <w:right w:w="108" w:type="dxa"/>
          </w:tblCellMar>
        </w:tblPrEx>
        <w:trPr>
          <w:trHeight w:val="474" w:hRule="atLeast"/>
        </w:trPr>
        <w:tc>
          <w:tcPr>
            <w:tcW w:w="717" w:type="dxa"/>
            <w:tcBorders>
              <w:top w:val="nil"/>
              <w:left w:val="single" w:color="auto" w:sz="4" w:space="0"/>
              <w:bottom w:val="single" w:color="auto" w:sz="4" w:space="0"/>
              <w:right w:val="single" w:color="auto" w:sz="4" w:space="0"/>
            </w:tcBorders>
            <w:shd w:val="clear" w:color="auto" w:fill="auto"/>
            <w:vAlign w:val="center"/>
          </w:tcPr>
          <w:p>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说明</w:t>
            </w:r>
          </w:p>
        </w:tc>
        <w:tc>
          <w:tcPr>
            <w:tcW w:w="7714" w:type="dxa"/>
            <w:gridSpan w:val="10"/>
            <w:tcBorders>
              <w:top w:val="single" w:color="auto" w:sz="4" w:space="0"/>
              <w:left w:val="nil"/>
              <w:bottom w:val="single" w:color="auto" w:sz="4" w:space="0"/>
              <w:right w:val="single" w:color="auto" w:sz="4" w:space="0"/>
            </w:tcBorders>
            <w:shd w:val="clear" w:color="auto" w:fill="auto"/>
            <w:vAlign w:val="center"/>
          </w:tcPr>
          <w:p>
            <w:pPr>
              <w:autoSpaceDN w:val="0"/>
              <w:jc w:val="center"/>
              <w:rPr>
                <w:rFonts w:ascii="方正仿宋_GBK" w:eastAsia="方正仿宋_GBK"/>
                <w:color w:val="000000"/>
                <w:sz w:val="18"/>
                <w:szCs w:val="18"/>
              </w:rPr>
            </w:pPr>
          </w:p>
        </w:tc>
      </w:tr>
    </w:tbl>
    <w:p>
      <w:pPr>
        <w:tabs>
          <w:tab w:val="center" w:pos="4153"/>
          <w:tab w:val="left" w:pos="7275"/>
        </w:tabs>
        <w:spacing w:line="600" w:lineRule="exact"/>
        <w:rPr>
          <w:rFonts w:hint="eastAsia" w:ascii="方正仿宋_GBK" w:eastAsia="方正仿宋_GBK"/>
          <w:b/>
          <w:sz w:val="32"/>
          <w:szCs w:val="32"/>
        </w:rPr>
      </w:pPr>
    </w:p>
    <w:p>
      <w:pPr>
        <w:tabs>
          <w:tab w:val="center" w:pos="4153"/>
          <w:tab w:val="left" w:pos="7275"/>
        </w:tabs>
        <w:spacing w:line="600" w:lineRule="exact"/>
        <w:ind w:firstLine="630" w:firstLineChars="196"/>
        <w:rPr>
          <w:rFonts w:hint="eastAsia" w:ascii="方正仿宋_GBK" w:eastAsia="方正仿宋_GBK"/>
          <w:b/>
          <w:sz w:val="32"/>
          <w:szCs w:val="32"/>
        </w:rPr>
      </w:pPr>
      <w:r>
        <w:rPr>
          <w:rFonts w:hint="eastAsia" w:ascii="方正仿宋_GBK" w:eastAsia="方正仿宋_GBK"/>
          <w:b/>
          <w:sz w:val="32"/>
          <w:szCs w:val="32"/>
        </w:rPr>
        <w:t>2.绩效自评报告或案例</w:t>
      </w:r>
    </w:p>
    <w:p>
      <w:pPr>
        <w:pStyle w:val="6"/>
        <w:shd w:val="clear" w:color="auto" w:fill="FFFFFF"/>
        <w:spacing w:before="0" w:beforeAutospacing="0" w:after="0" w:afterAutospacing="0" w:line="600" w:lineRule="exact"/>
        <w:ind w:firstLine="640" w:firstLineChars="200"/>
        <w:jc w:val="both"/>
        <w:outlineLvl w:val="0"/>
        <w:rPr>
          <w:rStyle w:val="9"/>
          <w:rFonts w:hint="eastAsia" w:ascii="方正黑体_GBK" w:eastAsia="方正黑体_GBK"/>
          <w:b w:val="0"/>
          <w:sz w:val="32"/>
          <w:szCs w:val="32"/>
        </w:rPr>
      </w:pPr>
      <w:r>
        <w:rPr>
          <w:rFonts w:hint="eastAsia" w:ascii="方正仿宋_GBK" w:eastAsia="方正仿宋_GBK"/>
          <w:sz w:val="32"/>
          <w:szCs w:val="32"/>
        </w:rPr>
        <w:t>我单位无绩效</w:t>
      </w:r>
      <w:r>
        <w:rPr>
          <w:rFonts w:hint="eastAsia" w:ascii="方正仿宋_GBK" w:eastAsia="方正仿宋_GBK"/>
          <w:sz w:val="32"/>
          <w:szCs w:val="32"/>
          <w:lang w:val="en-US" w:eastAsia="zh-CN"/>
        </w:rPr>
        <w:t>自</w:t>
      </w:r>
      <w:r>
        <w:rPr>
          <w:rFonts w:hint="eastAsia" w:ascii="方正仿宋_GBK" w:eastAsia="方正仿宋_GBK"/>
          <w:sz w:val="32"/>
          <w:szCs w:val="32"/>
        </w:rPr>
        <w:t>评价</w:t>
      </w:r>
      <w:r>
        <w:rPr>
          <w:rFonts w:hint="eastAsia" w:ascii="方正仿宋_GBK" w:eastAsia="方正仿宋_GBK"/>
          <w:sz w:val="32"/>
          <w:szCs w:val="32"/>
          <w:lang w:val="en-US" w:eastAsia="zh-CN"/>
        </w:rPr>
        <w:t>报告或案例</w:t>
      </w:r>
      <w:r>
        <w:rPr>
          <w:rFonts w:hint="eastAsia" w:ascii="方正仿宋_GBK" w:eastAsia="方正仿宋_GBK"/>
          <w:sz w:val="32"/>
          <w:szCs w:val="32"/>
        </w:rPr>
        <w:t>。</w:t>
      </w:r>
    </w:p>
    <w:p>
      <w:pPr>
        <w:pStyle w:val="6"/>
        <w:shd w:val="clear" w:color="auto" w:fill="FFFFFF"/>
        <w:spacing w:before="0" w:beforeAutospacing="0" w:after="0" w:afterAutospacing="0" w:line="600" w:lineRule="exact"/>
        <w:ind w:firstLine="643" w:firstLineChars="200"/>
        <w:jc w:val="both"/>
        <w:outlineLvl w:val="0"/>
        <w:rPr>
          <w:rFonts w:hint="eastAsia" w:ascii="方正仿宋_GBK" w:eastAsia="方正仿宋_GBK"/>
          <w:b/>
          <w:sz w:val="32"/>
          <w:szCs w:val="32"/>
        </w:rPr>
      </w:pPr>
      <w:r>
        <w:rPr>
          <w:rFonts w:hint="eastAsia" w:ascii="方正仿宋_GBK" w:eastAsia="方正仿宋_GBK"/>
          <w:b/>
          <w:sz w:val="32"/>
          <w:szCs w:val="32"/>
        </w:rPr>
        <w:t>（三）重点绩效评价结果</w:t>
      </w:r>
    </w:p>
    <w:p>
      <w:pPr>
        <w:pStyle w:val="6"/>
        <w:shd w:val="clear" w:color="auto" w:fill="FFFFFF"/>
        <w:spacing w:before="0" w:beforeAutospacing="0" w:after="0" w:afterAutospacing="0" w:line="600" w:lineRule="exact"/>
        <w:ind w:firstLine="640" w:firstLineChars="200"/>
        <w:jc w:val="both"/>
        <w:outlineLvl w:val="0"/>
        <w:rPr>
          <w:rFonts w:hint="eastAsia" w:ascii="方正仿宋_GBK" w:eastAsia="方正仿宋_GBK"/>
          <w:sz w:val="32"/>
          <w:szCs w:val="32"/>
        </w:rPr>
      </w:pPr>
      <w:r>
        <w:rPr>
          <w:rFonts w:hint="eastAsia" w:ascii="方正仿宋_GBK" w:eastAsia="方正仿宋_GBK"/>
          <w:sz w:val="32"/>
          <w:szCs w:val="32"/>
        </w:rPr>
        <w:t>我单位无重点绩效评价项目。</w:t>
      </w:r>
    </w:p>
    <w:p>
      <w:pPr>
        <w:pStyle w:val="6"/>
        <w:shd w:val="clear" w:color="auto" w:fill="FFFFFF"/>
        <w:spacing w:before="0" w:beforeAutospacing="0" w:after="0" w:afterAutospacing="0" w:line="600" w:lineRule="exact"/>
        <w:ind w:firstLine="640" w:firstLineChars="200"/>
        <w:jc w:val="both"/>
        <w:outlineLvl w:val="0"/>
        <w:rPr>
          <w:rStyle w:val="9"/>
          <w:rFonts w:ascii="方正黑体_GBK" w:eastAsia="方正黑体_GBK"/>
        </w:rPr>
      </w:pPr>
      <w:r>
        <w:rPr>
          <w:rStyle w:val="9"/>
          <w:rFonts w:hint="eastAsia" w:ascii="方正黑体_GBK" w:eastAsia="方正黑体_GBK"/>
          <w:b w:val="0"/>
          <w:sz w:val="32"/>
          <w:szCs w:val="32"/>
        </w:rPr>
        <w:t>六、专业名词解释</w:t>
      </w:r>
    </w:p>
    <w:p>
      <w:pPr>
        <w:pStyle w:val="6"/>
        <w:shd w:val="clear" w:color="auto" w:fill="FFFFFF"/>
        <w:spacing w:before="0" w:beforeAutospacing="0" w:after="0" w:afterAutospacing="0" w:line="600" w:lineRule="exact"/>
        <w:ind w:firstLine="643" w:firstLineChars="200"/>
        <w:jc w:val="both"/>
        <w:rPr>
          <w:rFonts w:ascii="方正仿宋_GBK" w:eastAsia="方正仿宋_GBK"/>
          <w:sz w:val="32"/>
          <w:szCs w:val="32"/>
        </w:rPr>
      </w:pPr>
      <w:r>
        <w:rPr>
          <w:rStyle w:val="9"/>
          <w:rFonts w:hint="eastAsia" w:ascii="方正仿宋_GBK" w:eastAsia="方正仿宋_GBK"/>
          <w:sz w:val="32"/>
          <w:szCs w:val="32"/>
        </w:rPr>
        <w:t>（一）财政拨款收入</w:t>
      </w:r>
      <w:r>
        <w:rPr>
          <w:rFonts w:hint="eastAsia" w:ascii="方正仿宋_GBK" w:eastAsia="方正仿宋_GBK"/>
          <w:sz w:val="32"/>
          <w:szCs w:val="32"/>
        </w:rPr>
        <w:t>：指本年度从本级财政部门取得的财政拨款，包括一般公共预算财政拨款和政府性基金预算财政拨款。</w:t>
      </w:r>
    </w:p>
    <w:p>
      <w:pPr>
        <w:pStyle w:val="6"/>
        <w:shd w:val="clear" w:color="auto" w:fill="FFFFFF"/>
        <w:spacing w:before="0" w:beforeAutospacing="0" w:after="0" w:afterAutospacing="0" w:line="600" w:lineRule="exact"/>
        <w:ind w:firstLine="643" w:firstLineChars="200"/>
        <w:jc w:val="both"/>
        <w:rPr>
          <w:rFonts w:ascii="方正仿宋_GBK" w:eastAsia="方正仿宋_GBK"/>
          <w:sz w:val="32"/>
          <w:szCs w:val="32"/>
        </w:rPr>
      </w:pPr>
      <w:r>
        <w:rPr>
          <w:rStyle w:val="9"/>
          <w:rFonts w:hint="eastAsia" w:ascii="方正仿宋_GBK" w:eastAsia="方正仿宋_GBK"/>
          <w:sz w:val="32"/>
          <w:szCs w:val="32"/>
        </w:rPr>
        <w:t>（二）事业收入</w:t>
      </w:r>
      <w:r>
        <w:rPr>
          <w:rFonts w:hint="eastAsia" w:ascii="方正仿宋_GBK" w:eastAsia="方正仿宋_GBK"/>
          <w:sz w:val="32"/>
          <w:szCs w:val="32"/>
        </w:rPr>
        <w:t>：指事业单位开展专业业务活动及其辅助活动取得的现金流入；事业单位收到的财政专户实际核拨的教育收费等资金在此反映。</w:t>
      </w:r>
    </w:p>
    <w:p>
      <w:pPr>
        <w:pStyle w:val="6"/>
        <w:shd w:val="clear" w:color="auto" w:fill="FFFFFF"/>
        <w:spacing w:before="0" w:beforeAutospacing="0" w:after="0" w:afterAutospacing="0" w:line="600" w:lineRule="exact"/>
        <w:ind w:firstLine="643" w:firstLineChars="200"/>
        <w:jc w:val="both"/>
        <w:rPr>
          <w:rFonts w:ascii="方正仿宋_GBK" w:eastAsia="方正仿宋_GBK"/>
          <w:sz w:val="32"/>
          <w:szCs w:val="32"/>
        </w:rPr>
      </w:pPr>
      <w:r>
        <w:rPr>
          <w:rStyle w:val="9"/>
          <w:rFonts w:hint="eastAsia" w:ascii="方正仿宋_GBK" w:eastAsia="方正仿宋_GBK"/>
          <w:sz w:val="32"/>
          <w:szCs w:val="32"/>
        </w:rPr>
        <w:t>（三）经营收入</w:t>
      </w:r>
      <w:r>
        <w:rPr>
          <w:rFonts w:hint="eastAsia" w:ascii="方正仿宋_GBK" w:eastAsia="方正仿宋_GBK"/>
          <w:sz w:val="32"/>
          <w:szCs w:val="32"/>
        </w:rPr>
        <w:t>：指事业单位在专业业务活动及其辅助活动之外开展非独立核算经营活动取得的现金流入。</w:t>
      </w:r>
    </w:p>
    <w:p>
      <w:pPr>
        <w:pStyle w:val="6"/>
        <w:shd w:val="clear" w:color="auto" w:fill="FFFFFF"/>
        <w:spacing w:before="0" w:beforeAutospacing="0" w:after="0" w:afterAutospacing="0" w:line="600" w:lineRule="exact"/>
        <w:ind w:firstLine="643" w:firstLineChars="200"/>
        <w:jc w:val="both"/>
        <w:rPr>
          <w:rFonts w:ascii="方正仿宋_GBK" w:eastAsia="方正仿宋_GBK"/>
          <w:sz w:val="32"/>
          <w:szCs w:val="32"/>
        </w:rPr>
      </w:pPr>
      <w:r>
        <w:rPr>
          <w:rStyle w:val="9"/>
          <w:rFonts w:hint="eastAsia" w:ascii="方正仿宋_GBK" w:eastAsia="方正仿宋_GBK"/>
          <w:sz w:val="32"/>
          <w:szCs w:val="32"/>
        </w:rPr>
        <w:t>（四）其他收入</w:t>
      </w:r>
      <w:r>
        <w:rPr>
          <w:rFonts w:hint="eastAsia" w:ascii="方正仿宋_GBK" w:eastAsia="方正仿宋_GBK"/>
          <w:sz w:val="32"/>
          <w:szCs w:val="32"/>
        </w:rPr>
        <w:t>：指单位取得的除“财政拨款收入”、“事业收入”、“经营收入”等以外的收入，包括未纳入财政预算或财政专户管理的投资收益、银行存款利息收入、租金收入、捐赠收入，现金盘盈收入、存货盘盈收入、收回已核销的应收及预付款项、无法偿付的应付及预收款项等。各单位从本级财政部门以外的同级单位取得的经费、从非本级财政部门取得的经费，以及行政单位收到的财政专户管理资金反映在本项内。</w:t>
      </w:r>
    </w:p>
    <w:p>
      <w:pPr>
        <w:pStyle w:val="6"/>
        <w:shd w:val="clear" w:color="auto" w:fill="FFFFFF"/>
        <w:spacing w:before="0" w:beforeAutospacing="0" w:after="0" w:afterAutospacing="0" w:line="600" w:lineRule="exact"/>
        <w:ind w:firstLine="643" w:firstLineChars="200"/>
        <w:jc w:val="both"/>
        <w:rPr>
          <w:rFonts w:ascii="方正仿宋_GBK" w:eastAsia="方正仿宋_GBK"/>
          <w:sz w:val="32"/>
          <w:szCs w:val="32"/>
        </w:rPr>
      </w:pPr>
      <w:r>
        <w:rPr>
          <w:rStyle w:val="9"/>
          <w:rFonts w:hint="eastAsia" w:ascii="方正仿宋_GBK" w:eastAsia="方正仿宋_GBK"/>
          <w:sz w:val="32"/>
          <w:szCs w:val="32"/>
        </w:rPr>
        <w:t>（五）用事业基金弥补收支差额</w:t>
      </w:r>
      <w:r>
        <w:rPr>
          <w:rFonts w:hint="eastAsia" w:ascii="方正仿宋_GBK" w:eastAsia="方正仿宋_GBK"/>
          <w:sz w:val="32"/>
          <w:szCs w:val="32"/>
        </w:rPr>
        <w:t>：指事业单位在当年的“财政拨款收入”、“事业收入”、“经营收入”、“其他收入”等不足以安排当年支出的情况下，使用以前年度积累的事业基金（事业单位当年收支相抵后按国家规定提取、用于弥补以后年度收支差额的基金）弥补本年度收支缺口的资金。</w:t>
      </w:r>
    </w:p>
    <w:p>
      <w:pPr>
        <w:pStyle w:val="6"/>
        <w:shd w:val="clear" w:color="auto" w:fill="FFFFFF"/>
        <w:spacing w:before="0" w:beforeAutospacing="0" w:after="0" w:afterAutospacing="0" w:line="600" w:lineRule="exact"/>
        <w:ind w:firstLine="643" w:firstLineChars="200"/>
        <w:jc w:val="both"/>
        <w:rPr>
          <w:rFonts w:ascii="方正仿宋_GBK" w:eastAsia="方正仿宋_GBK"/>
          <w:sz w:val="32"/>
          <w:szCs w:val="32"/>
        </w:rPr>
      </w:pPr>
      <w:r>
        <w:rPr>
          <w:rStyle w:val="9"/>
          <w:rFonts w:hint="eastAsia" w:ascii="方正仿宋_GBK" w:eastAsia="方正仿宋_GBK"/>
          <w:sz w:val="32"/>
          <w:szCs w:val="32"/>
        </w:rPr>
        <w:t>（六）年初结转和结余</w:t>
      </w:r>
      <w:r>
        <w:rPr>
          <w:rFonts w:hint="eastAsia" w:ascii="方正仿宋_GBK" w:eastAsia="方正仿宋_GBK"/>
          <w:sz w:val="32"/>
          <w:szCs w:val="32"/>
        </w:rPr>
        <w:t>：指单位上年结转本年使用的基本支出结转、项目支出结转和结余、经营结余。</w:t>
      </w:r>
    </w:p>
    <w:p>
      <w:pPr>
        <w:pStyle w:val="6"/>
        <w:shd w:val="clear" w:color="auto" w:fill="FFFFFF"/>
        <w:spacing w:before="0" w:beforeAutospacing="0" w:after="0" w:afterAutospacing="0" w:line="600" w:lineRule="exact"/>
        <w:ind w:firstLine="643" w:firstLineChars="200"/>
        <w:jc w:val="both"/>
        <w:rPr>
          <w:rFonts w:ascii="方正仿宋_GBK" w:eastAsia="方正仿宋_GBK"/>
          <w:sz w:val="32"/>
          <w:szCs w:val="32"/>
        </w:rPr>
      </w:pPr>
      <w:r>
        <w:rPr>
          <w:rStyle w:val="9"/>
          <w:rFonts w:hint="eastAsia" w:ascii="方正仿宋_GBK" w:eastAsia="方正仿宋_GBK"/>
          <w:sz w:val="32"/>
          <w:szCs w:val="32"/>
        </w:rPr>
        <w:t>（七）结余分配</w:t>
      </w:r>
      <w:r>
        <w:rPr>
          <w:rFonts w:hint="eastAsia" w:ascii="方正仿宋_GBK" w:eastAsia="方正仿宋_GBK"/>
          <w:sz w:val="32"/>
          <w:szCs w:val="32"/>
        </w:rPr>
        <w:t>：指单位按照国家有关规定，缴纳所得税、提取专用基金、转入事业基金等当年结余的分配情况。</w:t>
      </w:r>
    </w:p>
    <w:p>
      <w:pPr>
        <w:pStyle w:val="6"/>
        <w:shd w:val="clear" w:color="auto" w:fill="FFFFFF"/>
        <w:spacing w:before="0" w:beforeAutospacing="0" w:after="0" w:afterAutospacing="0" w:line="600" w:lineRule="exact"/>
        <w:ind w:firstLine="643" w:firstLineChars="200"/>
        <w:jc w:val="both"/>
        <w:rPr>
          <w:rFonts w:ascii="方正仿宋_GBK" w:eastAsia="方正仿宋_GBK"/>
          <w:sz w:val="32"/>
          <w:szCs w:val="32"/>
        </w:rPr>
      </w:pPr>
      <w:r>
        <w:rPr>
          <w:rStyle w:val="9"/>
          <w:rFonts w:hint="eastAsia" w:ascii="方正仿宋_GBK" w:eastAsia="方正仿宋_GBK"/>
          <w:sz w:val="32"/>
          <w:szCs w:val="32"/>
        </w:rPr>
        <w:t>（八）年末结转和结余</w:t>
      </w:r>
      <w:r>
        <w:rPr>
          <w:rFonts w:hint="eastAsia" w:ascii="方正仿宋_GBK" w:eastAsia="方正仿宋_GBK"/>
          <w:sz w:val="32"/>
          <w:szCs w:val="32"/>
        </w:rPr>
        <w:t>：指单位结转下年的基本支出结转、项目支出结转和结余、经营结余。</w:t>
      </w:r>
    </w:p>
    <w:p>
      <w:pPr>
        <w:pStyle w:val="6"/>
        <w:shd w:val="clear" w:color="auto" w:fill="FFFFFF"/>
        <w:spacing w:before="0" w:beforeAutospacing="0" w:after="0" w:afterAutospacing="0" w:line="600" w:lineRule="exact"/>
        <w:ind w:firstLine="643" w:firstLineChars="200"/>
        <w:jc w:val="both"/>
        <w:rPr>
          <w:rFonts w:ascii="方正仿宋_GBK" w:eastAsia="方正仿宋_GBK"/>
          <w:sz w:val="32"/>
          <w:szCs w:val="32"/>
        </w:rPr>
      </w:pPr>
      <w:r>
        <w:rPr>
          <w:rStyle w:val="9"/>
          <w:rFonts w:hint="eastAsia" w:ascii="方正仿宋_GBK" w:eastAsia="方正仿宋_GBK"/>
          <w:sz w:val="32"/>
          <w:szCs w:val="32"/>
        </w:rPr>
        <w:t>（九）基本支出</w:t>
      </w:r>
      <w:r>
        <w:rPr>
          <w:rFonts w:hint="eastAsia" w:ascii="方正仿宋_GBK" w:eastAsia="方正仿宋_GBK"/>
          <w:sz w:val="32"/>
          <w:szCs w:val="32"/>
        </w:rPr>
        <w:t>：指为保障机构正常运转、完成日常工作任务而发生的人员经费和公用经费。其中：人员经费指政府收支分类经济科目中的“工资福利支出”和“对个人和家庭的补助”；公用经费指政府收支分类经济科目中除“工资福利支出”和“对个人和家庭的补助”外的其他支出。</w:t>
      </w:r>
    </w:p>
    <w:p>
      <w:pPr>
        <w:pStyle w:val="6"/>
        <w:shd w:val="clear" w:color="auto" w:fill="FFFFFF"/>
        <w:spacing w:before="0" w:beforeAutospacing="0" w:after="0" w:afterAutospacing="0" w:line="600" w:lineRule="exact"/>
        <w:ind w:firstLine="643" w:firstLineChars="200"/>
        <w:jc w:val="both"/>
        <w:rPr>
          <w:rFonts w:ascii="方正仿宋_GBK" w:eastAsia="方正仿宋_GBK"/>
          <w:sz w:val="32"/>
          <w:szCs w:val="32"/>
        </w:rPr>
      </w:pPr>
      <w:r>
        <w:rPr>
          <w:rStyle w:val="9"/>
          <w:rFonts w:hint="eastAsia" w:ascii="方正仿宋_GBK" w:eastAsia="方正仿宋_GBK"/>
          <w:sz w:val="32"/>
          <w:szCs w:val="32"/>
        </w:rPr>
        <w:t>（十）项目支出</w:t>
      </w:r>
      <w:r>
        <w:rPr>
          <w:rFonts w:hint="eastAsia" w:ascii="方正仿宋_GBK" w:eastAsia="方正仿宋_GBK"/>
          <w:sz w:val="32"/>
          <w:szCs w:val="32"/>
        </w:rPr>
        <w:t>：指在基本支出之外为完成特定行政任务和事业发展目标所发生的支出。</w:t>
      </w:r>
    </w:p>
    <w:p>
      <w:pPr>
        <w:pStyle w:val="6"/>
        <w:shd w:val="clear" w:color="auto" w:fill="FFFFFF"/>
        <w:spacing w:before="0" w:beforeAutospacing="0" w:after="0" w:afterAutospacing="0" w:line="600" w:lineRule="exact"/>
        <w:ind w:firstLine="643" w:firstLineChars="200"/>
        <w:jc w:val="both"/>
        <w:rPr>
          <w:rFonts w:ascii="方正仿宋_GBK" w:eastAsia="方正仿宋_GBK"/>
          <w:sz w:val="32"/>
          <w:szCs w:val="32"/>
        </w:rPr>
      </w:pPr>
      <w:r>
        <w:rPr>
          <w:rStyle w:val="9"/>
          <w:rFonts w:hint="eastAsia" w:ascii="方正仿宋_GBK" w:eastAsia="方正仿宋_GBK"/>
          <w:sz w:val="32"/>
          <w:szCs w:val="32"/>
        </w:rPr>
        <w:t>（十一）经营支出</w:t>
      </w:r>
      <w:r>
        <w:rPr>
          <w:rFonts w:hint="eastAsia" w:ascii="方正仿宋_GBK" w:eastAsia="方正仿宋_GBK"/>
          <w:sz w:val="32"/>
          <w:szCs w:val="32"/>
        </w:rPr>
        <w:t>：指事业单位在专业业务活动及其辅助活动之外开展非独立核算经营活动发生的支出。</w:t>
      </w:r>
    </w:p>
    <w:p>
      <w:pPr>
        <w:pStyle w:val="6"/>
        <w:shd w:val="clear" w:color="auto" w:fill="FFFFFF"/>
        <w:spacing w:before="0" w:beforeAutospacing="0" w:after="0" w:afterAutospacing="0" w:line="600" w:lineRule="exact"/>
        <w:ind w:firstLine="643" w:firstLineChars="200"/>
        <w:jc w:val="both"/>
        <w:rPr>
          <w:rFonts w:ascii="方正仿宋_GBK" w:eastAsia="方正仿宋_GBK"/>
          <w:sz w:val="32"/>
          <w:szCs w:val="32"/>
        </w:rPr>
      </w:pPr>
      <w:r>
        <w:rPr>
          <w:rStyle w:val="9"/>
          <w:rFonts w:hint="eastAsia" w:ascii="方正仿宋_GBK" w:eastAsia="方正仿宋_GBK"/>
          <w:sz w:val="32"/>
          <w:szCs w:val="32"/>
        </w:rPr>
        <w:t>（十二）“三公”经费</w:t>
      </w:r>
      <w:r>
        <w:rPr>
          <w:rFonts w:hint="eastAsia" w:ascii="方正仿宋_GBK" w:eastAsia="方正仿宋_GBK"/>
          <w:sz w:val="32"/>
          <w:szCs w:val="32"/>
        </w:rPr>
        <w:t>：指用一般公共预算财政拨款安排的因公出国（境）费、公务用车购置及运行维护费、公务接待费。其中，因公出国（境）费反映单位公务出国（境）的国际旅费、国外城市间交通费、住宿费、伙食费、培训费、公杂费等支出；公务用车购置费反映单位公务用车购置支出（含车辆购置税）；公务用车运行维护费反映单位按规定保留的公务用车燃料费、维修费、过路过桥费、保险费、安全奖励费用等支出；公务接待费反映单位按规定开支的各类公务接待（含外宾接待）支出。</w:t>
      </w:r>
    </w:p>
    <w:p>
      <w:pPr>
        <w:pStyle w:val="6"/>
        <w:widowControl w:val="0"/>
        <w:shd w:val="clear" w:color="auto" w:fill="FFFFFF"/>
        <w:spacing w:before="0" w:beforeAutospacing="0" w:after="0" w:afterAutospacing="0" w:line="600" w:lineRule="exact"/>
        <w:ind w:firstLine="643" w:firstLineChars="200"/>
        <w:jc w:val="both"/>
        <w:rPr>
          <w:rFonts w:ascii="方正仿宋_GBK" w:eastAsia="方正仿宋_GBK"/>
          <w:sz w:val="32"/>
          <w:szCs w:val="32"/>
        </w:rPr>
      </w:pPr>
      <w:r>
        <w:rPr>
          <w:rStyle w:val="9"/>
          <w:rFonts w:hint="eastAsia" w:ascii="方正仿宋_GBK" w:eastAsia="方正仿宋_GBK"/>
          <w:sz w:val="32"/>
          <w:szCs w:val="32"/>
        </w:rPr>
        <w:t>（十三）工资福利支出（支出经济分类科目类级）</w:t>
      </w:r>
      <w:r>
        <w:rPr>
          <w:rFonts w:hint="eastAsia" w:ascii="方正仿宋_GBK" w:eastAsia="方正仿宋_GBK"/>
          <w:sz w:val="32"/>
          <w:szCs w:val="32"/>
        </w:rPr>
        <w:t>：反映单位开支的在职职工和编制外长期聘用人员的各类劳动报酬，以及为上述人员缴纳的各项社会保险费等。</w:t>
      </w:r>
    </w:p>
    <w:p>
      <w:pPr>
        <w:pStyle w:val="6"/>
        <w:widowControl w:val="0"/>
        <w:shd w:val="clear" w:color="auto" w:fill="FFFFFF"/>
        <w:spacing w:before="0" w:beforeAutospacing="0" w:after="0" w:afterAutospacing="0" w:line="600" w:lineRule="exact"/>
        <w:ind w:firstLine="643" w:firstLineChars="200"/>
        <w:jc w:val="both"/>
        <w:rPr>
          <w:rFonts w:ascii="方正仿宋_GBK" w:eastAsia="方正仿宋_GBK"/>
          <w:sz w:val="32"/>
          <w:szCs w:val="32"/>
        </w:rPr>
      </w:pPr>
      <w:r>
        <w:rPr>
          <w:rStyle w:val="9"/>
          <w:rFonts w:hint="eastAsia" w:ascii="方正仿宋_GBK" w:eastAsia="方正仿宋_GBK"/>
          <w:sz w:val="32"/>
          <w:szCs w:val="32"/>
        </w:rPr>
        <w:t>（十四）商品和服务支出（支出经济分类科目类级）</w:t>
      </w:r>
      <w:r>
        <w:rPr>
          <w:rFonts w:hint="eastAsia" w:ascii="方正仿宋_GBK" w:eastAsia="方正仿宋_GBK"/>
          <w:sz w:val="32"/>
          <w:szCs w:val="32"/>
        </w:rPr>
        <w:t>：反映单位购买商品和服务的支出（不包括用于购置固定资产的支出、战略性和应急储备支出）。</w:t>
      </w:r>
    </w:p>
    <w:p>
      <w:pPr>
        <w:pStyle w:val="6"/>
        <w:shd w:val="clear" w:color="auto" w:fill="FFFFFF"/>
        <w:spacing w:before="0" w:beforeAutospacing="0" w:after="0" w:afterAutospacing="0" w:line="600" w:lineRule="exact"/>
        <w:ind w:firstLine="643" w:firstLineChars="200"/>
        <w:jc w:val="both"/>
        <w:rPr>
          <w:rFonts w:ascii="方正仿宋_GBK" w:eastAsia="方正仿宋_GBK"/>
          <w:sz w:val="32"/>
          <w:szCs w:val="32"/>
        </w:rPr>
      </w:pPr>
      <w:r>
        <w:rPr>
          <w:rStyle w:val="9"/>
          <w:rFonts w:hint="eastAsia" w:ascii="方正仿宋_GBK" w:eastAsia="方正仿宋_GBK"/>
          <w:sz w:val="32"/>
          <w:szCs w:val="32"/>
        </w:rPr>
        <w:t>（十五）对个人和家庭的补助（支出经济分类科目类级）</w:t>
      </w:r>
      <w:r>
        <w:rPr>
          <w:rFonts w:hint="eastAsia" w:ascii="方正仿宋_GBK" w:eastAsia="方正仿宋_GBK"/>
          <w:sz w:val="32"/>
          <w:szCs w:val="32"/>
        </w:rPr>
        <w:t>：反映用于对个人和家庭的补助支出。</w:t>
      </w:r>
    </w:p>
    <w:p>
      <w:pPr>
        <w:pStyle w:val="6"/>
        <w:shd w:val="clear" w:color="auto" w:fill="FFFFFF"/>
        <w:spacing w:before="0" w:beforeAutospacing="0" w:after="0" w:afterAutospacing="0" w:line="600" w:lineRule="exact"/>
        <w:ind w:firstLine="643" w:firstLineChars="200"/>
        <w:jc w:val="both"/>
        <w:rPr>
          <w:rFonts w:ascii="方正仿宋_GBK" w:eastAsia="方正仿宋_GBK"/>
          <w:sz w:val="32"/>
          <w:szCs w:val="32"/>
        </w:rPr>
      </w:pPr>
      <w:r>
        <w:rPr>
          <w:rStyle w:val="9"/>
          <w:rFonts w:hint="eastAsia" w:ascii="方正仿宋_GBK" w:eastAsia="方正仿宋_GBK"/>
          <w:sz w:val="32"/>
          <w:szCs w:val="32"/>
        </w:rPr>
        <w:t>（十六）其他资本性支出（支出经济分类科目类级）</w:t>
      </w:r>
      <w:r>
        <w:rPr>
          <w:rFonts w:hint="eastAsia" w:ascii="方正仿宋_GBK" w:eastAsia="方正仿宋_GBK"/>
          <w:sz w:val="32"/>
          <w:szCs w:val="32"/>
        </w:rPr>
        <w:t>：反映非各级发展与改革部门集中安排的用于购置固定资产、战略性和应急性储备、土地和无形资产，以及构建基础设施、大型修缮和财政支持企业更新改造所发生的支出。</w:t>
      </w:r>
    </w:p>
    <w:p>
      <w:pPr>
        <w:pStyle w:val="6"/>
        <w:shd w:val="clear" w:color="auto" w:fill="FFFFFF"/>
        <w:spacing w:before="0" w:beforeAutospacing="0" w:after="0" w:afterAutospacing="0" w:line="600" w:lineRule="exact"/>
        <w:ind w:firstLine="640" w:firstLineChars="200"/>
        <w:jc w:val="both"/>
        <w:outlineLvl w:val="0"/>
        <w:rPr>
          <w:rFonts w:ascii="方正黑体_GBK" w:eastAsia="方正黑体_GBK"/>
          <w:b/>
          <w:sz w:val="32"/>
          <w:szCs w:val="32"/>
        </w:rPr>
      </w:pPr>
      <w:r>
        <w:rPr>
          <w:rStyle w:val="9"/>
          <w:rFonts w:hint="eastAsia" w:ascii="方正黑体_GBK" w:eastAsia="方正黑体_GBK"/>
          <w:b w:val="0"/>
          <w:sz w:val="32"/>
          <w:szCs w:val="32"/>
        </w:rPr>
        <w:t>七、决算公开联系方式及信息反馈渠道</w:t>
      </w:r>
    </w:p>
    <w:p>
      <w:pPr>
        <w:pStyle w:val="6"/>
        <w:shd w:val="clear" w:color="auto" w:fill="FFFFFF"/>
        <w:spacing w:before="0" w:beforeAutospacing="0" w:after="0" w:afterAutospacing="0" w:line="600" w:lineRule="exact"/>
        <w:ind w:firstLine="640" w:firstLineChars="200"/>
        <w:jc w:val="both"/>
        <w:rPr>
          <w:rFonts w:ascii="方正仿宋_GBK" w:eastAsia="方正仿宋_GBK"/>
          <w:sz w:val="32"/>
          <w:szCs w:val="32"/>
        </w:rPr>
      </w:pPr>
      <w:r>
        <w:rPr>
          <w:rFonts w:hint="eastAsia" w:ascii="方正仿宋_GBK" w:eastAsia="方正仿宋_GBK"/>
          <w:sz w:val="32"/>
          <w:szCs w:val="32"/>
        </w:rPr>
        <w:t>本单位决算公开信息反馈和联系方式：023-62886165。</w:t>
      </w:r>
    </w:p>
    <w:sectPr>
      <w:footerReference r:id="rId3" w:type="default"/>
      <w:pgSz w:w="11907" w:h="16840"/>
      <w:pgMar w:top="2098" w:right="1701" w:bottom="1985" w:left="181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方正黑体_GBK">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5132487"/>
    </w:sdtPr>
    <w:sdtContent>
      <w:p>
        <w:pPr>
          <w:pStyle w:val="4"/>
          <w:jc w:val="center"/>
        </w:pPr>
      </w:p>
      <w:p>
        <w:pPr>
          <w:pStyle w:val="4"/>
          <w:jc w:val="center"/>
        </w:pPr>
        <w:r>
          <w:rPr>
            <w:rFonts w:ascii="Times New Roman" w:hAnsi="Times New Roman" w:cs="Times New Roman"/>
            <w:sz w:val="21"/>
            <w:szCs w:val="21"/>
          </w:rPr>
          <w:fldChar w:fldCharType="begin"/>
        </w:r>
        <w:r>
          <w:rPr>
            <w:rFonts w:ascii="Times New Roman" w:hAnsi="Times New Roman" w:cs="Times New Roman"/>
            <w:sz w:val="21"/>
            <w:szCs w:val="21"/>
          </w:rPr>
          <w:instrText xml:space="preserve"> PAGE   \* MERGEFORMAT </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9</w:t>
        </w:r>
        <w:r>
          <w:rPr>
            <w:rFonts w:ascii="Times New Roman" w:hAnsi="Times New Roman" w:cs="Times New Roman"/>
            <w:sz w:val="21"/>
            <w:szCs w:val="21"/>
          </w:rPr>
          <w:fldChar w:fldCharType="end"/>
        </w:r>
      </w:p>
    </w:sdtContent>
  </w:sdt>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AFF961"/>
    <w:multiLevelType w:val="singleLevel"/>
    <w:tmpl w:val="00AFF961"/>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8"/>
  <w:bordersDoNotSurroundHeader w:val="0"/>
  <w:bordersDoNotSurroundFooter w:val="0"/>
  <w:documentProtection w:enforcement="0"/>
  <w:defaultTabStop w:val="420"/>
  <w:displayHorizontalDrawingGridEvery w:val="1"/>
  <w:displayVerticalDrawingGridEvery w:val="1"/>
  <w:noPunctuationKerning w:val="1"/>
  <w:characterSpacingControl w:val="doNotCompress"/>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41FA"/>
    <w:rsid w:val="000478A4"/>
    <w:rsid w:val="00065022"/>
    <w:rsid w:val="00115962"/>
    <w:rsid w:val="00221A09"/>
    <w:rsid w:val="0030438F"/>
    <w:rsid w:val="00316F52"/>
    <w:rsid w:val="00317DE3"/>
    <w:rsid w:val="00323DC8"/>
    <w:rsid w:val="003269CF"/>
    <w:rsid w:val="003463D8"/>
    <w:rsid w:val="00420E29"/>
    <w:rsid w:val="00443F32"/>
    <w:rsid w:val="00593E4A"/>
    <w:rsid w:val="0063459A"/>
    <w:rsid w:val="006B3A67"/>
    <w:rsid w:val="006F08AE"/>
    <w:rsid w:val="007813B9"/>
    <w:rsid w:val="0087676C"/>
    <w:rsid w:val="008D63F5"/>
    <w:rsid w:val="008F2FEE"/>
    <w:rsid w:val="009A41FA"/>
    <w:rsid w:val="009C4AB2"/>
    <w:rsid w:val="009D65BE"/>
    <w:rsid w:val="00B61C9F"/>
    <w:rsid w:val="00BD26BA"/>
    <w:rsid w:val="00C947A8"/>
    <w:rsid w:val="00D33E16"/>
    <w:rsid w:val="00D73116"/>
    <w:rsid w:val="00E07898"/>
    <w:rsid w:val="00F364CA"/>
    <w:rsid w:val="013A55F7"/>
    <w:rsid w:val="042D4F77"/>
    <w:rsid w:val="05483AD3"/>
    <w:rsid w:val="06EA40C5"/>
    <w:rsid w:val="073165E1"/>
    <w:rsid w:val="0A431830"/>
    <w:rsid w:val="0A4E44FD"/>
    <w:rsid w:val="0AC41770"/>
    <w:rsid w:val="0C55563E"/>
    <w:rsid w:val="0CB95DA3"/>
    <w:rsid w:val="0DD95C10"/>
    <w:rsid w:val="0F942AF4"/>
    <w:rsid w:val="11070881"/>
    <w:rsid w:val="11790BF3"/>
    <w:rsid w:val="12E66E3E"/>
    <w:rsid w:val="134C478E"/>
    <w:rsid w:val="157B75AD"/>
    <w:rsid w:val="179A7F2D"/>
    <w:rsid w:val="19E576EB"/>
    <w:rsid w:val="1BAB582B"/>
    <w:rsid w:val="1C55450B"/>
    <w:rsid w:val="1D936D51"/>
    <w:rsid w:val="1D940DB0"/>
    <w:rsid w:val="1DD527C8"/>
    <w:rsid w:val="1E4B74C4"/>
    <w:rsid w:val="205D4CED"/>
    <w:rsid w:val="21380A48"/>
    <w:rsid w:val="219C748C"/>
    <w:rsid w:val="21B75E11"/>
    <w:rsid w:val="21FF50C2"/>
    <w:rsid w:val="22D402FC"/>
    <w:rsid w:val="239C6EC4"/>
    <w:rsid w:val="246650AD"/>
    <w:rsid w:val="24EB2549"/>
    <w:rsid w:val="263E677D"/>
    <w:rsid w:val="26E7265B"/>
    <w:rsid w:val="26FB67A0"/>
    <w:rsid w:val="28810F26"/>
    <w:rsid w:val="28C95A6B"/>
    <w:rsid w:val="28E90E2E"/>
    <w:rsid w:val="29A176E2"/>
    <w:rsid w:val="29BC64A7"/>
    <w:rsid w:val="2A0D0294"/>
    <w:rsid w:val="2AAC030F"/>
    <w:rsid w:val="2AAE225E"/>
    <w:rsid w:val="2B617ADD"/>
    <w:rsid w:val="2BED1A8F"/>
    <w:rsid w:val="2F300F6A"/>
    <w:rsid w:val="2FCF4598"/>
    <w:rsid w:val="309D7CE9"/>
    <w:rsid w:val="355157DD"/>
    <w:rsid w:val="36013BA7"/>
    <w:rsid w:val="372D6C78"/>
    <w:rsid w:val="37693B99"/>
    <w:rsid w:val="37B7226F"/>
    <w:rsid w:val="3A763DF7"/>
    <w:rsid w:val="3CE82ECA"/>
    <w:rsid w:val="3F0F6D93"/>
    <w:rsid w:val="3F573E82"/>
    <w:rsid w:val="3F995C52"/>
    <w:rsid w:val="406B009A"/>
    <w:rsid w:val="416933C5"/>
    <w:rsid w:val="44E41461"/>
    <w:rsid w:val="46A255AF"/>
    <w:rsid w:val="47262F6D"/>
    <w:rsid w:val="474B29D4"/>
    <w:rsid w:val="47DD558A"/>
    <w:rsid w:val="4B475126"/>
    <w:rsid w:val="4BA34E43"/>
    <w:rsid w:val="4C4C658A"/>
    <w:rsid w:val="4C883B0B"/>
    <w:rsid w:val="4C893BF0"/>
    <w:rsid w:val="4C9C1771"/>
    <w:rsid w:val="4DBF5582"/>
    <w:rsid w:val="5144471C"/>
    <w:rsid w:val="53395DDD"/>
    <w:rsid w:val="54B0031A"/>
    <w:rsid w:val="56371F46"/>
    <w:rsid w:val="564F521B"/>
    <w:rsid w:val="5AA70983"/>
    <w:rsid w:val="5AFA409D"/>
    <w:rsid w:val="5D20663E"/>
    <w:rsid w:val="5DF70D68"/>
    <w:rsid w:val="5E643345"/>
    <w:rsid w:val="603E2C7E"/>
    <w:rsid w:val="65AF13A0"/>
    <w:rsid w:val="65F74D73"/>
    <w:rsid w:val="68BB3F95"/>
    <w:rsid w:val="69286279"/>
    <w:rsid w:val="6AA046F1"/>
    <w:rsid w:val="6B2C4C52"/>
    <w:rsid w:val="6BF54B38"/>
    <w:rsid w:val="6C375151"/>
    <w:rsid w:val="6CB400FA"/>
    <w:rsid w:val="6D704228"/>
    <w:rsid w:val="702A6D7B"/>
    <w:rsid w:val="735D4190"/>
    <w:rsid w:val="74D04D8D"/>
    <w:rsid w:val="75295853"/>
    <w:rsid w:val="755C79D6"/>
    <w:rsid w:val="76206D49"/>
    <w:rsid w:val="78335A75"/>
    <w:rsid w:val="78B6189E"/>
    <w:rsid w:val="7CDD6705"/>
    <w:rsid w:val="7DD63A00"/>
    <w:rsid w:val="7F743B6E"/>
    <w:rsid w:val="7FC878B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宋体" w:hAnsi="宋体" w:eastAsia="宋体" w:cs="宋体"/>
      <w:sz w:val="24"/>
      <w:szCs w:val="24"/>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Document Map"/>
    <w:basedOn w:val="1"/>
    <w:link w:val="12"/>
    <w:semiHidden/>
    <w:unhideWhenUsed/>
    <w:qFormat/>
    <w:uiPriority w:val="99"/>
    <w:rPr>
      <w:sz w:val="18"/>
      <w:szCs w:val="18"/>
    </w:rPr>
  </w:style>
  <w:style w:type="paragraph" w:styleId="3">
    <w:name w:val="Balloon Text"/>
    <w:basedOn w:val="1"/>
    <w:link w:val="15"/>
    <w:semiHidden/>
    <w:unhideWhenUsed/>
    <w:qFormat/>
    <w:uiPriority w:val="99"/>
    <w:rPr>
      <w:sz w:val="18"/>
      <w:szCs w:val="18"/>
    </w:rPr>
  </w:style>
  <w:style w:type="paragraph" w:styleId="4">
    <w:name w:val="footer"/>
    <w:basedOn w:val="1"/>
    <w:link w:val="11"/>
    <w:unhideWhenUsed/>
    <w:qFormat/>
    <w:uiPriority w:val="99"/>
    <w:pPr>
      <w:tabs>
        <w:tab w:val="center" w:pos="4153"/>
        <w:tab w:val="right" w:pos="8306"/>
      </w:tabs>
      <w:snapToGrid w:val="0"/>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semiHidden/>
    <w:unhideWhenUsed/>
    <w:qFormat/>
    <w:uiPriority w:val="99"/>
    <w:pPr>
      <w:spacing w:before="100" w:beforeAutospacing="1" w:after="100" w:afterAutospacing="1"/>
    </w:pPr>
  </w:style>
  <w:style w:type="character" w:styleId="9">
    <w:name w:val="Strong"/>
    <w:basedOn w:val="8"/>
    <w:qFormat/>
    <w:uiPriority w:val="22"/>
    <w:rPr>
      <w:b/>
      <w:bCs/>
    </w:rPr>
  </w:style>
  <w:style w:type="character" w:customStyle="1" w:styleId="10">
    <w:name w:val="页眉 Char"/>
    <w:basedOn w:val="8"/>
    <w:link w:val="5"/>
    <w:semiHidden/>
    <w:qFormat/>
    <w:locked/>
    <w:uiPriority w:val="99"/>
    <w:rPr>
      <w:rFonts w:hint="eastAsia" w:ascii="宋体" w:hAnsi="宋体" w:eastAsia="宋体" w:cs="宋体"/>
      <w:sz w:val="18"/>
      <w:szCs w:val="18"/>
    </w:rPr>
  </w:style>
  <w:style w:type="character" w:customStyle="1" w:styleId="11">
    <w:name w:val="页脚 Char"/>
    <w:basedOn w:val="8"/>
    <w:link w:val="4"/>
    <w:qFormat/>
    <w:locked/>
    <w:uiPriority w:val="99"/>
    <w:rPr>
      <w:rFonts w:hint="eastAsia" w:ascii="宋体" w:hAnsi="宋体" w:eastAsia="宋体" w:cs="宋体"/>
      <w:sz w:val="18"/>
      <w:szCs w:val="18"/>
    </w:rPr>
  </w:style>
  <w:style w:type="character" w:customStyle="1" w:styleId="12">
    <w:name w:val="文档结构图 Char"/>
    <w:basedOn w:val="8"/>
    <w:link w:val="2"/>
    <w:semiHidden/>
    <w:qFormat/>
    <w:locked/>
    <w:uiPriority w:val="99"/>
    <w:rPr>
      <w:rFonts w:hint="eastAsia" w:ascii="宋体" w:hAnsi="宋体" w:eastAsia="宋体" w:cs="宋体"/>
      <w:sz w:val="18"/>
      <w:szCs w:val="18"/>
    </w:rPr>
  </w:style>
  <w:style w:type="paragraph" w:styleId="13">
    <w:name w:val="List Paragraph"/>
    <w:basedOn w:val="1"/>
    <w:qFormat/>
    <w:uiPriority w:val="34"/>
    <w:pPr>
      <w:widowControl w:val="0"/>
      <w:ind w:firstLine="420" w:firstLineChars="200"/>
      <w:jc w:val="both"/>
    </w:pPr>
    <w:rPr>
      <w:rFonts w:ascii="Calibri" w:hAnsi="Calibri" w:cs="Times New Roman"/>
      <w:kern w:val="2"/>
      <w:sz w:val="21"/>
      <w:szCs w:val="22"/>
    </w:rPr>
  </w:style>
  <w:style w:type="paragraph" w:customStyle="1" w:styleId="14">
    <w:name w:val="msonormal"/>
    <w:basedOn w:val="1"/>
    <w:semiHidden/>
    <w:qFormat/>
    <w:uiPriority w:val="99"/>
    <w:pPr>
      <w:spacing w:before="100" w:beforeAutospacing="1" w:after="100" w:afterAutospacing="1"/>
    </w:pPr>
  </w:style>
  <w:style w:type="character" w:customStyle="1" w:styleId="15">
    <w:name w:val="批注框文本 Char"/>
    <w:basedOn w:val="8"/>
    <w:link w:val="3"/>
    <w:semiHidden/>
    <w:qFormat/>
    <w:uiPriority w:val="99"/>
    <w:rPr>
      <w:rFonts w:ascii="宋体" w:hAnsi="宋体" w:cs="宋体"/>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5A99550-B257-4546-AB00-96699E81D5B1}">
  <ds:schemaRefs/>
</ds:datastoreItem>
</file>

<file path=docProps/app.xml><?xml version="1.0" encoding="utf-8"?>
<Properties xmlns="http://schemas.openxmlformats.org/officeDocument/2006/extended-properties" xmlns:vt="http://schemas.openxmlformats.org/officeDocument/2006/docPropsVTypes">
  <Template>Normal</Template>
  <Company>P R C</Company>
  <Pages>12</Pages>
  <Words>851</Words>
  <Characters>4851</Characters>
  <Lines>40</Lines>
  <Paragraphs>11</Paragraphs>
  <TotalTime>1</TotalTime>
  <ScaleCrop>false</ScaleCrop>
  <LinksUpToDate>false</LinksUpToDate>
  <CharactersWithSpaces>5691</CharactersWithSpaces>
  <Application>WPS Office_11.1.0.11045_F1E327BC-269C-435d-A152-05C5408002CA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2021-09-08T03:29:00Z</dcterms:created>
  <dc:creator>Administrator</dc:creator>
  <cp:lastModifiedBy>杨威利</cp:lastModifiedBy>
  <cp:lastPrinted>2021-08-31T06:34:00Z</cp:lastPrinted>
  <dcterms:modified xsi:type="dcterms:W3CDTF">2021-11-24T06:24:21Z</dcterms:modified>
  <dc:title>公开报告模板</dc:title>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2052-11.1.0.11045</vt:lpwstr>
  </property>
  <property fmtid="{D5CDD505-2E9C-101B-9397-08002B2CF9AE}" pid="3" name="ICV">
    <vt:lpwstr>C9A671D8D1644FE6BE6A29A262CFECCD</vt:lpwstr>
  </property>
</Properties>
</file>