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重庆经济技术开发区</w:t>
      </w:r>
      <w:r>
        <w:rPr>
          <w:rFonts w:hint="eastAsia" w:ascii="Times New Roman" w:hAnsi="Times New Roman" w:eastAsia="方正小标宋_GBK" w:cs="Times New Roman"/>
          <w:sz w:val="44"/>
          <w:szCs w:val="44"/>
        </w:rPr>
        <w:t>市政环卫绿化管理处</w:t>
      </w:r>
    </w:p>
    <w:p>
      <w:pPr>
        <w:spacing w:line="594"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2020年度部门决算情况说明</w:t>
      </w:r>
    </w:p>
    <w:p>
      <w:pPr>
        <w:spacing w:line="594" w:lineRule="exact"/>
        <w:ind w:firstLine="640" w:firstLineChars="200"/>
        <w:rPr>
          <w:rFonts w:ascii="Times New Roman" w:hAnsi="Times New Roman" w:eastAsia="方正黑体_GBK" w:cs="Times New Roman"/>
          <w:sz w:val="32"/>
          <w:szCs w:val="32"/>
        </w:rPr>
      </w:pPr>
    </w:p>
    <w:p>
      <w:pPr>
        <w:spacing w:line="594"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一、部门基本情况</w:t>
      </w:r>
    </w:p>
    <w:p>
      <w:pPr>
        <w:spacing w:line="594"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（一）职能职责。</w:t>
      </w:r>
    </w:p>
    <w:p>
      <w:pPr>
        <w:spacing w:line="594" w:lineRule="exact"/>
        <w:ind w:firstLine="640" w:firstLineChars="200"/>
        <w:rPr>
          <w:rFonts w:hint="eastAsia" w:ascii="Times New Roman" w:hAnsi="Times New Roman" w:eastAsia="方正仿宋_GBK" w:cs="Times New Roman"/>
          <w:bCs/>
          <w:color w:val="000000"/>
          <w:sz w:val="32"/>
          <w:lang w:val="en-US" w:eastAsia="zh-CN"/>
        </w:rPr>
      </w:pPr>
      <w:r>
        <w:rPr>
          <w:rFonts w:ascii="Times New Roman" w:hAnsi="Times New Roman" w:eastAsia="方正仿宋_GBK"/>
          <w:bCs/>
          <w:sz w:val="32"/>
          <w:szCs w:val="32"/>
        </w:rPr>
        <w:t>主要承担开发建设等事务性、服务性工作。</w:t>
      </w:r>
      <w:r>
        <w:rPr>
          <w:rFonts w:hint="eastAsia" w:ascii="Times New Roman" w:hAnsi="Times New Roman" w:eastAsia="方正仿宋_GBK"/>
          <w:bCs/>
          <w:sz w:val="32"/>
          <w:szCs w:val="32"/>
        </w:rPr>
        <w:t>负责经开区范围内市政基础设施、园林绿化、环境卫生、城市市容市貌规划并组织实施；依授权负责市政园林监察执法、城市管理工作</w:t>
      </w:r>
      <w:r>
        <w:rPr>
          <w:rFonts w:hint="eastAsia" w:ascii="Times New Roman" w:hAnsi="Times New Roman" w:eastAsia="方正仿宋_GBK"/>
          <w:bCs/>
          <w:color w:val="000000"/>
          <w:sz w:val="32"/>
          <w:szCs w:val="32"/>
        </w:rPr>
        <w:t>；</w:t>
      </w:r>
      <w:r>
        <w:rPr>
          <w:rFonts w:hint="eastAsia" w:ascii="Times New Roman" w:hAnsi="Times New Roman" w:eastAsia="方正仿宋_GBK"/>
          <w:bCs/>
          <w:sz w:val="32"/>
          <w:szCs w:val="32"/>
        </w:rPr>
        <w:t>负责建设项目涉及市政、园林、绿化审批、监管及验收工作；负责水、电、气、讯、公共交通等配套服务工作</w:t>
      </w:r>
      <w:r>
        <w:rPr>
          <w:rFonts w:ascii="Times New Roman" w:hAnsi="Times New Roman" w:eastAsia="方正仿宋_GBK" w:cs="Times New Roman"/>
          <w:bCs/>
          <w:color w:val="000000"/>
          <w:sz w:val="32"/>
        </w:rPr>
        <w:t>。</w:t>
      </w:r>
      <w:r>
        <w:rPr>
          <w:rFonts w:hint="eastAsia" w:ascii="Times New Roman" w:hAnsi="Times New Roman" w:eastAsia="方正仿宋_GBK" w:cs="Times New Roman"/>
          <w:bCs/>
          <w:color w:val="000000"/>
          <w:sz w:val="32"/>
          <w:lang w:val="en-US" w:eastAsia="zh-CN"/>
        </w:rPr>
        <w:t xml:space="preserve">        </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黑体_GBK" w:cs="Times New Roman"/>
          <w:sz w:val="32"/>
          <w:szCs w:val="32"/>
          <w:lang w:val="en-US" w:eastAsia="zh-CN"/>
        </w:rPr>
        <w:t>（二）</w:t>
      </w:r>
      <w:r>
        <w:rPr>
          <w:rFonts w:ascii="Times New Roman" w:hAnsi="Times New Roman" w:eastAsia="方正黑体_GBK" w:cs="Times New Roman"/>
          <w:sz w:val="32"/>
          <w:szCs w:val="32"/>
        </w:rPr>
        <w:t>机构设置</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重庆经济技术开发区市政环卫绿化管理处拟</w:t>
      </w:r>
      <w:r>
        <w:rPr>
          <w:rFonts w:ascii="Times New Roman" w:hAnsi="Times New Roman" w:eastAsia="方正仿宋_GBK" w:cs="Times New Roman"/>
          <w:bCs/>
          <w:color w:val="000000"/>
          <w:sz w:val="32"/>
          <w:szCs w:val="32"/>
        </w:rPr>
        <w:t>设7个内设机构，即综合管理科、市政绿化科、环卫管理科、市容监察科、行政审批科、规划建设科、市政管理监察大队。</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（三）单位构成</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本单位无下级预算单位</w:t>
      </w:r>
      <w:r>
        <w:rPr>
          <w:rFonts w:hint="eastAsia" w:ascii="Times New Roman" w:hAnsi="Times New Roman" w:eastAsia="方正仿宋_GBK" w:cs="Times New Roman"/>
          <w:sz w:val="32"/>
          <w:szCs w:val="32"/>
        </w:rPr>
        <w:t>。</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二、部门决算情况说明</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（一）收入支出决算总体情况说明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总体情况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2020年度收入总计13830.39万元，支出总计13830.39万元。收入较上年决算数减少 5347.12万元，下降 27.88%，支出较上年决算数减少5347.12万元，下降 27.88%，主要原因：一是牢固树立艰苦奋斗、勤俭节约思想，坚决落实过紧日子的要求，从严从紧编制部门预算，有效控制项目支出总额。二是新冠疫情影响，导致部分建设项目未达到原计划进度。</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收入情况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2020年度收入合计</w:t>
      </w:r>
      <w:r>
        <w:rPr>
          <w:rFonts w:hint="eastAsia" w:ascii="Times New Roman" w:hAnsi="Times New Roman" w:eastAsia="方正仿宋_GBK" w:cs="Times New Roman"/>
          <w:sz w:val="32"/>
          <w:szCs w:val="32"/>
          <w:lang w:val="en-US" w:eastAsia="zh-CN"/>
        </w:rPr>
        <w:t>13058.57</w:t>
      </w:r>
      <w:r>
        <w:rPr>
          <w:rFonts w:ascii="Times New Roman" w:hAnsi="Times New Roman" w:eastAsia="方正仿宋_GBK" w:cs="Times New Roman"/>
          <w:sz w:val="32"/>
          <w:szCs w:val="32"/>
        </w:rPr>
        <w:t>万元，较上年决算数</w:t>
      </w:r>
      <w:r>
        <w:rPr>
          <w:rFonts w:hint="eastAsia" w:ascii="Times New Roman" w:hAnsi="Times New Roman" w:eastAsia="方正仿宋_GBK" w:cs="Times New Roman"/>
          <w:sz w:val="32"/>
          <w:szCs w:val="32"/>
          <w:lang w:eastAsia="zh-CN"/>
        </w:rPr>
        <w:t>增加</w:t>
      </w:r>
      <w:r>
        <w:rPr>
          <w:rFonts w:hint="eastAsia" w:ascii="Times New Roman" w:hAnsi="Times New Roman" w:eastAsia="方正仿宋_GBK" w:cs="Times New Roman"/>
          <w:sz w:val="32"/>
          <w:szCs w:val="32"/>
          <w:lang w:val="en-US" w:eastAsia="zh-CN"/>
        </w:rPr>
        <w:t>1859.23</w:t>
      </w:r>
      <w:r>
        <w:rPr>
          <w:rFonts w:ascii="Times New Roman" w:hAnsi="Times New Roman" w:eastAsia="方正仿宋_GBK" w:cs="Times New Roman"/>
          <w:sz w:val="32"/>
          <w:szCs w:val="32"/>
        </w:rPr>
        <w:t>万元，</w:t>
      </w:r>
      <w:r>
        <w:rPr>
          <w:rFonts w:hint="eastAsia" w:ascii="Times New Roman" w:hAnsi="Times New Roman" w:eastAsia="方正仿宋_GBK" w:cs="Times New Roman"/>
          <w:sz w:val="32"/>
          <w:szCs w:val="32"/>
          <w:lang w:eastAsia="zh-CN"/>
        </w:rPr>
        <w:t>增长</w:t>
      </w:r>
      <w:bookmarkStart w:id="0" w:name="_GoBack"/>
      <w:bookmarkEnd w:id="0"/>
      <w:r>
        <w:rPr>
          <w:rFonts w:hint="eastAsia" w:ascii="Times New Roman" w:hAnsi="Times New Roman" w:eastAsia="方正仿宋_GBK" w:cs="Times New Roman"/>
          <w:sz w:val="32"/>
          <w:szCs w:val="32"/>
          <w:lang w:val="en-US" w:eastAsia="zh-CN"/>
        </w:rPr>
        <w:t>16.60</w:t>
      </w:r>
      <w:r>
        <w:rPr>
          <w:rFonts w:ascii="Times New Roman" w:hAnsi="Times New Roman" w:eastAsia="方正仿宋_GBK" w:cs="Times New Roman"/>
          <w:sz w:val="32"/>
          <w:szCs w:val="32"/>
        </w:rPr>
        <w:t>%，主要原因是</w:t>
      </w:r>
      <w:r>
        <w:rPr>
          <w:rFonts w:hint="eastAsia" w:ascii="Times New Roman" w:hAnsi="Times New Roman" w:eastAsia="方正仿宋_GBK" w:cs="Times New Roman"/>
          <w:sz w:val="32"/>
          <w:szCs w:val="32"/>
        </w:rPr>
        <w:t>2020年，经开区开投集团移交5条道路，导致清扫保洁、绿化养护、市政设施维护等费用增加</w:t>
      </w:r>
      <w:r>
        <w:rPr>
          <w:rFonts w:ascii="Times New Roman" w:hAnsi="Times New Roman" w:eastAsia="方正仿宋_GBK" w:cs="Times New Roman"/>
          <w:sz w:val="32"/>
          <w:szCs w:val="32"/>
        </w:rPr>
        <w:t>。其中：财政拨款收入13058.57万元，占100%。此外，年初结转和结余771.82万元。</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支出情况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2020年度支出合计13430.22万元，较上年决算数减少4975.47万元，下降 27.03%，主要原因：一是牢固树立勤俭节约思想，</w:t>
      </w:r>
      <w:r>
        <w:rPr>
          <w:rFonts w:hint="eastAsia" w:ascii="Times New Roman" w:hAnsi="Times New Roman" w:eastAsia="方正仿宋_GBK" w:cs="Times New Roman"/>
          <w:sz w:val="32"/>
          <w:szCs w:val="32"/>
        </w:rPr>
        <w:t>严格控制项目支出总额</w:t>
      </w:r>
      <w:r>
        <w:rPr>
          <w:rFonts w:ascii="Times New Roman" w:hAnsi="Times New Roman" w:eastAsia="方正仿宋_GBK" w:cs="Times New Roman"/>
          <w:sz w:val="32"/>
          <w:szCs w:val="32"/>
        </w:rPr>
        <w:t>。二是新冠疫情影响，导致部分建设项目未达到原计划进度。其中：基本支出412.61万元，占3.07%；项目支出13017.61万元，占96.93%。</w:t>
      </w:r>
    </w:p>
    <w:p>
      <w:pPr>
        <w:spacing w:line="594" w:lineRule="exact"/>
        <w:ind w:firstLine="640" w:firstLineChars="200"/>
        <w:rPr>
          <w:rFonts w:ascii="Times New Roman" w:hAnsi="Times New Roman" w:eastAsia="方正仿宋_GBK" w:cs="Times New Roman"/>
          <w:color w:val="ED7D31" w:themeColor="accent2"/>
          <w:sz w:val="32"/>
          <w:szCs w:val="32"/>
        </w:rPr>
      </w:pPr>
      <w:r>
        <w:rPr>
          <w:rFonts w:ascii="Times New Roman" w:hAnsi="Times New Roman" w:eastAsia="方正仿宋_GBK" w:cs="Times New Roman"/>
          <w:color w:val="auto"/>
          <w:sz w:val="32"/>
          <w:szCs w:val="32"/>
        </w:rPr>
        <w:t>4</w:t>
      </w:r>
      <w:r>
        <w:rPr>
          <w:rFonts w:hint="eastAsia" w:ascii="Times New Roman" w:hAnsi="Times New Roman" w:eastAsia="方正仿宋_GBK" w:cs="Times New Roman"/>
          <w:color w:val="auto"/>
          <w:sz w:val="32"/>
          <w:szCs w:val="32"/>
        </w:rPr>
        <w:t>、</w:t>
      </w:r>
      <w:r>
        <w:rPr>
          <w:rFonts w:ascii="Times New Roman" w:hAnsi="Times New Roman" w:eastAsia="方正仿宋_GBK" w:cs="Times New Roman"/>
          <w:color w:val="auto"/>
          <w:sz w:val="32"/>
          <w:szCs w:val="32"/>
        </w:rPr>
        <w:t>结转结余情况</w:t>
      </w:r>
      <w:r>
        <w:rPr>
          <w:rFonts w:hint="eastAsia" w:ascii="Times New Roman" w:hAnsi="Times New Roman" w:eastAsia="方正仿宋_GBK" w:cs="Times New Roman"/>
          <w:color w:val="auto"/>
          <w:sz w:val="32"/>
          <w:szCs w:val="32"/>
        </w:rPr>
        <w:t>：</w:t>
      </w:r>
      <w:r>
        <w:rPr>
          <w:rFonts w:ascii="Times New Roman" w:hAnsi="Times New Roman" w:eastAsia="方正仿宋_GBK" w:cs="Times New Roman"/>
          <w:color w:val="auto"/>
          <w:sz w:val="32"/>
          <w:szCs w:val="32"/>
        </w:rPr>
        <w:t>2020年度年末结转和结余400.18万元，较上年决算数减少 371.65万元，下降 48.15%，主要原因是</w:t>
      </w:r>
      <w:r>
        <w:rPr>
          <w:rFonts w:hint="eastAsia" w:ascii="Times New Roman" w:hAnsi="Times New Roman" w:eastAsia="方正仿宋_GBK" w:cs="Times New Roman"/>
          <w:color w:val="auto"/>
          <w:sz w:val="32"/>
          <w:szCs w:val="32"/>
        </w:rPr>
        <w:t>我单位</w:t>
      </w:r>
      <w:r>
        <w:rPr>
          <w:rFonts w:ascii="Times New Roman" w:hAnsi="Times New Roman" w:eastAsia="方正仿宋_GBK" w:cs="Times New Roman"/>
          <w:color w:val="auto"/>
          <w:sz w:val="32"/>
          <w:szCs w:val="32"/>
        </w:rPr>
        <w:t>从严编制预算，优化支出结构，削减非急需非刚性和低效无效支出，对不必要的项目支出坚决取消，新增项目支出从严控制，结转结余资金明显减少。</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（二）财政拨款收入支出决算总体情况说明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2020年度收入总计13830.39万元，支出总计13830.39万元。收入较上年决算数减少 5347.12万元，下降 27.88%，支出较上年决算数减少 5347.12万元，下降 27.88%，主要原因：一是牢固树立艰苦奋斗、勤俭节约思想，坚决落实过紧日子的要求，从严从紧编制部门预算，有效控制项目支出总额</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二是新冠疫情影响，导致部分建设项目未达到原计划进度。</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（三）一般公共预算财政拨款支出决算情况说明</w:t>
      </w:r>
    </w:p>
    <w:p>
      <w:pPr>
        <w:spacing w:line="594" w:lineRule="exact"/>
        <w:ind w:firstLine="640" w:firstLineChars="200"/>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收入情况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2020年度收入合计</w:t>
      </w:r>
      <w:r>
        <w:rPr>
          <w:rFonts w:hint="eastAsia" w:ascii="Times New Roman" w:hAnsi="Times New Roman" w:eastAsia="方正仿宋_GBK" w:cs="Times New Roman"/>
          <w:sz w:val="32"/>
          <w:szCs w:val="32"/>
          <w:lang w:val="en-US" w:eastAsia="zh-CN"/>
        </w:rPr>
        <w:t>13058.57</w:t>
      </w:r>
      <w:r>
        <w:rPr>
          <w:rFonts w:ascii="Times New Roman" w:hAnsi="Times New Roman" w:eastAsia="方正仿宋_GBK" w:cs="Times New Roman"/>
          <w:sz w:val="32"/>
          <w:szCs w:val="32"/>
        </w:rPr>
        <w:t>万元，较上年决算数</w:t>
      </w:r>
      <w:r>
        <w:rPr>
          <w:rFonts w:hint="eastAsia" w:ascii="Times New Roman" w:hAnsi="Times New Roman" w:eastAsia="方正仿宋_GBK" w:cs="Times New Roman"/>
          <w:sz w:val="32"/>
          <w:szCs w:val="32"/>
          <w:lang w:eastAsia="zh-CN"/>
        </w:rPr>
        <w:t>增加</w:t>
      </w:r>
      <w:r>
        <w:rPr>
          <w:rFonts w:hint="eastAsia" w:ascii="Times New Roman" w:hAnsi="Times New Roman" w:eastAsia="方正仿宋_GBK" w:cs="Times New Roman"/>
          <w:sz w:val="32"/>
          <w:szCs w:val="32"/>
          <w:lang w:val="en-US" w:eastAsia="zh-CN"/>
        </w:rPr>
        <w:t>1859.23</w:t>
      </w:r>
      <w:r>
        <w:rPr>
          <w:rFonts w:ascii="Times New Roman" w:hAnsi="Times New Roman" w:eastAsia="方正仿宋_GBK" w:cs="Times New Roman"/>
          <w:sz w:val="32"/>
          <w:szCs w:val="32"/>
        </w:rPr>
        <w:t>万元，</w:t>
      </w:r>
      <w:r>
        <w:rPr>
          <w:rFonts w:hint="eastAsia" w:ascii="Times New Roman" w:hAnsi="Times New Roman" w:eastAsia="方正仿宋_GBK" w:cs="Times New Roman"/>
          <w:sz w:val="32"/>
          <w:szCs w:val="32"/>
          <w:lang w:eastAsia="zh-CN"/>
        </w:rPr>
        <w:t>增长</w:t>
      </w:r>
      <w:r>
        <w:rPr>
          <w:rFonts w:hint="eastAsia" w:ascii="Times New Roman" w:hAnsi="Times New Roman" w:eastAsia="方正仿宋_GBK" w:cs="Times New Roman"/>
          <w:sz w:val="32"/>
          <w:szCs w:val="32"/>
          <w:lang w:val="en-US" w:eastAsia="zh-CN"/>
        </w:rPr>
        <w:t>16.60</w:t>
      </w:r>
      <w:r>
        <w:rPr>
          <w:rFonts w:ascii="Times New Roman" w:hAnsi="Times New Roman" w:eastAsia="方正仿宋_GBK" w:cs="Times New Roman"/>
          <w:sz w:val="32"/>
          <w:szCs w:val="32"/>
        </w:rPr>
        <w:t>%，主要原因是</w:t>
      </w:r>
      <w:r>
        <w:rPr>
          <w:rFonts w:hint="eastAsia" w:ascii="Times New Roman" w:hAnsi="Times New Roman" w:eastAsia="方正仿宋_GBK" w:cs="Times New Roman"/>
          <w:sz w:val="32"/>
          <w:szCs w:val="32"/>
        </w:rPr>
        <w:t>2020年，经开区开投集团移交5条道路，导致清扫保洁、绿化养护、市政设施维护等费用增加</w:t>
      </w:r>
      <w:r>
        <w:rPr>
          <w:rFonts w:ascii="Times New Roman" w:hAnsi="Times New Roman" w:eastAsia="方正仿宋_GBK" w:cs="Times New Roman"/>
          <w:sz w:val="32"/>
          <w:szCs w:val="32"/>
        </w:rPr>
        <w:t>。其中：财政拨款收入13058.57万元，占100%。年初预算数与年末决算数相同。此外，年初结转和结余771.82万元。</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支出情况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2020年度支出合计13430.22万元，较上年决算数减少4975.47万元，下降 27.03%，主要原因：一是牢固树立勤俭节约思想，</w:t>
      </w:r>
      <w:r>
        <w:rPr>
          <w:rFonts w:hint="eastAsia" w:ascii="Times New Roman" w:hAnsi="Times New Roman" w:eastAsia="方正仿宋_GBK" w:cs="Times New Roman"/>
          <w:sz w:val="32"/>
          <w:szCs w:val="32"/>
        </w:rPr>
        <w:t>严格控制项目支出总额</w:t>
      </w:r>
      <w:r>
        <w:rPr>
          <w:rFonts w:ascii="Times New Roman" w:hAnsi="Times New Roman" w:eastAsia="方正仿宋_GBK" w:cs="Times New Roman"/>
          <w:sz w:val="32"/>
          <w:szCs w:val="32"/>
        </w:rPr>
        <w:t>。二是新冠疫情影响，导致部分建设项目未达到原计划进度。较年初预算数减少 400.18万元，下降2.89%。主要原因是新冠疫情影响，导致部分建设项目未达到原计划进度。</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结转结余情况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2020年度年末结转和结余400.18万元，较上年决算数减少 371.65万元，下降 48.15%，主要原因是</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从严编制预算，优化支出结构，削减非急需非刚性和低效无效支出，对不必要的项目支出坚决取消，新增项目支出从严控制，结转结余资金明显减少。</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4.比较情况</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本部门2020年度一般公共预算财政拨款支出主要用于以下几个方面：</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（1）文化旅游体育与传媒支出4.75万元，占0.04%，年初预算数与支出数相同。</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（2）社会保障与就业支出47.61万元，占0.35%，年初预算数与支出数相同。</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（3）卫生健康支出24.51万元，占0.18%，年初预算数与支出数相同。</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（4）节能环保支出771.82万元，占5.75%，年初预算数与支出数相同。</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（5）城乡社区支出12565.03万元，占93.56%，较年初预算数减少400.18万元，下降3.09%，主要原因是新冠疫情影响，导致部分建设项目未达到原计划进度。</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（6）住房保障支出16.49万元，占0.12%，年初预算数与支出数相同。</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（四）一般公共预算财政拨款基本支出决算情况说明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2020年度一般公共财政拨款基本支出412.61万元。其中：人员经费324.75万元，较上年决算数增加 29.69万元，增长10.06%，主要原因是人员工资变动，主要是薪级工资调增、五险一金按比例调增。人员经费用途主要包括：基本工资63.86万元、津贴补贴23.55万元、绩效工资147.12万元、养老保险21.99万元、职业年金11万元、医疗保险12.39万元、其他社会保险2.03万元、住房公积金16.49万元等等。公用经费87.86万元，较上年决算数减少0.32万元，下降 0.37%，金额与上年相比基本持平。公用经费用途主要包括：办公费9.8万元、邮电费7.28万元、差旅费24.15万元、福利费4.86万元、公务车运行维护费33.51万元、其他商品和服务支出4.38万元等等。</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（五）政府性基金预算收支决算情况说明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本部门2020年度无政府性基金预算财政拨款收支。</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（六）国有资本经营预算财政拨款支出决算情况说明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本部门2020年度无国有资本经营预算财政拨款支出。</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三、“三公”经费情况说明</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（一）“三公”经费支出总体情况说明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2020年度“三公”经费支出共计33.51万元，较年初预算数减少1.69万元，下降4.81%，主要原因是</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加强公车管理，有效降低车辆运行维护经费。较上年支出数基本持平，主要原因是一是认真贯彻落实中央八项规定精神，按照只减不增的要求从严控制“三公”经费，全年实际支出较预算和决算均有所下降；二是严格落实公车使用规定，公车运行维护成本稳中有降；三是强化公务接待支出管理，严格遵守公务接待开支范围和开支标准，今年</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未发生公务接待费；四是进一步规范因公出国（境）活动，今年未安排人员出国出访。</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（二）“三公”经费分项支出情况</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2020年度</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未发生因公出国（境）费用，年初预算数无预算，上年也未发生因公出国（境）费用。</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2020年度</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无公务车购置费，未申报年初预算，较上年也无公务车购置费。</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3、</w:t>
      </w:r>
      <w:r>
        <w:rPr>
          <w:rFonts w:ascii="Times New Roman" w:hAnsi="Times New Roman" w:eastAsia="方正仿宋_GBK" w:cs="Times New Roman"/>
          <w:sz w:val="32"/>
          <w:szCs w:val="32"/>
        </w:rPr>
        <w:t>公务车运行维护费33.51万元，主要用于：市内因公出行、市政管理监察大队日常巡逻所需车辆的燃料费、维修费、保险费等。费用支出较年初预算数减少 1.49万元，下降 4.26%，主要原因是</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加强公车管理，有效降低车辆运行维护经费。较上年支出数基本持平。</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4、我单位</w:t>
      </w:r>
      <w:r>
        <w:rPr>
          <w:rFonts w:ascii="Times New Roman" w:hAnsi="Times New Roman" w:eastAsia="方正仿宋_GBK" w:cs="Times New Roman"/>
          <w:sz w:val="32"/>
          <w:szCs w:val="32"/>
        </w:rPr>
        <w:t>今年未发生公务接待费，费用支出较年初预算数减少0.2万元，下降 100%，主要原因是</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今年无公务接待。较上年支出数基本持平。</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（三）“三公”经费实物量情况</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2020年度</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无因公出国（境）；公务用车购置0辆，公务车保有量为16辆；国内公务接待0批次0人，其中：国内外事接待0批次，0人；国（境）外公务接待0批次，0人。2019年本部门人均接待费0元，车均购置费0万元，车均维护费2.09万元。</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四、其他需要说明的事项</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（一）机关运行经费情况说明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按照部门决算列报口径，</w:t>
      </w: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不在机关运行经费统计范围之内。</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（二）国有资产占用情况说明</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截至2020年12月31日，本部门有车辆</w:t>
      </w:r>
      <w:r>
        <w:rPr>
          <w:rFonts w:hint="eastAsia" w:ascii="Times New Roman" w:hAnsi="Times New Roman" w:eastAsia="方正仿宋_GBK" w:cs="Times New Roman"/>
          <w:sz w:val="32"/>
          <w:szCs w:val="32"/>
        </w:rPr>
        <w:t>11</w:t>
      </w:r>
      <w:r>
        <w:rPr>
          <w:rFonts w:ascii="Times New Roman" w:hAnsi="Times New Roman" w:eastAsia="方正仿宋_GBK" w:cs="Times New Roman"/>
          <w:sz w:val="32"/>
          <w:szCs w:val="32"/>
        </w:rPr>
        <w:t>辆，</w:t>
      </w:r>
      <w:r>
        <w:rPr>
          <w:rFonts w:hint="eastAsia" w:ascii="Times New Roman" w:hAnsi="Times New Roman" w:eastAsia="方正仿宋_GBK" w:cs="Times New Roman"/>
          <w:sz w:val="32"/>
          <w:szCs w:val="32"/>
        </w:rPr>
        <w:t>电瓶车5辆，均为</w:t>
      </w:r>
      <w:r>
        <w:rPr>
          <w:rFonts w:ascii="Times New Roman" w:hAnsi="Times New Roman" w:eastAsia="方正仿宋_GBK" w:cs="Times New Roman"/>
          <w:sz w:val="32"/>
          <w:szCs w:val="32"/>
        </w:rPr>
        <w:t>应急保障用车，主要是用于市政管理监察大队日常巡逻。单价50万元（含）以上通用设备0台（套），单价100万元（含）以上专用设备0台（套）。</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（三）政府采购支出情况说明</w:t>
      </w:r>
    </w:p>
    <w:p>
      <w:pPr>
        <w:spacing w:line="594"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2020年度本部门政府采购支出总额</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万元，其中：政府采购货物支出</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万元、政府采购工程支出</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万元、政府采购服务支出</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万元。授予中小企业合同金额</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万元，占政府采购支出总额的</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%，其中：授予小微企业合同金额</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万元，占政府采购支出总额的</w:t>
      </w:r>
      <w:r>
        <w:rPr>
          <w:rFonts w:hint="eastAsia"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rPr>
        <w:t>%。</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五、预算绩效管理情况说明</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（一）预算绩效管理工作开展情况</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根据预算绩效管理要求，本部门对16个项目开展了绩效自评，其中，以填报目标自评表形式开展自评16项，涉及资金13017.61万元；未委托第三方形式开展绩效自评。</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（二）绩效自评结果</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1、绩效自评表</w:t>
      </w:r>
    </w:p>
    <w:p>
      <w:pPr>
        <w:pStyle w:val="2"/>
        <w:rPr>
          <w:rFonts w:ascii="方正黑体_GBK" w:hAnsi="方正黑体_GBK" w:eastAsia="方正黑体_GBK" w:cs="方正黑体_GBK"/>
          <w:sz w:val="32"/>
          <w:szCs w:val="32"/>
        </w:rPr>
      </w:pPr>
    </w:p>
    <w:p>
      <w:pPr>
        <w:rPr>
          <w:rFonts w:ascii="方正黑体_GBK" w:hAnsi="方正黑体_GBK" w:eastAsia="方正黑体_GBK" w:cs="方正黑体_GBK"/>
          <w:sz w:val="32"/>
          <w:szCs w:val="32"/>
        </w:rPr>
      </w:pPr>
    </w:p>
    <w:p>
      <w:pPr>
        <w:pStyle w:val="2"/>
        <w:rPr>
          <w:rFonts w:ascii="方正黑体_GBK" w:hAnsi="方正黑体_GBK" w:eastAsia="方正黑体_GBK" w:cs="方正黑体_GBK"/>
          <w:sz w:val="32"/>
          <w:szCs w:val="32"/>
        </w:rPr>
      </w:pPr>
    </w:p>
    <w:p>
      <w:pPr>
        <w:rPr>
          <w:rFonts w:ascii="方正黑体_GBK" w:hAnsi="方正黑体_GBK" w:eastAsia="方正黑体_GBK" w:cs="方正黑体_GBK"/>
          <w:sz w:val="32"/>
          <w:szCs w:val="32"/>
        </w:rPr>
      </w:pPr>
    </w:p>
    <w:p>
      <w:pPr>
        <w:rPr>
          <w:rFonts w:ascii="方正黑体_GBK" w:hAnsi="方正黑体_GBK" w:eastAsia="方正黑体_GBK" w:cs="方正黑体_GBK"/>
          <w:sz w:val="32"/>
          <w:szCs w:val="32"/>
        </w:rPr>
      </w:pPr>
    </w:p>
    <w:p/>
    <w:tbl>
      <w:tblPr>
        <w:tblStyle w:val="5"/>
        <w:tblW w:w="0" w:type="auto"/>
        <w:tblInd w:w="108" w:type="dxa"/>
        <w:tblLayout w:type="autofit"/>
        <w:tblCellMar>
          <w:top w:w="0" w:type="dxa"/>
          <w:left w:w="108" w:type="dxa"/>
          <w:bottom w:w="0" w:type="dxa"/>
          <w:right w:w="108" w:type="dxa"/>
        </w:tblCellMar>
      </w:tblPr>
      <w:tblGrid>
        <w:gridCol w:w="665"/>
        <w:gridCol w:w="1137"/>
        <w:gridCol w:w="623"/>
        <w:gridCol w:w="673"/>
        <w:gridCol w:w="512"/>
        <w:gridCol w:w="512"/>
        <w:gridCol w:w="844"/>
        <w:gridCol w:w="768"/>
        <w:gridCol w:w="881"/>
        <w:gridCol w:w="881"/>
        <w:gridCol w:w="918"/>
      </w:tblGrid>
      <w:tr>
        <w:tblPrEx>
          <w:tblCellMar>
            <w:top w:w="0" w:type="dxa"/>
            <w:left w:w="108" w:type="dxa"/>
            <w:bottom w:w="0" w:type="dxa"/>
            <w:right w:w="108" w:type="dxa"/>
          </w:tblCellMar>
        </w:tblPrEx>
        <w:trPr>
          <w:trHeight w:val="1044" w:hRule="atLeast"/>
        </w:trPr>
        <w:tc>
          <w:tcPr>
            <w:tcW w:w="0" w:type="auto"/>
            <w:gridSpan w:val="11"/>
            <w:tcBorders>
              <w:top w:val="nil"/>
              <w:left w:val="nil"/>
              <w:bottom w:val="nil"/>
              <w:right w:val="nil"/>
            </w:tcBorders>
            <w:shd w:val="clear" w:color="auto" w:fill="auto"/>
            <w:vAlign w:val="center"/>
          </w:tcPr>
          <w:p>
            <w:pPr>
              <w:autoSpaceDN w:val="0"/>
              <w:rPr>
                <w:rFonts w:ascii="方正小标宋_GBK" w:hAnsi="Calibri" w:eastAsia="方正小标宋_GBK"/>
                <w:color w:val="000000"/>
                <w:sz w:val="36"/>
                <w:szCs w:val="36"/>
              </w:rPr>
            </w:pPr>
          </w:p>
          <w:p>
            <w:pPr>
              <w:autoSpaceDN w:val="0"/>
              <w:jc w:val="center"/>
              <w:rPr>
                <w:rFonts w:ascii="方正小标宋_GBK" w:hAnsi="Calibri" w:eastAsia="方正小标宋_GBK"/>
                <w:color w:val="000000"/>
                <w:sz w:val="36"/>
                <w:szCs w:val="36"/>
              </w:rPr>
            </w:pPr>
            <w:r>
              <w:rPr>
                <w:rFonts w:hint="eastAsia" w:ascii="方正小标宋_GBK" w:eastAsia="方正小标宋_GBK"/>
                <w:color w:val="000000"/>
                <w:sz w:val="36"/>
                <w:szCs w:val="36"/>
              </w:rPr>
              <w:t>河道日常管护绩效自评表</w:t>
            </w:r>
          </w:p>
        </w:tc>
      </w:tr>
      <w:tr>
        <w:tblPrEx>
          <w:tblCellMar>
            <w:top w:w="0" w:type="dxa"/>
            <w:left w:w="108" w:type="dxa"/>
            <w:bottom w:w="0" w:type="dxa"/>
            <w:right w:w="108" w:type="dxa"/>
          </w:tblCellMar>
        </w:tblPrEx>
        <w:trPr>
          <w:trHeight w:val="60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项目名称</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河道日常管护 　</w:t>
            </w:r>
          </w:p>
        </w:tc>
        <w:tc>
          <w:tcPr>
            <w:tcW w:w="0" w:type="auto"/>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项目编码</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002012　</w:t>
            </w:r>
          </w:p>
        </w:tc>
        <w:tc>
          <w:tcPr>
            <w:tcW w:w="0" w:type="auto"/>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自评总分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0" w:type="auto"/>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r>
      <w:tr>
        <w:tblPrEx>
          <w:tblCellMar>
            <w:top w:w="0" w:type="dxa"/>
            <w:left w:w="108" w:type="dxa"/>
            <w:bottom w:w="0" w:type="dxa"/>
            <w:right w:w="108" w:type="dxa"/>
          </w:tblCellMar>
        </w:tblPrEx>
        <w:trPr>
          <w:trHeight w:val="601"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主管部门</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tabs>
                <w:tab w:val="left" w:pos="421"/>
                <w:tab w:val="center" w:pos="755"/>
              </w:tabs>
              <w:autoSpaceDN w:val="0"/>
              <w:jc w:val="left"/>
              <w:rPr>
                <w:rFonts w:ascii="方正仿宋_GBK" w:hAnsi="Calibri" w:eastAsia="方正仿宋_GBK"/>
                <w:color w:val="000000"/>
                <w:sz w:val="18"/>
                <w:szCs w:val="18"/>
              </w:rPr>
            </w:pPr>
            <w:r>
              <w:rPr>
                <w:rFonts w:hint="eastAsia" w:ascii="方正仿宋_GBK" w:eastAsia="方正仿宋_GBK"/>
                <w:color w:val="000000"/>
                <w:sz w:val="18"/>
                <w:szCs w:val="18"/>
              </w:rPr>
              <w:tab/>
            </w:r>
            <w:r>
              <w:rPr>
                <w:rFonts w:hint="eastAsia" w:ascii="方正仿宋_GBK" w:eastAsia="方正仿宋_GBK"/>
                <w:color w:val="000000"/>
                <w:sz w:val="18"/>
                <w:szCs w:val="18"/>
              </w:rPr>
              <w:t>重庆经济技术开发区管理委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财政处室</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预算科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联系人</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陈姝君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联系电话</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62985591　</w:t>
            </w:r>
          </w:p>
        </w:tc>
      </w:tr>
      <w:tr>
        <w:tblPrEx>
          <w:tblCellMar>
            <w:top w:w="0" w:type="dxa"/>
            <w:left w:w="108" w:type="dxa"/>
            <w:bottom w:w="0" w:type="dxa"/>
            <w:right w:w="108" w:type="dxa"/>
          </w:tblCellMar>
        </w:tblPrEx>
        <w:trPr>
          <w:cantSplit/>
          <w:trHeight w:val="601"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项目资金（万元）</w:t>
            </w: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全年执行数</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权重</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执行率得分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r>
      <w:tr>
        <w:tblPrEx>
          <w:tblCellMar>
            <w:top w:w="0" w:type="dxa"/>
            <w:left w:w="108" w:type="dxa"/>
            <w:bottom w:w="0" w:type="dxa"/>
            <w:right w:w="108" w:type="dxa"/>
          </w:tblCellMar>
        </w:tblPrEx>
        <w:trPr>
          <w:cantSplit/>
          <w:trHeight w:val="601"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年度总金额</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88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88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sz w:val="18"/>
                <w:szCs w:val="18"/>
              </w:rPr>
            </w:pPr>
            <w:r>
              <w:rPr>
                <w:rFonts w:hint="eastAsia" w:ascii="方正仿宋_GBK" w:eastAsia="方正仿宋_GBK"/>
                <w:sz w:val="18"/>
                <w:szCs w:val="18"/>
              </w:rPr>
              <w:t>10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601"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wordWrap w:val="0"/>
              <w:autoSpaceDN w:val="0"/>
              <w:jc w:val="right"/>
              <w:rPr>
                <w:rFonts w:ascii="方正仿宋_GBK" w:hAnsi="Calibri" w:eastAsia="方正仿宋_GBK"/>
                <w:color w:val="000000"/>
                <w:sz w:val="18"/>
                <w:szCs w:val="18"/>
              </w:rPr>
            </w:pPr>
            <w:r>
              <w:rPr>
                <w:rFonts w:hint="eastAsia" w:ascii="方正仿宋_GBK" w:eastAsia="方正仿宋_GBK"/>
                <w:color w:val="000000"/>
                <w:sz w:val="18"/>
                <w:szCs w:val="18"/>
              </w:rPr>
              <w:t>其中：区级支出</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88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88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10　</w:t>
            </w:r>
          </w:p>
        </w:tc>
      </w:tr>
      <w:tr>
        <w:tblPrEx>
          <w:tblCellMar>
            <w:top w:w="0" w:type="dxa"/>
            <w:left w:w="108" w:type="dxa"/>
            <w:bottom w:w="0" w:type="dxa"/>
            <w:right w:w="108" w:type="dxa"/>
          </w:tblCellMar>
        </w:tblPrEx>
        <w:trPr>
          <w:cantSplit/>
          <w:trHeight w:val="601"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当年绩效目标</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年初绩效目标</w:t>
            </w:r>
          </w:p>
        </w:tc>
        <w:tc>
          <w:tcPr>
            <w:tcW w:w="0" w:type="auto"/>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全年（调整）绩效目标</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全年目标实际完成情况</w:t>
            </w:r>
          </w:p>
        </w:tc>
      </w:tr>
      <w:tr>
        <w:tblPrEx>
          <w:tblCellMar>
            <w:top w:w="0" w:type="dxa"/>
            <w:left w:w="108" w:type="dxa"/>
            <w:bottom w:w="0" w:type="dxa"/>
            <w:right w:w="108" w:type="dxa"/>
          </w:tblCellMar>
        </w:tblPrEx>
        <w:trPr>
          <w:cantSplit/>
          <w:trHeight w:val="1352"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按照管护要求开展清漂、岸线垃圾清理等河道管护项目，保持较好管护效果，提高河道环境品质，完成区域内河道管护，提升品质城市建设，创造宜居宜业宜游的良好生活环境。　</w:t>
            </w:r>
          </w:p>
        </w:tc>
        <w:tc>
          <w:tcPr>
            <w:tcW w:w="0" w:type="auto"/>
            <w:gridSpan w:val="4"/>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河道漂浮物及岸线垃圾明显减少，城市卫生状况显著改善，居民居住环境质量显著提升。 　</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河道漂浮物及岸线垃圾明显减少，城市卫生状况显著改善，居民居住环境质量显著提升。 　</w:t>
            </w:r>
          </w:p>
        </w:tc>
      </w:tr>
      <w:tr>
        <w:tblPrEx>
          <w:tblCellMar>
            <w:top w:w="0" w:type="dxa"/>
            <w:left w:w="108" w:type="dxa"/>
            <w:bottom w:w="0" w:type="dxa"/>
            <w:right w:w="108" w:type="dxa"/>
          </w:tblCellMar>
        </w:tblPrEx>
        <w:trPr>
          <w:cantSplit/>
          <w:trHeight w:val="601" w:hRule="atLeast"/>
        </w:trPr>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绩效指标</w:t>
            </w:r>
          </w:p>
        </w:tc>
        <w:tc>
          <w:tcPr>
            <w:tcW w:w="0" w:type="auto"/>
            <w:tcBorders>
              <w:top w:val="nil"/>
              <w:left w:val="nil"/>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指标名称</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计量</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单位</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性质</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年初</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调整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指标值</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全年</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完成值</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得分系数</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指标权重</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指标得分</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（分）</w:t>
            </w:r>
          </w:p>
        </w:tc>
        <w:tc>
          <w:tcPr>
            <w:tcW w:w="0" w:type="auto"/>
            <w:tcBorders>
              <w:top w:val="nil"/>
              <w:left w:val="nil"/>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是否核心</w:t>
            </w:r>
            <w:r>
              <w:rPr>
                <w:rFonts w:hint="eastAsia" w:ascii="方正仿宋_GBK" w:eastAsia="方正仿宋_GBK"/>
                <w:color w:val="000000"/>
                <w:sz w:val="18"/>
                <w:szCs w:val="18"/>
              </w:rPr>
              <w:br w:type="textWrapping" w:clear="all"/>
            </w:r>
            <w:r>
              <w:rPr>
                <w:rFonts w:hint="eastAsia" w:ascii="方正仿宋_GBK" w:eastAsia="方正仿宋_GBK"/>
                <w:color w:val="000000"/>
                <w:sz w:val="18"/>
                <w:szCs w:val="18"/>
              </w:rPr>
              <w:t>指标</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环境卫生突击整治完成率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质量指标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85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hAnsi="Calibri" w:eastAsia="方正仿宋_GBK"/>
                <w:color w:val="000000"/>
                <w:sz w:val="18"/>
                <w:szCs w:val="18"/>
              </w:rPr>
              <w:t>日常巡查率</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次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数量指标</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3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3</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0" w:type="auto"/>
            <w:tcBorders>
              <w:top w:val="nil"/>
              <w:left w:val="single" w:color="auto" w:sz="4" w:space="0"/>
              <w:bottom w:val="single" w:color="auto" w:sz="4" w:space="0"/>
              <w:right w:val="nil"/>
            </w:tcBorders>
            <w:shd w:val="clear" w:color="auto" w:fill="auto"/>
            <w:vAlign w:val="center"/>
          </w:tcPr>
          <w:p>
            <w:pPr>
              <w:autoSpaceDN w:val="0"/>
              <w:ind w:firstLine="180" w:firstLineChars="100"/>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回应率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社会指标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河道断面水质达标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水质类型　</w:t>
            </w:r>
          </w:p>
        </w:tc>
        <w:tc>
          <w:tcPr>
            <w:tcW w:w="0" w:type="auto"/>
            <w:tcBorders>
              <w:top w:val="nil"/>
              <w:left w:val="single" w:color="auto" w:sz="4" w:space="0"/>
              <w:bottom w:val="single" w:color="auto" w:sz="4" w:space="0"/>
              <w:right w:val="nil"/>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hAnsi="Calibri" w:eastAsia="方正仿宋_GBK"/>
                <w:color w:val="000000"/>
                <w:sz w:val="18"/>
                <w:szCs w:val="18"/>
              </w:rPr>
              <w:t>生态效益</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V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V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V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15</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15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tblPrEx>
          <w:tblCellMar>
            <w:top w:w="0" w:type="dxa"/>
            <w:left w:w="108" w:type="dxa"/>
            <w:bottom w:w="0" w:type="dxa"/>
            <w:right w:w="108" w:type="dxa"/>
          </w:tblCellMar>
        </w:tblPrEx>
        <w:trPr>
          <w:cantSplit/>
          <w:trHeight w:val="523"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方正仿宋_GBK" w:hAnsi="Calibri" w:eastAsia="方正仿宋_GBK"/>
                <w:color w:val="000000"/>
                <w:sz w:val="18"/>
                <w:szCs w:val="18"/>
              </w:rPr>
            </w:pPr>
          </w:p>
        </w:tc>
        <w:tc>
          <w:tcPr>
            <w:tcW w:w="0" w:type="auto"/>
            <w:tcBorders>
              <w:top w:val="nil"/>
              <w:left w:val="nil"/>
              <w:bottom w:val="single" w:color="auto" w:sz="4" w:space="0"/>
              <w:right w:val="nil"/>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hAnsi="Calibri" w:eastAsia="方正仿宋_GBK"/>
                <w:color w:val="000000"/>
                <w:sz w:val="18"/>
                <w:szCs w:val="18"/>
              </w:rPr>
              <w:t>河道管护质量满意度</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满意度指标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90　</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100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20</w:t>
            </w:r>
          </w:p>
        </w:tc>
        <w:tc>
          <w:tcPr>
            <w:tcW w:w="0" w:type="auto"/>
            <w:tcBorders>
              <w:top w:val="nil"/>
              <w:left w:val="single" w:color="auto" w:sz="4" w:space="0"/>
              <w:bottom w:val="single" w:color="auto" w:sz="4" w:space="0"/>
              <w:right w:val="nil"/>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20　</w:t>
            </w:r>
          </w:p>
        </w:tc>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hAnsi="Calibri" w:eastAsia="方正仿宋_GBK"/>
                <w:color w:val="000000"/>
                <w:sz w:val="18"/>
                <w:szCs w:val="18"/>
              </w:rPr>
              <w:t>是</w:t>
            </w:r>
          </w:p>
        </w:tc>
      </w:tr>
      <w:tr>
        <w:tblPrEx>
          <w:tblCellMar>
            <w:top w:w="0" w:type="dxa"/>
            <w:left w:w="108" w:type="dxa"/>
            <w:bottom w:w="0" w:type="dxa"/>
            <w:right w:w="108" w:type="dxa"/>
          </w:tblCellMar>
        </w:tblPrEx>
        <w:trPr>
          <w:trHeight w:val="489"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autoSpaceDN w:val="0"/>
              <w:jc w:val="center"/>
              <w:rPr>
                <w:rFonts w:ascii="方正仿宋_GBK" w:hAnsi="Calibri" w:eastAsia="方正仿宋_GBK"/>
                <w:color w:val="000000"/>
                <w:sz w:val="18"/>
                <w:szCs w:val="18"/>
              </w:rPr>
            </w:pPr>
            <w:r>
              <w:rPr>
                <w:rFonts w:hint="eastAsia" w:ascii="方正仿宋_GBK" w:eastAsia="方正仿宋_GBK"/>
                <w:color w:val="000000"/>
                <w:sz w:val="18"/>
                <w:szCs w:val="18"/>
              </w:rPr>
              <w:t>说明</w:t>
            </w:r>
          </w:p>
        </w:tc>
        <w:tc>
          <w:tcPr>
            <w:tcW w:w="0" w:type="auto"/>
            <w:gridSpan w:val="10"/>
            <w:tcBorders>
              <w:top w:val="single" w:color="auto" w:sz="4" w:space="0"/>
              <w:left w:val="nil"/>
              <w:bottom w:val="single" w:color="auto" w:sz="4" w:space="0"/>
              <w:right w:val="single" w:color="auto" w:sz="4" w:space="0"/>
            </w:tcBorders>
            <w:shd w:val="clear" w:color="auto" w:fill="auto"/>
            <w:vAlign w:val="center"/>
          </w:tcPr>
          <w:p>
            <w:pPr>
              <w:autoSpaceDN w:val="0"/>
              <w:rPr>
                <w:rFonts w:ascii="方正仿宋_GBK" w:hAnsi="Calibri" w:eastAsia="方正仿宋_GBK"/>
                <w:color w:val="000000"/>
                <w:sz w:val="18"/>
                <w:szCs w:val="18"/>
              </w:rPr>
            </w:pPr>
            <w:r>
              <w:rPr>
                <w:rFonts w:hint="eastAsia" w:ascii="方正仿宋_GBK" w:eastAsia="方正仿宋_GBK"/>
                <w:color w:val="000000"/>
                <w:sz w:val="18"/>
                <w:szCs w:val="18"/>
              </w:rPr>
              <w:t>　</w:t>
            </w:r>
          </w:p>
        </w:tc>
      </w:tr>
    </w:tbl>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2、绩效自评报告或案例</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我单位</w:t>
      </w:r>
      <w:r>
        <w:rPr>
          <w:rFonts w:ascii="Times New Roman" w:hAnsi="Times New Roman" w:eastAsia="方正仿宋_GBK" w:cs="Times New Roman"/>
          <w:sz w:val="32"/>
          <w:szCs w:val="32"/>
        </w:rPr>
        <w:t>未委托第三方开展绩效自评。</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（三）重点绩效评价结果</w:t>
      </w:r>
    </w:p>
    <w:p>
      <w:pPr>
        <w:spacing w:line="594"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我单位无区财政局</w:t>
      </w:r>
      <w:r>
        <w:rPr>
          <w:rFonts w:ascii="Times New Roman" w:hAnsi="Times New Roman" w:eastAsia="方正仿宋_GBK" w:cs="Times New Roman"/>
          <w:sz w:val="32"/>
          <w:szCs w:val="32"/>
        </w:rPr>
        <w:t>委托第三方对部门政策或项目开展重点绩效评价。</w:t>
      </w:r>
    </w:p>
    <w:p>
      <w:pPr>
        <w:spacing w:line="594" w:lineRule="exact"/>
        <w:ind w:firstLine="640" w:firstLineChars="200"/>
        <w:rPr>
          <w:rFonts w:ascii="Times New Roman" w:hAnsi="Times New Roman" w:eastAsia="方正仿宋_GBK" w:cs="Times New Roman"/>
          <w:sz w:val="32"/>
          <w:szCs w:val="32"/>
        </w:rPr>
      </w:pPr>
      <w:r>
        <w:rPr>
          <w:rFonts w:hint="eastAsia" w:ascii="方正黑体_GBK" w:hAnsi="方正黑体_GBK" w:eastAsia="方正黑体_GBK" w:cs="方正黑体_GBK"/>
          <w:sz w:val="32"/>
          <w:szCs w:val="32"/>
        </w:rPr>
        <w:t>六、专业名词解释</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（一）财政拨款收入：指本年度从本级财政部门取得的财政拨款，包括一般公共预算财政拨款和政府性基金预算财政拨款。</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（二）事业收入：指事业单位开展专业业务活动及其辅助活动取得的现金流入；事业单位收到的财政专户实际核拨的教育收费等资金在此反映。</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（三）经营收入：指事业单位在专业业务活动及其辅助活动之外开展非独立核算经营活动取得的现金流入。</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其他收入：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用事业基金弥补收支差额：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（六）年初结转和结余：指单位上年结转本年使用的基本支出结转、项目支出结转和结余、经营结余。</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（七）结余分配：指单位按照国家有关规定，缴纳所得税、提取专用基金、转入事业基金等当年结余的分配情况。</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（八）年末结转和结余：指单位结转下年的基本支出结转、项目支出结转和结余、经营结余。</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九）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（十）项目支出：指在基本支出之外为完成特定行政任务和事业发展目标所发生的支出。</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（十一）经营支出：指事业单位在专业业务活动及其辅助活动之外开展非独立核算经营活动发生的支出。</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二）“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三）机关运行经费：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（十四）工资福利支出（支出经济分类科目类级）：反映单位开支的在职职工和编制外长期聘用人员的各类劳动报酬，以及为上述人员缴纳的各项社会保险费等。</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（十五）商品和服务支出（支出经济分类科目类级）：反映单位购买商品和服务的支出（不包括用于购置固定资产的支出、战略性和应急储备支出）。</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（十六）对个人和家庭的补助（支出经济分类科目类级）：反映用于对个人和家庭的补助支出。</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七）其他资本性支出（支出经济分类科目类级）：反映非各级发展与改革部门集中安排的用于购置固定资产、战略性和应急性储备、土地和无形资产，以及构建基础设施、大型修缮和财政支持企业更新改造所发生的支出。</w:t>
      </w:r>
    </w:p>
    <w:p>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七、决算公开联系方式及信息反馈渠道</w:t>
      </w:r>
    </w:p>
    <w:p>
      <w:pPr>
        <w:spacing w:line="594"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本单位决算公开信息反馈和联系方式：陈姝君023-62985591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310D"/>
    <w:rsid w:val="00271B70"/>
    <w:rsid w:val="00C7310D"/>
    <w:rsid w:val="00DA38B3"/>
    <w:rsid w:val="02FF169D"/>
    <w:rsid w:val="09AB3931"/>
    <w:rsid w:val="10BA710A"/>
    <w:rsid w:val="11A025A1"/>
    <w:rsid w:val="139A5BF5"/>
    <w:rsid w:val="145E74CA"/>
    <w:rsid w:val="162B1B39"/>
    <w:rsid w:val="1EFA36A2"/>
    <w:rsid w:val="1F626A89"/>
    <w:rsid w:val="242421A5"/>
    <w:rsid w:val="25457290"/>
    <w:rsid w:val="276A7481"/>
    <w:rsid w:val="29EE7EF6"/>
    <w:rsid w:val="33DD3B56"/>
    <w:rsid w:val="351F18AB"/>
    <w:rsid w:val="394126C3"/>
    <w:rsid w:val="3B53405D"/>
    <w:rsid w:val="3CBD29DC"/>
    <w:rsid w:val="41743879"/>
    <w:rsid w:val="43276E4A"/>
    <w:rsid w:val="504F0496"/>
    <w:rsid w:val="540B0342"/>
    <w:rsid w:val="546B16FB"/>
    <w:rsid w:val="582A131B"/>
    <w:rsid w:val="67D143D7"/>
    <w:rsid w:val="7E0335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863</Words>
  <Characters>4925</Characters>
  <Lines>41</Lines>
  <Paragraphs>11</Paragraphs>
  <TotalTime>5</TotalTime>
  <ScaleCrop>false</ScaleCrop>
  <LinksUpToDate>false</LinksUpToDate>
  <CharactersWithSpaces>5777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2021-11-12T09:07:00Z</dcterms:created>
  <dc:creator>Administrator</dc:creator>
  <cp:lastModifiedBy>zoqc</cp:lastModifiedBy>
  <cp:lastPrinted>2021-11-12T09:28:00Z</cp:lastPrinted>
  <dcterms:modified xsi:type="dcterms:W3CDTF">2021-11-23T09:50:04Z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3A041CE3E27A40A89F232C28308C2FEB</vt:lpwstr>
  </property>
</Properties>
</file>