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spacing w:beforeAutospacing="0" w:afterAutospacing="0" w:line="594" w:lineRule="exact"/>
        <w:jc w:val="center"/>
        <w:rPr>
          <w:rFonts w:ascii="方正小标宋_GBK" w:hAnsi="方正小标宋_GBK" w:eastAsia="方正小标宋_GBK" w:cs="方正小标宋_GBK"/>
          <w:sz w:val="44"/>
          <w:szCs w:val="44"/>
          <w:shd w:val="clear" w:color="auto" w:fill="FFFFFF"/>
        </w:rPr>
      </w:pPr>
      <w:bookmarkStart w:id="0" w:name="_GoBack"/>
      <w:r>
        <w:rPr>
          <w:rFonts w:hint="eastAsia" w:ascii="方正小标宋_GBK" w:hAnsi="方正小标宋_GBK" w:eastAsia="方正小标宋_GBK" w:cs="方正小标宋_GBK"/>
          <w:sz w:val="44"/>
          <w:szCs w:val="44"/>
          <w:shd w:val="clear" w:color="auto" w:fill="FFFFFF"/>
        </w:rPr>
        <w:t>中国共产主义青年团重庆市南岸区委员会</w:t>
      </w:r>
    </w:p>
    <w:p>
      <w:pPr>
        <w:pStyle w:val="11"/>
        <w:spacing w:beforeAutospacing="0" w:afterAutospacing="0"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（本级）</w:t>
      </w:r>
    </w:p>
    <w:p>
      <w:pPr>
        <w:pStyle w:val="11"/>
        <w:spacing w:beforeAutospacing="0" w:afterAutospacing="0" w:line="594" w:lineRule="exact"/>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2020年度部门决算情况说明</w:t>
      </w:r>
    </w:p>
    <w:bookmarkEnd w:id="0"/>
    <w:p>
      <w:pPr>
        <w:pStyle w:val="11"/>
        <w:spacing w:beforeAutospacing="0" w:afterAutospacing="0" w:line="594" w:lineRule="exact"/>
        <w:jc w:val="center"/>
        <w:rPr>
          <w:rFonts w:ascii="方正小标宋_GBK" w:hAnsi="方正小标宋_GBK" w:eastAsia="方正小标宋_GBK" w:cs="方正小标宋_GBK"/>
          <w:sz w:val="32"/>
          <w:szCs w:val="32"/>
          <w:shd w:val="clear" w:color="auto" w:fill="FFFFFF"/>
        </w:rPr>
      </w:pPr>
    </w:p>
    <w:p>
      <w:pPr>
        <w:pStyle w:val="11"/>
        <w:widowControl w:val="0"/>
        <w:numPr>
          <w:ilvl w:val="0"/>
          <w:numId w:val="1"/>
        </w:numPr>
        <w:spacing w:beforeAutospacing="0" w:afterAutospacing="0" w:line="594" w:lineRule="exact"/>
        <w:ind w:firstLine="640" w:firstLineChars="200"/>
        <w:rPr>
          <w:rStyle w:val="14"/>
          <w:rFonts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部门基本情况</w:t>
      </w:r>
    </w:p>
    <w:p>
      <w:pPr>
        <w:pStyle w:val="11"/>
        <w:widowControl w:val="0"/>
        <w:spacing w:beforeAutospacing="0" w:afterAutospacing="0" w:line="594" w:lineRule="exact"/>
        <w:ind w:firstLine="640" w:firstLineChars="200"/>
        <w:rPr>
          <w:rStyle w:val="14"/>
          <w:rFonts w:ascii="方正黑体_GBK" w:hAnsi="方正黑体_GBK" w:eastAsia="方正黑体_GBK" w:cs="方正黑体_GBK"/>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（一）职能职责</w:t>
      </w:r>
    </w:p>
    <w:p>
      <w:pPr>
        <w:pStyle w:val="11"/>
        <w:widowControl w:val="0"/>
        <w:spacing w:beforeAutospacing="0" w:afterAutospacing="0" w:line="594"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lang w:eastAsia="zh-CN"/>
        </w:rPr>
        <w:t>中国共产主义青年团是中国共产党领导的先进青年的群团组织</w:t>
      </w:r>
      <w:r>
        <w:rPr>
          <w:rFonts w:hint="eastAsia" w:ascii="Times New Roman" w:hAnsi="Times New Roman" w:eastAsia="方正仿宋_GBK" w:cs="方正仿宋_GBK"/>
          <w:sz w:val="32"/>
          <w:szCs w:val="32"/>
          <w:shd w:val="clear" w:color="auto" w:fill="FFFFFF"/>
        </w:rPr>
        <w:t>，是中国共产党联系青年群众的桥梁和纽带，也是中国共产党的助手和后备军。共青团的基本职能是：组织青年、引导青年、服务青年、维护青少年权益。我委的主要职责包括：指导全区共青团组织发展和团员队伍管理、教育工作；培养、树立、宣传全区各条战线上的各类优秀青年典型；负责组织指导全区共青团和青少年工作的宣传报道，宣传党的方针、政策；指导全区团组织围绕提高青年的思想道德素质、文化技术素质开展工作；领导和指导全区青联和少先队工作、非公经济组织和社会组织工作；负责全区青年志愿者工作；指导全区少先队工作，组织开展各种形式的有利于少年儿童成长的活动；维护青少年合法权益；加强政策理论研究，开展青年思想动态、工作状况等调查，及时为市委、团市委决策提出建议。负责全区团的建设，协助党组织选拔、管理和培训团干部。</w:t>
      </w:r>
    </w:p>
    <w:p>
      <w:pPr>
        <w:pStyle w:val="11"/>
        <w:widowControl w:val="0"/>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（二）机构设置</w:t>
      </w:r>
    </w:p>
    <w:p>
      <w:pPr>
        <w:pStyle w:val="11"/>
        <w:widowControl w:val="0"/>
        <w:spacing w:beforeAutospacing="0" w:afterAutospacing="0" w:line="594"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中国共产主义青年团重庆市南岸区委员会机关（以下简称“团区委本级”）核定行政编制人数6人，实有行政编制人员5人，临聘人员2人，内设2个职能科室：办公室、青少年发展与权益维护部。</w:t>
      </w:r>
    </w:p>
    <w:p>
      <w:pPr>
        <w:pStyle w:val="11"/>
        <w:widowControl w:val="0"/>
        <w:spacing w:beforeAutospacing="0" w:afterAutospacing="0" w:line="594" w:lineRule="exact"/>
        <w:ind w:firstLine="640" w:firstLineChars="200"/>
        <w:rPr>
          <w:rStyle w:val="14"/>
          <w:rFonts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（三）单位构成</w:t>
      </w:r>
    </w:p>
    <w:p>
      <w:pPr>
        <w:pStyle w:val="11"/>
        <w:widowControl w:val="0"/>
        <w:spacing w:beforeAutospacing="0" w:afterAutospacing="0" w:line="594" w:lineRule="exact"/>
        <w:ind w:firstLine="640" w:firstLineChars="200"/>
        <w:rPr>
          <w:sz w:val="32"/>
          <w:szCs w:val="32"/>
        </w:rPr>
      </w:pPr>
      <w:r>
        <w:rPr>
          <w:rFonts w:hint="eastAsia" w:ascii="Times New Roman" w:hAnsi="Times New Roman" w:eastAsia="方正仿宋_GBK" w:cs="方正仿宋_GBK"/>
          <w:sz w:val="32"/>
          <w:szCs w:val="32"/>
          <w:shd w:val="clear" w:color="auto" w:fill="FFFFFF"/>
        </w:rPr>
        <w:t>从预算单位构成看，团区委本级为二级预算单位，无下级预算单位。</w:t>
      </w:r>
    </w:p>
    <w:p>
      <w:pPr>
        <w:pStyle w:val="11"/>
        <w:widowControl w:val="0"/>
        <w:numPr>
          <w:ilvl w:val="0"/>
          <w:numId w:val="1"/>
        </w:numPr>
        <w:spacing w:beforeAutospacing="0" w:afterAutospacing="0" w:line="594" w:lineRule="exact"/>
        <w:ind w:firstLine="640" w:firstLineChars="200"/>
        <w:rPr>
          <w:rStyle w:val="14"/>
          <w:rFonts w:ascii="方正黑体_GBK" w:hAnsi="方正黑体_GBK" w:eastAsia="方正黑体_GBK" w:cs="方正黑体_GBK"/>
          <w:b w:val="0"/>
          <w:bCs/>
          <w:sz w:val="32"/>
          <w:szCs w:val="32"/>
          <w:shd w:val="clear" w:color="auto" w:fill="FFFFFF"/>
        </w:rPr>
      </w:pPr>
      <w:r>
        <w:rPr>
          <w:rStyle w:val="14"/>
          <w:rFonts w:hint="eastAsia" w:ascii="方正黑体_GBK" w:hAnsi="方正黑体_GBK" w:eastAsia="方正黑体_GBK" w:cs="方正黑体_GBK"/>
          <w:b w:val="0"/>
          <w:bCs/>
          <w:sz w:val="32"/>
          <w:szCs w:val="32"/>
          <w:shd w:val="clear" w:color="auto" w:fill="FFFFFF"/>
        </w:rPr>
        <w:t>部门决算情况说明</w:t>
      </w:r>
    </w:p>
    <w:p>
      <w:pPr>
        <w:pStyle w:val="11"/>
        <w:widowControl w:val="0"/>
        <w:spacing w:beforeAutospacing="0" w:afterAutospacing="0" w:line="594" w:lineRule="exact"/>
        <w:ind w:firstLine="640" w:firstLineChars="200"/>
        <w:rPr>
          <w:rStyle w:val="14"/>
          <w:rFonts w:ascii="方正楷体_GBK" w:hAnsi="方正楷体_GBK" w:eastAsia="方正楷体_GBK" w:cs="方正楷体_GBK"/>
          <w:b w:val="0"/>
          <w:bCs/>
          <w:sz w:val="32"/>
          <w:szCs w:val="32"/>
          <w:shd w:val="clear" w:color="auto" w:fill="FFFFFF"/>
        </w:rPr>
      </w:pPr>
      <w:r>
        <w:rPr>
          <w:rStyle w:val="14"/>
          <w:rFonts w:hint="eastAsia" w:ascii="方正楷体_GBK" w:hAnsi="方正楷体_GBK" w:eastAsia="方正楷体_GBK" w:cs="方正楷体_GBK"/>
          <w:b w:val="0"/>
          <w:bCs/>
          <w:sz w:val="32"/>
          <w:szCs w:val="32"/>
          <w:shd w:val="clear" w:color="auto" w:fill="FFFFFF"/>
        </w:rPr>
        <w:t>（一）收入支出决算总体情况说明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shd w:val="clear" w:color="auto" w:fill="FFFFFF"/>
        </w:rPr>
      </w:pPr>
      <w:r>
        <w:rPr>
          <w:rStyle w:val="14"/>
          <w:rFonts w:hint="eastAsia" w:ascii="Times New Roman" w:hAnsi="Times New Roman" w:eastAsia="方正仿宋_GBK" w:cs="方正仿宋_GBK"/>
          <w:sz w:val="32"/>
          <w:szCs w:val="32"/>
          <w:shd w:val="clear" w:color="auto" w:fill="FFFFFF"/>
        </w:rPr>
        <w:t>1.总体情况</w:t>
      </w:r>
      <w:r>
        <w:rPr>
          <w:rFonts w:hint="eastAsia" w:ascii="Times New Roman" w:hAnsi="Times New Roman" w:eastAsia="方正仿宋_GBK" w:cs="方正仿宋_GBK"/>
          <w:sz w:val="32"/>
          <w:szCs w:val="32"/>
          <w:shd w:val="clear" w:color="auto" w:fill="FFFFFF"/>
        </w:rPr>
        <w:t>。2020年度收入总计529.06万元，支出总计529.06万元。收支较上年决算数减少60.73万元，下降10.3%，主要原因是增加人员经费29万元、西部计划志愿者经费37.92万元，减少青创嘉年华活动经费98万元、南岸区青少年事业发展资金27万元、中国青年创新创业社区建设等项目经费2.46万元。</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Times New Roman" w:hAnsi="Times New Roman" w:eastAsia="方正仿宋_GBK" w:cs="方正仿宋_GBK"/>
          <w:sz w:val="32"/>
          <w:szCs w:val="32"/>
          <w:shd w:val="clear" w:color="auto" w:fill="FFFFFF"/>
        </w:rPr>
        <w:t>2.收入情况。</w:t>
      </w:r>
      <w:r>
        <w:rPr>
          <w:rFonts w:hint="eastAsia" w:ascii="Times New Roman" w:hAnsi="Times New Roman" w:eastAsia="方正仿宋_GBK" w:cs="方正仿宋_GBK"/>
          <w:sz w:val="32"/>
          <w:szCs w:val="32"/>
          <w:shd w:val="clear" w:color="auto" w:fill="FFFFFF"/>
        </w:rPr>
        <w:t>2020年度收入合计529.06万元，较上年决算数减少59.46万元，下降10.1%，主要原因是增加人员经费29万元、西部计划志愿者经费37.92万元，减少了青创嘉年华活动经费98万元、南岸区青少年事业发展资金27万元、中国青年创新创业社区建设等项目经费2.46万元，本年收入下降60.73万元，其中上年包含了结转结余人员经费1.27万元，故较上年决算数减少59.46万元。其中：财政拨款收入529.06万元，占100%；事业收入0.00万元，占0%；经营收入0.00万元，占0%；其他收入0.00万元，占0%。此外，使用非财政拨款结余0.00万元，年初结转和结余0.00万元。</w:t>
      </w:r>
    </w:p>
    <w:p>
      <w:pPr>
        <w:pStyle w:val="11"/>
        <w:spacing w:beforeAutospacing="0" w:afterAutospacing="0" w:line="594" w:lineRule="exact"/>
        <w:ind w:firstLine="640" w:firstLineChars="200"/>
        <w:rPr>
          <w:rFonts w:ascii="Times New Roman" w:hAnsi="Times New Roman" w:eastAsia="方正仿宋_GBK" w:cs="方正仿宋_GBK"/>
          <w:color w:val="FF0000"/>
          <w:sz w:val="32"/>
          <w:szCs w:val="32"/>
          <w:shd w:val="clear" w:color="auto" w:fill="FFFF00"/>
        </w:rPr>
      </w:pPr>
      <w:r>
        <w:rPr>
          <w:rStyle w:val="14"/>
          <w:rFonts w:hint="eastAsia" w:ascii="Times New Roman" w:hAnsi="Times New Roman" w:eastAsia="方正仿宋_GBK" w:cs="方正仿宋_GBK"/>
          <w:sz w:val="32"/>
          <w:szCs w:val="32"/>
          <w:shd w:val="clear" w:color="auto" w:fill="FFFFFF"/>
        </w:rPr>
        <w:t>3.支出情况。</w:t>
      </w:r>
      <w:r>
        <w:rPr>
          <w:rFonts w:hint="eastAsia" w:ascii="Times New Roman" w:hAnsi="Times New Roman" w:eastAsia="方正仿宋_GBK" w:cs="方正仿宋_GBK"/>
          <w:sz w:val="32"/>
          <w:szCs w:val="32"/>
          <w:shd w:val="clear" w:color="auto" w:fill="FFFFFF"/>
        </w:rPr>
        <w:t>2020年度支出合计529.06万元，较上年决算数减少60.73万元，下降10.3%，主要原因是增加人员经费29万元、西部计划志愿者经费37.92万元，减少了青创嘉年华活动经费98万元、南岸区青少年事业发展资金27万元、中国青年创新创业社区建设等项目经费2.46万元。其中：基本支出113.20万元，占21.4%；项目支出415.85万元，占78.6%。</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Times New Roman" w:hAnsi="Times New Roman" w:eastAsia="方正仿宋_GBK" w:cs="方正仿宋_GBK"/>
          <w:sz w:val="32"/>
          <w:szCs w:val="32"/>
          <w:shd w:val="clear" w:color="auto" w:fill="FFFFFF"/>
        </w:rPr>
        <w:t>4.结转结余情况。</w:t>
      </w:r>
      <w:r>
        <w:rPr>
          <w:rFonts w:hint="eastAsia" w:ascii="Times New Roman" w:hAnsi="Times New Roman" w:eastAsia="方正仿宋_GBK" w:cs="方正仿宋_GBK"/>
          <w:sz w:val="32"/>
          <w:szCs w:val="32"/>
          <w:shd w:val="clear" w:color="auto" w:fill="FFFFFF"/>
        </w:rPr>
        <w:t>2020年度年末结转和结余0.00万元，较上年决算数增加0.00万元，增长0%。</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（二）财政拨款收入支出决算总体情况说明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2020年度财政拨款收入529.06万元，财政拨款支出529.06万元。与2019年相比，财政拨款收入减少59.46万元，下降10.1%，财政拨款支出减少60.73万元，下降10.3%。主要原因是增加人员经费29万元、西部计划志愿者经费37.92万元，减少青创嘉年华活动经费98万元、南岸区青少年事业发展资金27万元、中国青年创新创业社区建设等项目经费2.46万元。收入支出差异1.27万元，主要系2019年度结转结余1.27万元。</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（三）一般公共预算财政拨款支出决算情况说明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shd w:val="clear" w:color="auto" w:fill="FFFFFF"/>
        </w:rPr>
      </w:pPr>
      <w:r>
        <w:rPr>
          <w:rStyle w:val="14"/>
          <w:rFonts w:hint="eastAsia" w:ascii="Times New Roman" w:hAnsi="Times New Roman" w:eastAsia="方正仿宋_GBK" w:cs="方正仿宋_GBK"/>
          <w:sz w:val="32"/>
          <w:szCs w:val="32"/>
          <w:shd w:val="clear" w:color="auto" w:fill="FFFFFF"/>
        </w:rPr>
        <w:t>1.收入情况。</w:t>
      </w:r>
      <w:r>
        <w:rPr>
          <w:rFonts w:hint="eastAsia" w:ascii="Times New Roman" w:hAnsi="Times New Roman" w:eastAsia="方正仿宋_GBK" w:cs="方正仿宋_GBK"/>
          <w:sz w:val="32"/>
          <w:szCs w:val="32"/>
          <w:shd w:val="clear" w:color="auto" w:fill="FFFFFF"/>
        </w:rPr>
        <w:t>2020年度一般公共预算财政拨款收入529.06万元，较上年决算数减少59.46万元，下降10.1%。主要原因是增加人员经费29万元、西部计划志愿者经费37.92万元，减少了青创嘉年华活动经费98万元、南岸区青少年事业发展资金27万元、中国青年创新创业社区建设等项目经费2.46万元。较年初预算数增加76.10万元，增长16.8%。主要原因是基本支出减少10.96万元，项目经费增加87.06万元，其中南岸区青少年事业发展资金减少25万元，西部计划志愿者增加86.51万元，群体事业发展专项资金青少年事业发展资金等项目经费增加25.54万元。此外，年初财政拨款结转和结余0.00万元。</w:t>
      </w:r>
    </w:p>
    <w:p>
      <w:pPr>
        <w:pStyle w:val="11"/>
        <w:spacing w:beforeAutospacing="0" w:afterAutospacing="0" w:line="594" w:lineRule="exact"/>
        <w:ind w:firstLine="640" w:firstLineChars="200"/>
        <w:rPr>
          <w:rFonts w:ascii="Times New Roman" w:hAnsi="Times New Roman" w:eastAsia="方正仿宋_GBK" w:cs="方正仿宋_GBK"/>
          <w:sz w:val="32"/>
          <w:szCs w:val="32"/>
          <w:shd w:val="clear" w:color="auto" w:fill="FFFFFF"/>
        </w:rPr>
      </w:pPr>
      <w:r>
        <w:rPr>
          <w:rStyle w:val="14"/>
          <w:rFonts w:hint="eastAsia" w:ascii="Times New Roman" w:hAnsi="Times New Roman" w:eastAsia="方正仿宋_GBK" w:cs="方正仿宋_GBK"/>
          <w:sz w:val="32"/>
          <w:szCs w:val="32"/>
          <w:shd w:val="clear" w:color="auto" w:fill="FFFFFF"/>
        </w:rPr>
        <w:t>2.支出情况。</w:t>
      </w:r>
      <w:r>
        <w:rPr>
          <w:rFonts w:hint="eastAsia" w:ascii="Times New Roman" w:hAnsi="Times New Roman" w:eastAsia="方正仿宋_GBK" w:cs="方正仿宋_GBK"/>
          <w:sz w:val="32"/>
          <w:szCs w:val="32"/>
          <w:shd w:val="clear" w:color="auto" w:fill="FFFFFF"/>
        </w:rPr>
        <w:t>2020年度一般公共预算财政拨款支出529.06万元，较上年决算数减少60.73万元，下降10.3%。主要原因是增加人员经费29万元，增加了西部计划志愿者经费37.92万元，减少了青创嘉年华活动经费98万元，减少了南岸区青少年事业发展资金27万元。较年初预算数增加76.10万元，增长16.8%。主要原因是基本支出减少了10.96万元，项目经费增加87.06万元。</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Times New Roman" w:hAnsi="Times New Roman" w:eastAsia="方正仿宋_GBK" w:cs="方正仿宋_GBK"/>
          <w:sz w:val="32"/>
          <w:szCs w:val="32"/>
          <w:shd w:val="clear" w:color="auto" w:fill="FFFFFF"/>
        </w:rPr>
        <w:t>3.结转结余情况。</w:t>
      </w:r>
      <w:r>
        <w:rPr>
          <w:rFonts w:hint="eastAsia" w:ascii="Times New Roman" w:hAnsi="Times New Roman" w:eastAsia="方正仿宋_GBK" w:cs="方正仿宋_GBK"/>
          <w:sz w:val="32"/>
          <w:szCs w:val="32"/>
          <w:shd w:val="clear" w:color="auto" w:fill="FFFFFF"/>
        </w:rPr>
        <w:t>2020年度年末一般公共预算财政拨款结转和结余0.00万元，较上年决算数增加0.00万元，增长0%。</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Times New Roman" w:hAnsi="Times New Roman" w:eastAsia="方正仿宋_GBK" w:cs="方正仿宋_GBK"/>
          <w:sz w:val="32"/>
          <w:szCs w:val="32"/>
          <w:shd w:val="clear" w:color="auto" w:fill="FFFFFF"/>
        </w:rPr>
        <w:t>4.比较情况</w:t>
      </w:r>
      <w:r>
        <w:rPr>
          <w:rFonts w:hint="eastAsia" w:ascii="Times New Roman" w:hAnsi="Times New Roman" w:eastAsia="方正仿宋_GBK" w:cs="方正仿宋_GBK"/>
          <w:sz w:val="32"/>
          <w:szCs w:val="32"/>
          <w:shd w:val="clear" w:color="auto" w:fill="FFFFFF"/>
        </w:rPr>
        <w:t>。本部门2020年度一般公共预算财政拨款支出主要用于以下几个方面：</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（1）一般公共服务支出512.30万元，占96.8%，较年初预算数增加77.26万元，增长17.8%，主要原因是人员经费及公用经费减少9.79万元，项目经费增加87.06万元。</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（2）社会保障与就业支出7.75万元，占1.5%，较年初预算数减少1.13万元，下降12.7%，主要原因是根据南岸干调函（2020）第013号，本年减少1人，相关社会保障与就业支出减少1.13万元。</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（3）卫生健康支出4.26万元，占0.8%，较年初预算数减少0.34万元，下降7.4%，主要原因是根据南岸干调函（2020）第013号，本年减少1人，相关卫生健康支出减少0.34万元。</w:t>
      </w:r>
    </w:p>
    <w:p>
      <w:pPr>
        <w:pStyle w:val="11"/>
        <w:spacing w:beforeAutospacing="0" w:afterAutospacing="0" w:line="594"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（4）住房保障支出4.75万元，占0.9%，较年初预算数增加0.31万元，增长7%，主要原因是预算调整增加住房公积金0.31万元。</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（四）一般公共预算财政拨款基本支出决算情况说明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2020年度一般公共财政拨款基本支出113.20万元。其中：人员经费79.77万元，较上年决算数增加27.13万元，增长51.5%，主要原因是人员经费增加。</w:t>
      </w:r>
      <w:r>
        <w:rPr>
          <w:rFonts w:hint="eastAsia" w:ascii="方正仿宋_GBK" w:hAnsi="方正仿宋_GBK" w:eastAsia="方正仿宋_GBK" w:cs="方正仿宋_GBK"/>
          <w:sz w:val="32"/>
          <w:szCs w:val="32"/>
        </w:rPr>
        <w:t>人员经费用途主要包括基本工资、津贴补贴、奖金、伙食补助、社会保障与就业支出等。</w:t>
      </w:r>
      <w:r>
        <w:rPr>
          <w:rFonts w:hint="eastAsia" w:ascii="Times New Roman" w:hAnsi="Times New Roman" w:eastAsia="方正仿宋_GBK" w:cs="方正仿宋_GBK"/>
          <w:sz w:val="32"/>
          <w:szCs w:val="32"/>
          <w:shd w:val="clear" w:color="auto" w:fill="FFFFFF"/>
        </w:rPr>
        <w:t>公用经费33.43万元，较上年决算数增加1.95万元，增长6.2%，主要原因是增加了办公经费1.95万元。公用经费用途主要包括支付办公费、印刷费、咨询费等。</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（五）政府性基金预算收支决算情况说明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shd w:val="clear" w:color="auto" w:fill="FFFFFF"/>
        </w:rPr>
      </w:pPr>
      <w:r>
        <w:rPr>
          <w:rFonts w:hint="eastAsia" w:ascii="Times New Roman" w:hAnsi="Times New Roman" w:eastAsia="方正仿宋_GBK" w:cs="方正仿宋_GBK"/>
          <w:sz w:val="32"/>
          <w:szCs w:val="32"/>
          <w:shd w:val="clear" w:color="auto" w:fill="FFFFFF"/>
        </w:rPr>
        <w:t>本部门2020年度无政府性基金预算财政拨款收支。</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（六）国有资本经营预算财政拨款支出决算情况说明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本部门2020年度无国有资本经营预算财政拨款支出。</w:t>
      </w:r>
    </w:p>
    <w:p>
      <w:pPr>
        <w:pStyle w:val="11"/>
        <w:spacing w:beforeAutospacing="0" w:afterAutospacing="0" w:line="594" w:lineRule="exact"/>
        <w:ind w:firstLine="640" w:firstLineChars="200"/>
        <w:rPr>
          <w:rFonts w:ascii="方正黑体_GBK" w:hAnsi="方正黑体_GBK" w:eastAsia="方正黑体_GBK" w:cs="方正黑体_GBK"/>
          <w:bCs/>
          <w:sz w:val="32"/>
          <w:szCs w:val="32"/>
        </w:rPr>
      </w:pPr>
      <w:r>
        <w:rPr>
          <w:rStyle w:val="14"/>
          <w:rFonts w:hint="eastAsia" w:ascii="方正黑体_GBK" w:hAnsi="方正黑体_GBK" w:eastAsia="方正黑体_GBK" w:cs="方正黑体_GBK"/>
          <w:b w:val="0"/>
          <w:bCs/>
          <w:sz w:val="32"/>
          <w:szCs w:val="32"/>
          <w:shd w:val="clear" w:color="auto" w:fill="FFFFFF"/>
        </w:rPr>
        <w:t>三、“三公”经费情况说明</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（一）“三公”经费支出总体情况说明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2020年度“三公”经费支出共计0.11万元，较年初预算数减少1.89万元，下降94.5%，主要原因是认真贯彻落实中央八项规定精神，从严控制三公经费。较上年支出数减少1.15万元，下降91.3%，主要原因是根据工作安排，今年未安排人员因公出国出境。</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（二）“三公”经费分项支出情况</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2020年度本部门因公出国（境）费用0.00万元，本单位2020年度未发生因公出国（境）费用支出。费用支出较年初预算数增加0.00万元，增长0%，主要原因是本单位2020年度未发生因公出国（境）费用支出。较上年支出数减少1.26万元，下降100%，主要原因是本单位2020年度未发生因公出国（境）费用支出。</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车购置费0.00万元，本单位2020年度未发生公务车购置费支出。费用支出较年初预算数增加0.00万元，增长0%，主要原因是本单位2020年度未发生公务车购置费支出。较上年支出数增加0.00万元，增长0%，主要原因是本单位2020年度未发生公务车购置费支出。</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车运行维护费0.00万元，本单位2020年度未发生公务车运行维护费支出。费用支出较年初预算数增加0.00万元，增长0%，本单位2020年度未发生公务车运行维护费支出。较上年支出数增加0.00万元，增长0%，本单位2020年度未发生公务车运行维护费支出。</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公务接待费0.11万元，主要用于接待“走进重庆筑梦双城”行动来南岸暑期实践优秀大学生发生接待费用1065元。费用支出较年初预算数减少1.89万元，下降94.5%，主要原因是强化公务接待支出管理，减少了公务接待费支出。较上年支出数增加0.11万元，主要原因是作为“走进重庆 筑梦双城”活动承办方，负责对接联系，安排实践相关事宜，实际发生接待相关费用。</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（三）“三公”经费实物量情况</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2020年度本部门因公出国（境）共计0个团组，0人；公务用车购置0辆，公务车保有量为0辆；国内公务接待1批次22人，其中：国内外事接待0批次，0人；国（境）外公务接待0批次，0人。2020年本部门人均接待费48.41元，车均购置费0.00万元，车均维护费0.00万元。</w:t>
      </w:r>
    </w:p>
    <w:p>
      <w:pPr>
        <w:pStyle w:val="11"/>
        <w:spacing w:beforeAutospacing="0" w:afterAutospacing="0" w:line="594" w:lineRule="exact"/>
        <w:ind w:firstLine="640" w:firstLineChars="200"/>
        <w:rPr>
          <w:rFonts w:ascii="方正黑体_GBK" w:hAnsi="方正黑体_GBK" w:eastAsia="方正黑体_GBK" w:cs="方正黑体_GBK"/>
          <w:bCs/>
          <w:sz w:val="32"/>
          <w:szCs w:val="32"/>
        </w:rPr>
      </w:pPr>
      <w:r>
        <w:rPr>
          <w:rStyle w:val="14"/>
          <w:rFonts w:hint="eastAsia" w:ascii="方正黑体_GBK" w:hAnsi="方正黑体_GBK" w:eastAsia="方正黑体_GBK" w:cs="方正黑体_GBK"/>
          <w:b w:val="0"/>
          <w:bCs/>
          <w:sz w:val="32"/>
          <w:szCs w:val="32"/>
          <w:shd w:val="clear" w:color="auto" w:fill="FFFFFF"/>
        </w:rPr>
        <w:t>四、其他需要说明的事项</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（一）机关运行经费情况说明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2020年度本部门机关运行经费支出33.43万元，机关运行经费主要用于开支办公费、印刷费、咨询费、差旅费等。机关运行经费较上年决算数增加1.95万元，增长6.2%，主要原因是增加了办公经费。</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年度会议费支出0.58万元，较上年决算数减少0.07万元，下降10.8%，主要原因是本年会议次数减少，会议费减少0.07万元。本年度培训费支出2.30万元，较上年决算数减少2.90万元，下降55.8%，主要原因是本年团区委机关安排的培训次数减少。</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（二）国有资产占用情况说明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截至2020年12月31日，本部门共有车辆0辆，其中，副部（省）级及以上领导用车0辆、主要领导干部用车0辆、机要通信用车0辆、应急保障用车0辆、执法执勤用车0辆，特种专业技术用车0辆，离退休干部用车0辆，其他用车0辆。单价50万元（含）以上通用设备0台（套），单价100万元（含）以上专用设备0台（套）。</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（三）政府采购支出情况说明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2020年度我单位未发生政府采购事项，无相关经费支出。</w:t>
      </w:r>
    </w:p>
    <w:p>
      <w:pPr>
        <w:pStyle w:val="11"/>
        <w:spacing w:beforeAutospacing="0" w:afterAutospacing="0" w:line="594" w:lineRule="exact"/>
        <w:ind w:firstLine="640" w:firstLineChars="200"/>
        <w:rPr>
          <w:rFonts w:ascii="方正黑体_GBK" w:hAnsi="方正黑体_GBK" w:eastAsia="方正黑体_GBK" w:cs="方正黑体_GBK"/>
          <w:bCs/>
          <w:sz w:val="32"/>
          <w:szCs w:val="32"/>
        </w:rPr>
      </w:pPr>
      <w:r>
        <w:rPr>
          <w:rStyle w:val="14"/>
          <w:rFonts w:hint="eastAsia" w:ascii="方正黑体_GBK" w:hAnsi="方正黑体_GBK" w:eastAsia="方正黑体_GBK" w:cs="方正黑体_GBK"/>
          <w:b w:val="0"/>
          <w:bCs/>
          <w:sz w:val="32"/>
          <w:szCs w:val="32"/>
          <w:shd w:val="clear" w:color="auto" w:fill="FFFFFF"/>
        </w:rPr>
        <w:t>五、预算绩效管理情况说明</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（一）预算绩效管理工作开展情况</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根据预算绩效管理要求，本部门对4个项目开展了绩效自评，其中，以填报目标自评表形式开展自评4项，涉及资金326.54万元。从评价情况来看，各项目实施情况较好，资金执行率较高，服务对象满意度较高。</w:t>
      </w:r>
    </w:p>
    <w:p>
      <w:pPr>
        <w:pStyle w:val="11"/>
        <w:spacing w:beforeAutospacing="0" w:afterAutospacing="0" w:line="594" w:lineRule="exact"/>
        <w:ind w:firstLine="640" w:firstLineChars="200"/>
        <w:rPr>
          <w:rFonts w:ascii="方正楷体_GBK" w:hAnsi="方正楷体_GBK" w:eastAsia="方正楷体_GBK" w:cs="方正楷体_GBK"/>
          <w:bCs/>
          <w:sz w:val="32"/>
          <w:szCs w:val="32"/>
        </w:rPr>
      </w:pPr>
      <w:r>
        <w:rPr>
          <w:rStyle w:val="14"/>
          <w:rFonts w:hint="eastAsia" w:ascii="方正楷体_GBK" w:hAnsi="方正楷体_GBK" w:eastAsia="方正楷体_GBK" w:cs="方正楷体_GBK"/>
          <w:b w:val="0"/>
          <w:bCs/>
          <w:sz w:val="32"/>
          <w:szCs w:val="32"/>
          <w:shd w:val="clear" w:color="auto" w:fill="FFFFFF"/>
        </w:rPr>
        <w:t>（二）绩效自评结果</w:t>
      </w:r>
    </w:p>
    <w:p>
      <w:pPr>
        <w:pStyle w:val="11"/>
        <w:spacing w:beforeAutospacing="0" w:afterAutospacing="0" w:line="594" w:lineRule="exact"/>
        <w:ind w:firstLine="640" w:firstLineChars="200"/>
        <w:rPr>
          <w:rStyle w:val="14"/>
          <w:rFonts w:ascii="Times New Roman" w:hAnsi="Times New Roman" w:eastAsia="方正仿宋_GBK" w:cs="方正仿宋_GBK"/>
          <w:sz w:val="32"/>
          <w:szCs w:val="32"/>
          <w:shd w:val="clear" w:color="auto" w:fill="FFFFFF"/>
        </w:rPr>
      </w:pPr>
      <w:r>
        <w:rPr>
          <w:rStyle w:val="14"/>
          <w:rFonts w:hint="eastAsia" w:ascii="Times New Roman" w:hAnsi="Times New Roman" w:eastAsia="方正仿宋_GBK" w:cs="方正仿宋_GBK"/>
          <w:sz w:val="32"/>
          <w:szCs w:val="32"/>
          <w:shd w:val="clear" w:color="auto" w:fill="FFFFFF"/>
        </w:rPr>
        <w:t>1.绩效自评表</w:t>
      </w:r>
    </w:p>
    <w:p>
      <w:pPr>
        <w:rPr>
          <w:rStyle w:val="14"/>
          <w:rFonts w:ascii="Times New Roman" w:hAnsi="Times New Roman" w:eastAsia="方正仿宋_GBK" w:cs="方正仿宋_GBK"/>
          <w:sz w:val="32"/>
          <w:szCs w:val="32"/>
          <w:shd w:val="clear" w:color="auto" w:fill="FFFFFF"/>
        </w:rPr>
      </w:pPr>
      <w:r>
        <w:rPr>
          <w:rStyle w:val="14"/>
          <w:rFonts w:hint="eastAsia" w:ascii="Times New Roman" w:hAnsi="Times New Roman" w:eastAsia="方正仿宋_GBK" w:cs="方正仿宋_GBK"/>
          <w:sz w:val="32"/>
          <w:szCs w:val="32"/>
          <w:shd w:val="clear" w:color="auto" w:fill="FFFFFF"/>
        </w:rPr>
        <w:br w:type="page"/>
      </w:r>
    </w:p>
    <w:tbl>
      <w:tblPr>
        <w:tblStyle w:val="12"/>
        <w:tblW w:w="9239" w:type="dxa"/>
        <w:jc w:val="center"/>
        <w:tblLayout w:type="fixed"/>
        <w:tblCellMar>
          <w:top w:w="0" w:type="dxa"/>
          <w:left w:w="108" w:type="dxa"/>
          <w:bottom w:w="0" w:type="dxa"/>
          <w:right w:w="108" w:type="dxa"/>
        </w:tblCellMar>
      </w:tblPr>
      <w:tblGrid>
        <w:gridCol w:w="1089"/>
        <w:gridCol w:w="1012"/>
        <w:gridCol w:w="238"/>
        <w:gridCol w:w="875"/>
        <w:gridCol w:w="250"/>
        <w:gridCol w:w="787"/>
        <w:gridCol w:w="825"/>
        <w:gridCol w:w="963"/>
        <w:gridCol w:w="937"/>
        <w:gridCol w:w="475"/>
        <w:gridCol w:w="850"/>
        <w:gridCol w:w="938"/>
      </w:tblGrid>
      <w:tr>
        <w:tblPrEx>
          <w:tblCellMar>
            <w:top w:w="0" w:type="dxa"/>
            <w:left w:w="108" w:type="dxa"/>
            <w:bottom w:w="0" w:type="dxa"/>
            <w:right w:w="108" w:type="dxa"/>
          </w:tblCellMar>
        </w:tblPrEx>
        <w:trPr>
          <w:trHeight w:val="601" w:hRule="atLeast"/>
          <w:jc w:val="center"/>
        </w:trPr>
        <w:tc>
          <w:tcPr>
            <w:tcW w:w="9239" w:type="dxa"/>
            <w:gridSpan w:val="12"/>
            <w:tcBorders>
              <w:top w:val="nil"/>
              <w:left w:val="nil"/>
              <w:bottom w:val="single" w:color="auto" w:sz="4" w:space="0"/>
              <w:right w:val="nil"/>
            </w:tcBorders>
            <w:shd w:val="clear" w:color="auto" w:fill="auto"/>
            <w:vAlign w:val="center"/>
          </w:tcPr>
          <w:p>
            <w:pPr>
              <w:jc w:val="center"/>
              <w:textAlignment w:val="center"/>
              <w:rPr>
                <w:rFonts w:ascii="方正小标宋_GBK" w:hAnsi="Calibri" w:eastAsia="方正小标宋_GBK"/>
                <w:color w:val="000000"/>
                <w:sz w:val="36"/>
                <w:szCs w:val="36"/>
              </w:rPr>
            </w:pPr>
            <w:r>
              <w:rPr>
                <w:rFonts w:hint="eastAsia" w:ascii="宋体" w:hAnsi="宋体" w:eastAsia="宋体" w:cs="宋体"/>
                <w:b/>
                <w:color w:val="000000"/>
                <w:sz w:val="32"/>
                <w:szCs w:val="32"/>
              </w:rPr>
              <w:t>2020年预算项目绩效目标自评表</w:t>
            </w:r>
          </w:p>
        </w:tc>
      </w:tr>
      <w:tr>
        <w:tblPrEx>
          <w:tblCellMar>
            <w:top w:w="0" w:type="dxa"/>
            <w:left w:w="108" w:type="dxa"/>
            <w:bottom w:w="0" w:type="dxa"/>
            <w:right w:w="108" w:type="dxa"/>
          </w:tblCellMar>
        </w:tblPrEx>
        <w:trPr>
          <w:trHeight w:val="601" w:hRule="atLeast"/>
          <w:jc w:val="center"/>
        </w:trPr>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项目名称</w:t>
            </w:r>
          </w:p>
        </w:tc>
        <w:tc>
          <w:tcPr>
            <w:tcW w:w="39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西部计划志愿者保险费</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实施单位</w:t>
            </w:r>
          </w:p>
        </w:tc>
        <w:tc>
          <w:tcPr>
            <w:tcW w:w="3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中国共产主义青年团重庆市南岸区委员会</w:t>
            </w:r>
          </w:p>
        </w:tc>
      </w:tr>
      <w:tr>
        <w:tblPrEx>
          <w:tblCellMar>
            <w:top w:w="0" w:type="dxa"/>
            <w:left w:w="108" w:type="dxa"/>
            <w:bottom w:w="0" w:type="dxa"/>
            <w:right w:w="108" w:type="dxa"/>
          </w:tblCellMar>
        </w:tblPrEx>
        <w:trPr>
          <w:trHeight w:val="601" w:hRule="atLeast"/>
          <w:jc w:val="center"/>
        </w:trPr>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一级项目编码</w:t>
            </w:r>
          </w:p>
        </w:tc>
        <w:tc>
          <w:tcPr>
            <w:tcW w:w="39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2020B1031</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一级项目名称</w:t>
            </w:r>
          </w:p>
        </w:tc>
        <w:tc>
          <w:tcPr>
            <w:tcW w:w="3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专项活动</w:t>
            </w:r>
          </w:p>
        </w:tc>
      </w:tr>
      <w:tr>
        <w:tblPrEx>
          <w:tblCellMar>
            <w:top w:w="0" w:type="dxa"/>
            <w:left w:w="108" w:type="dxa"/>
            <w:bottom w:w="0" w:type="dxa"/>
            <w:right w:w="108" w:type="dxa"/>
          </w:tblCellMar>
        </w:tblPrEx>
        <w:trPr>
          <w:cantSplit/>
          <w:trHeight w:val="601" w:hRule="atLeast"/>
          <w:jc w:val="center"/>
        </w:trPr>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主管部门</w:t>
            </w:r>
          </w:p>
        </w:tc>
        <w:tc>
          <w:tcPr>
            <w:tcW w:w="3987"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中国共产主义青年团重庆市南岸区委员会</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归口科室</w:t>
            </w:r>
          </w:p>
        </w:tc>
        <w:tc>
          <w:tcPr>
            <w:tcW w:w="3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行财科</w:t>
            </w:r>
          </w:p>
        </w:tc>
      </w:tr>
      <w:tr>
        <w:tblPrEx>
          <w:tblCellMar>
            <w:top w:w="0" w:type="dxa"/>
            <w:left w:w="108" w:type="dxa"/>
            <w:bottom w:w="0" w:type="dxa"/>
            <w:right w:w="108" w:type="dxa"/>
          </w:tblCellMar>
        </w:tblPrEx>
        <w:trPr>
          <w:cantSplit/>
          <w:trHeight w:val="601" w:hRule="atLeast"/>
          <w:jc w:val="center"/>
        </w:trPr>
        <w:tc>
          <w:tcPr>
            <w:tcW w:w="1089"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项目预算执行情况（万元）</w:t>
            </w:r>
          </w:p>
        </w:tc>
        <w:tc>
          <w:tcPr>
            <w:tcW w:w="212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全年预算数（A）</w:t>
            </w:r>
          </w:p>
        </w:tc>
        <w:tc>
          <w:tcPr>
            <w:tcW w:w="282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调整预算数（B）</w:t>
            </w:r>
          </w:p>
        </w:tc>
        <w:tc>
          <w:tcPr>
            <w:tcW w:w="3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全年执行数（C）</w:t>
            </w:r>
          </w:p>
        </w:tc>
      </w:tr>
      <w:tr>
        <w:tblPrEx>
          <w:tblCellMar>
            <w:top w:w="0" w:type="dxa"/>
            <w:left w:w="108" w:type="dxa"/>
            <w:bottom w:w="0" w:type="dxa"/>
            <w:right w:w="108" w:type="dxa"/>
          </w:tblCellMar>
        </w:tblPrEx>
        <w:trPr>
          <w:cantSplit/>
          <w:trHeight w:val="566" w:hRule="atLeast"/>
          <w:jc w:val="center"/>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color w:val="000000"/>
                <w:sz w:val="18"/>
                <w:szCs w:val="18"/>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总量</w:t>
            </w: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99</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总量</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96.2</w:t>
            </w: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总量</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96.2</w:t>
            </w:r>
          </w:p>
        </w:tc>
      </w:tr>
      <w:tr>
        <w:tblPrEx>
          <w:tblCellMar>
            <w:top w:w="0" w:type="dxa"/>
            <w:left w:w="108" w:type="dxa"/>
            <w:bottom w:w="0" w:type="dxa"/>
            <w:right w:w="108" w:type="dxa"/>
          </w:tblCellMar>
        </w:tblPrEx>
        <w:trPr>
          <w:cantSplit/>
          <w:trHeight w:val="601" w:hRule="atLeast"/>
          <w:jc w:val="center"/>
        </w:trPr>
        <w:tc>
          <w:tcPr>
            <w:tcW w:w="10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012"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其中：财政资金</w:t>
            </w:r>
          </w:p>
        </w:tc>
        <w:tc>
          <w:tcPr>
            <w:tcW w:w="1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99.00</w:t>
            </w:r>
          </w:p>
        </w:tc>
        <w:tc>
          <w:tcPr>
            <w:tcW w:w="103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其中：财政资金</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96.2</w:t>
            </w:r>
          </w:p>
        </w:tc>
        <w:tc>
          <w:tcPr>
            <w:tcW w:w="14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其中：财政资金</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96.2</w:t>
            </w:r>
          </w:p>
        </w:tc>
      </w:tr>
      <w:tr>
        <w:tblPrEx>
          <w:tblCellMar>
            <w:top w:w="0" w:type="dxa"/>
            <w:left w:w="108" w:type="dxa"/>
            <w:bottom w:w="0" w:type="dxa"/>
            <w:right w:w="108" w:type="dxa"/>
          </w:tblCellMar>
        </w:tblPrEx>
        <w:trPr>
          <w:cantSplit/>
          <w:trHeight w:val="1352" w:hRule="atLeast"/>
          <w:jc w:val="center"/>
        </w:trPr>
        <w:tc>
          <w:tcPr>
            <w:tcW w:w="1089"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年度总体目标</w:t>
            </w:r>
          </w:p>
        </w:tc>
        <w:tc>
          <w:tcPr>
            <w:tcW w:w="31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年初设定目标</w:t>
            </w:r>
          </w:p>
        </w:tc>
        <w:tc>
          <w:tcPr>
            <w:tcW w:w="3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调整绩效目标</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全年目标实际完成情况</w:t>
            </w:r>
          </w:p>
        </w:tc>
      </w:tr>
      <w:tr>
        <w:tblPrEx>
          <w:tblCellMar>
            <w:top w:w="0" w:type="dxa"/>
            <w:left w:w="108" w:type="dxa"/>
            <w:bottom w:w="0" w:type="dxa"/>
            <w:right w:w="108" w:type="dxa"/>
          </w:tblCellMar>
        </w:tblPrEx>
        <w:trPr>
          <w:cantSplit/>
          <w:trHeight w:val="601" w:hRule="atLeast"/>
          <w:jc w:val="center"/>
        </w:trPr>
        <w:tc>
          <w:tcPr>
            <w:tcW w:w="10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316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按西部计划志愿者实施方案的要求，每月按时为全区全国计划项目西部计划志愿者缴纳保险，年底完成全年缴纳工作。</w:t>
            </w:r>
          </w:p>
        </w:tc>
        <w:tc>
          <w:tcPr>
            <w:tcW w:w="32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无</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已按时为全区西部计划志愿者发放生活补贴和缴纳保险，全年已保质保量的完成缴纳工作，为全区西部计划志愿者做好生活保障。同时积极组织开展各类志愿服务活动，营造良好的西部计划志愿服务氛围。</w:t>
            </w:r>
          </w:p>
        </w:tc>
      </w:tr>
      <w:tr>
        <w:tblPrEx>
          <w:tblCellMar>
            <w:top w:w="0" w:type="dxa"/>
            <w:left w:w="108" w:type="dxa"/>
            <w:bottom w:w="0" w:type="dxa"/>
            <w:right w:w="108" w:type="dxa"/>
          </w:tblCellMar>
        </w:tblPrEx>
        <w:trPr>
          <w:cantSplit/>
          <w:trHeight w:val="523" w:hRule="atLeast"/>
          <w:jc w:val="center"/>
        </w:trPr>
        <w:tc>
          <w:tcPr>
            <w:tcW w:w="1089" w:type="dxa"/>
            <w:vMerge w:val="restart"/>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绩效指标</w:t>
            </w: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指标名称</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年度指标值</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调整后指标值（未调不填）</w:t>
            </w: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本阶段目标值</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本阶段实际完成</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本阶段完成比例</w:t>
            </w: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权重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自评得分</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审核得分</w:t>
            </w:r>
          </w:p>
        </w:tc>
      </w:tr>
      <w:tr>
        <w:tblPrEx>
          <w:tblCellMar>
            <w:top w:w="0" w:type="dxa"/>
            <w:left w:w="108" w:type="dxa"/>
            <w:bottom w:w="0" w:type="dxa"/>
            <w:right w:w="108" w:type="dxa"/>
          </w:tblCellMar>
        </w:tblPrEx>
        <w:trPr>
          <w:cantSplit/>
          <w:trHeight w:val="523" w:hRule="atLeast"/>
          <w:jc w:val="center"/>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color w:val="000000"/>
                <w:sz w:val="18"/>
                <w:szCs w:val="18"/>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为全区西部计划志愿者工作生活做好保障</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 w:val="18"/>
                <w:szCs w:val="18"/>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20</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r>
      <w:tr>
        <w:tblPrEx>
          <w:tblCellMar>
            <w:top w:w="0" w:type="dxa"/>
            <w:left w:w="108" w:type="dxa"/>
            <w:bottom w:w="0" w:type="dxa"/>
            <w:right w:w="108" w:type="dxa"/>
          </w:tblCellMar>
        </w:tblPrEx>
        <w:trPr>
          <w:cantSplit/>
          <w:trHeight w:val="523" w:hRule="atLeast"/>
          <w:jc w:val="center"/>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color w:val="000000"/>
                <w:sz w:val="18"/>
                <w:szCs w:val="18"/>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每月按时发放全区西部计划志愿者生活补贴</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 w:val="18"/>
                <w:szCs w:val="18"/>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20</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r>
      <w:tr>
        <w:tblPrEx>
          <w:tblCellMar>
            <w:top w:w="0" w:type="dxa"/>
            <w:left w:w="108" w:type="dxa"/>
            <w:bottom w:w="0" w:type="dxa"/>
            <w:right w:w="108" w:type="dxa"/>
          </w:tblCellMar>
        </w:tblPrEx>
        <w:trPr>
          <w:cantSplit/>
          <w:trHeight w:val="523" w:hRule="atLeast"/>
          <w:jc w:val="center"/>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color w:val="000000"/>
                <w:sz w:val="18"/>
                <w:szCs w:val="18"/>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营造良好的西部计划志愿服务氛围，树立好其“奉献、有爱、互助、进步”的志愿服务。</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 w:val="18"/>
                <w:szCs w:val="18"/>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15</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15</w:t>
            </w:r>
          </w:p>
        </w:tc>
      </w:tr>
      <w:tr>
        <w:tblPrEx>
          <w:tblCellMar>
            <w:top w:w="0" w:type="dxa"/>
            <w:left w:w="108" w:type="dxa"/>
            <w:bottom w:w="0" w:type="dxa"/>
            <w:right w:w="108" w:type="dxa"/>
          </w:tblCellMar>
        </w:tblPrEx>
        <w:trPr>
          <w:cantSplit/>
          <w:trHeight w:val="523" w:hRule="atLeast"/>
          <w:jc w:val="center"/>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color w:val="000000"/>
                <w:sz w:val="18"/>
                <w:szCs w:val="18"/>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组织西部计划志愿者参与生态环保建设，形成“河小青、洁小青”生态环保品牌服务核心力，为区生态环境工作助力。</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 w:val="18"/>
                <w:szCs w:val="18"/>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15</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15</w:t>
            </w:r>
          </w:p>
        </w:tc>
      </w:tr>
      <w:tr>
        <w:tblPrEx>
          <w:tblCellMar>
            <w:top w:w="0" w:type="dxa"/>
            <w:left w:w="108" w:type="dxa"/>
            <w:bottom w:w="0" w:type="dxa"/>
            <w:right w:w="108" w:type="dxa"/>
          </w:tblCellMar>
        </w:tblPrEx>
        <w:trPr>
          <w:cantSplit/>
          <w:trHeight w:val="523" w:hRule="atLeast"/>
          <w:jc w:val="center"/>
        </w:trPr>
        <w:tc>
          <w:tcPr>
            <w:tcW w:w="1089"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方正仿宋_GBK" w:hAnsi="方正仿宋_GBK" w:eastAsia="方正仿宋_GBK" w:cs="方正仿宋_GBK"/>
                <w:color w:val="000000"/>
                <w:sz w:val="18"/>
                <w:szCs w:val="18"/>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全区全国计划项目西部计划志愿者满意度100%</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color w:val="000000"/>
                <w:sz w:val="18"/>
                <w:szCs w:val="18"/>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100%</w:t>
            </w: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20</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w:t>
            </w:r>
          </w:p>
        </w:tc>
      </w:tr>
      <w:tr>
        <w:tblPrEx>
          <w:tblCellMar>
            <w:top w:w="0" w:type="dxa"/>
            <w:left w:w="108" w:type="dxa"/>
            <w:bottom w:w="0" w:type="dxa"/>
            <w:right w:w="108" w:type="dxa"/>
          </w:tblCellMar>
        </w:tblPrEx>
        <w:trPr>
          <w:trHeight w:val="755" w:hRule="atLeast"/>
          <w:jc w:val="center"/>
        </w:trPr>
        <w:tc>
          <w:tcPr>
            <w:tcW w:w="108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方正仿宋_GBK" w:hAnsi="方正仿宋_GBK" w:eastAsia="方正仿宋_GBK" w:cs="方正仿宋_GBK"/>
                <w:color w:val="000000"/>
                <w:sz w:val="18"/>
                <w:szCs w:val="18"/>
              </w:rPr>
            </w:pPr>
          </w:p>
        </w:tc>
        <w:tc>
          <w:tcPr>
            <w:tcW w:w="125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资金执行率指标</w:t>
            </w:r>
          </w:p>
        </w:tc>
        <w:tc>
          <w:tcPr>
            <w:tcW w:w="112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100%</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方正仿宋_GBK" w:hAnsi="方正仿宋_GBK" w:eastAsia="方正仿宋_GBK" w:cs="方正仿宋_GBK"/>
                <w:sz w:val="18"/>
                <w:szCs w:val="18"/>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100%</w:t>
            </w:r>
          </w:p>
        </w:tc>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100%</w:t>
            </w:r>
          </w:p>
        </w:tc>
        <w:tc>
          <w:tcPr>
            <w:tcW w:w="937"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100%</w:t>
            </w:r>
          </w:p>
        </w:tc>
        <w:tc>
          <w:tcPr>
            <w:tcW w:w="475"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10</w:t>
            </w:r>
          </w:p>
        </w:tc>
        <w:tc>
          <w:tcPr>
            <w:tcW w:w="938" w:type="dxa"/>
            <w:tcBorders>
              <w:top w:val="single" w:color="auto" w:sz="4" w:space="0"/>
              <w:left w:val="single" w:color="auto" w:sz="4" w:space="0"/>
              <w:bottom w:val="single" w:color="auto" w:sz="4" w:space="0"/>
              <w:right w:val="single" w:color="auto" w:sz="4" w:space="0"/>
            </w:tcBorders>
            <w:shd w:val="clear" w:color="auto" w:fill="auto"/>
            <w:vAlign w:val="center"/>
          </w:tcPr>
          <w:p>
            <w:pP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color w:val="000000"/>
                <w:sz w:val="18"/>
                <w:szCs w:val="18"/>
              </w:rPr>
              <w:t>10</w:t>
            </w:r>
          </w:p>
        </w:tc>
      </w:tr>
    </w:tbl>
    <w:p>
      <w:pPr>
        <w:pStyle w:val="17"/>
        <w:widowControl w:val="0"/>
        <w:numPr>
          <w:ilvl w:val="0"/>
          <w:numId w:val="2"/>
        </w:numPr>
        <w:autoSpaceDE w:val="0"/>
        <w:spacing w:beforeAutospacing="0" w:afterAutospacing="0" w:line="594" w:lineRule="exact"/>
        <w:rPr>
          <w:rFonts w:hint="default" w:ascii="Times New Roman" w:hAnsi="Times New Roman" w:eastAsia="方正仿宋_GBK" w:cs="仿宋_GB2312"/>
          <w:b/>
          <w:bCs/>
          <w:sz w:val="32"/>
          <w:szCs w:val="32"/>
        </w:rPr>
      </w:pPr>
      <w:r>
        <w:rPr>
          <w:rFonts w:ascii="Times New Roman" w:hAnsi="Times New Roman" w:eastAsia="方正仿宋_GBK" w:cs="仿宋_GB2312"/>
          <w:b/>
          <w:bCs/>
          <w:sz w:val="32"/>
          <w:szCs w:val="32"/>
        </w:rPr>
        <w:t>绩效自评报告或案例</w:t>
      </w:r>
    </w:p>
    <w:p>
      <w:pPr>
        <w:pStyle w:val="17"/>
        <w:widowControl w:val="0"/>
        <w:autoSpaceDE w:val="0"/>
        <w:spacing w:beforeAutospacing="0" w:afterAutospacing="0" w:line="594" w:lineRule="exact"/>
        <w:rPr>
          <w:rFonts w:hint="default" w:ascii="Times New Roman" w:hAnsi="Times New Roman" w:eastAsia="方正仿宋_GBK" w:cs="仿宋_GB2312"/>
          <w:sz w:val="32"/>
          <w:szCs w:val="32"/>
        </w:rPr>
      </w:pPr>
      <w:r>
        <w:rPr>
          <w:rFonts w:ascii="Times New Roman" w:hAnsi="Times New Roman" w:eastAsia="方正仿宋_GBK" w:cs="仿宋_GB2312"/>
          <w:sz w:val="32"/>
          <w:szCs w:val="32"/>
        </w:rPr>
        <w:t xml:space="preserve">        本单位无自评报告或案例</w:t>
      </w:r>
    </w:p>
    <w:p>
      <w:pPr>
        <w:pStyle w:val="17"/>
        <w:widowControl w:val="0"/>
        <w:numPr>
          <w:ilvl w:val="0"/>
          <w:numId w:val="3"/>
        </w:numPr>
        <w:autoSpaceDE w:val="0"/>
        <w:spacing w:beforeAutospacing="0" w:afterAutospacing="0" w:line="594" w:lineRule="exact"/>
        <w:ind w:left="728"/>
        <w:rPr>
          <w:rFonts w:hint="default" w:ascii="方正楷体_GBK" w:hAnsi="方正楷体_GBK" w:eastAsia="方正楷体_GBK" w:cs="方正楷体_GBK"/>
          <w:sz w:val="32"/>
          <w:szCs w:val="32"/>
        </w:rPr>
      </w:pPr>
      <w:r>
        <w:rPr>
          <w:rFonts w:ascii="方正楷体_GBK" w:hAnsi="方正楷体_GBK" w:eastAsia="方正楷体_GBK" w:cs="方正楷体_GBK"/>
          <w:sz w:val="32"/>
          <w:szCs w:val="32"/>
        </w:rPr>
        <w:t>重点绩效评价结果</w:t>
      </w:r>
    </w:p>
    <w:p>
      <w:pPr>
        <w:pStyle w:val="17"/>
        <w:widowControl w:val="0"/>
        <w:autoSpaceDE w:val="0"/>
        <w:spacing w:beforeAutospacing="0" w:afterAutospacing="0" w:line="594" w:lineRule="exact"/>
        <w:rPr>
          <w:rStyle w:val="14"/>
          <w:rFonts w:hint="default" w:ascii="方正黑体_GBK" w:hAnsi="方正黑体_GBK" w:eastAsia="方正黑体_GBK" w:cs="方正黑体_GBK"/>
          <w:b w:val="0"/>
          <w:bCs/>
          <w:sz w:val="32"/>
          <w:szCs w:val="32"/>
          <w:shd w:val="clear" w:color="auto" w:fill="FFFFFF"/>
        </w:rPr>
      </w:pPr>
      <w:r>
        <w:rPr>
          <w:rFonts w:ascii="Times New Roman" w:hAnsi="Times New Roman" w:eastAsia="方正仿宋_GBK" w:cs="仿宋_GB2312"/>
          <w:sz w:val="32"/>
          <w:szCs w:val="32"/>
        </w:rPr>
        <w:t xml:space="preserve">        本单位无重点绩效评价结果</w:t>
      </w:r>
    </w:p>
    <w:p>
      <w:pPr>
        <w:pStyle w:val="11"/>
        <w:spacing w:beforeAutospacing="0" w:afterAutospacing="0" w:line="594" w:lineRule="exact"/>
        <w:ind w:firstLine="640" w:firstLineChars="200"/>
        <w:rPr>
          <w:rFonts w:ascii="方正黑体_GBK" w:hAnsi="方正黑体_GBK" w:eastAsia="方正黑体_GBK" w:cs="方正黑体_GBK"/>
          <w:bCs/>
          <w:sz w:val="32"/>
          <w:szCs w:val="32"/>
        </w:rPr>
      </w:pPr>
      <w:r>
        <w:rPr>
          <w:rStyle w:val="14"/>
          <w:rFonts w:hint="eastAsia" w:ascii="方正黑体_GBK" w:hAnsi="方正黑体_GBK" w:eastAsia="方正黑体_GBK" w:cs="方正黑体_GBK"/>
          <w:b w:val="0"/>
          <w:bCs/>
          <w:sz w:val="32"/>
          <w:szCs w:val="32"/>
          <w:shd w:val="clear" w:color="auto" w:fill="FFFFFF"/>
        </w:rPr>
        <w:t>六、专业名词解释</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（一）财政拨款收入</w:t>
      </w:r>
      <w:r>
        <w:rPr>
          <w:rFonts w:hint="eastAsia" w:ascii="方正楷体_GBK" w:hAnsi="方正楷体_GBK" w:eastAsia="方正楷体_GBK" w:cs="方正楷体_GBK"/>
          <w:bCs/>
          <w:sz w:val="32"/>
          <w:szCs w:val="32"/>
          <w:shd w:val="clear" w:color="auto" w:fill="FFFFFF"/>
        </w:rPr>
        <w:t>：</w:t>
      </w:r>
      <w:r>
        <w:rPr>
          <w:rFonts w:hint="eastAsia"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（二）年初结转和结余：</w:t>
      </w:r>
      <w:r>
        <w:rPr>
          <w:rFonts w:hint="eastAsia"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（三）年末结转和结余：</w:t>
      </w:r>
      <w:r>
        <w:rPr>
          <w:rFonts w:hint="eastAsia" w:ascii="Times New Roman" w:hAnsi="Times New Roman" w:eastAsia="方正仿宋_GBK" w:cs="方正仿宋_GBK"/>
          <w:sz w:val="32"/>
          <w:szCs w:val="32"/>
          <w:shd w:val="clear" w:color="auto" w:fill="FFFFFF"/>
        </w:rPr>
        <w:t>指单位结转下年的基本支出结转、项目支出结转和结余、经营结余。</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（四）基本支出：</w:t>
      </w:r>
      <w:r>
        <w:rPr>
          <w:rFonts w:hint="eastAsia"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（五）项目支出：</w:t>
      </w:r>
      <w:r>
        <w:rPr>
          <w:rFonts w:hint="eastAsia" w:ascii="Times New Roman" w:hAnsi="Times New Roman" w:eastAsia="方正仿宋_GBK" w:cs="方正仿宋_GBK"/>
          <w:sz w:val="32"/>
          <w:szCs w:val="32"/>
          <w:shd w:val="clear" w:color="auto" w:fill="FFFFFF"/>
        </w:rPr>
        <w:t>指在基本支出之外为完成特定行政任务和事业发展目标所发生的支出。</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（六）“三公”经费：</w:t>
      </w:r>
      <w:r>
        <w:rPr>
          <w:rFonts w:hint="eastAsia"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（七）机关运行经费：</w:t>
      </w:r>
      <w:r>
        <w:rPr>
          <w:rFonts w:hint="eastAsia"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（八）工资福利支出（支出经济分类科目类级）：</w:t>
      </w:r>
      <w:r>
        <w:rPr>
          <w:rFonts w:hint="eastAsia"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Style w:val="14"/>
          <w:rFonts w:hint="eastAsia" w:ascii="方正楷体_GBK" w:hAnsi="方正楷体_GBK" w:eastAsia="方正楷体_GBK" w:cs="方正楷体_GBK"/>
          <w:b w:val="0"/>
          <w:bCs/>
          <w:sz w:val="32"/>
          <w:szCs w:val="32"/>
          <w:shd w:val="clear" w:color="auto" w:fill="FFFFFF"/>
        </w:rPr>
        <w:t>（九）商品和服务支出（支出经济分类科目类级）</w:t>
      </w:r>
      <w:r>
        <w:rPr>
          <w:rFonts w:hint="eastAsia" w:ascii="方正楷体_GBK" w:hAnsi="方正楷体_GBK" w:eastAsia="方正楷体_GBK" w:cs="方正楷体_GBK"/>
          <w:bCs/>
          <w:sz w:val="32"/>
          <w:szCs w:val="32"/>
          <w:shd w:val="clear" w:color="auto" w:fill="FFFFFF"/>
        </w:rPr>
        <w:t>：</w:t>
      </w:r>
      <w:r>
        <w:rPr>
          <w:rFonts w:hint="eastAsia"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11"/>
        <w:spacing w:beforeAutospacing="0" w:afterAutospacing="0" w:line="594" w:lineRule="exact"/>
        <w:ind w:firstLine="640" w:firstLineChars="200"/>
        <w:rPr>
          <w:rFonts w:ascii="方正黑体_GBK" w:hAnsi="方正黑体_GBK" w:eastAsia="方正黑体_GBK" w:cs="方正黑体_GBK"/>
          <w:bCs/>
          <w:sz w:val="32"/>
          <w:szCs w:val="32"/>
        </w:rPr>
      </w:pPr>
      <w:r>
        <w:rPr>
          <w:rStyle w:val="14"/>
          <w:rFonts w:hint="eastAsia" w:ascii="方正黑体_GBK" w:hAnsi="方正黑体_GBK" w:eastAsia="方正黑体_GBK" w:cs="方正黑体_GBK"/>
          <w:b w:val="0"/>
          <w:bCs/>
          <w:sz w:val="32"/>
          <w:szCs w:val="32"/>
          <w:shd w:val="clear" w:color="auto" w:fill="FFFFFF"/>
        </w:rPr>
        <w:t>七、决算公开联系方式及信息反馈渠道</w:t>
      </w:r>
    </w:p>
    <w:p>
      <w:pPr>
        <w:pStyle w:val="11"/>
        <w:spacing w:beforeAutospacing="0" w:afterAutospacing="0" w:line="594" w:lineRule="exact"/>
        <w:ind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shd w:val="clear" w:color="auto" w:fill="FFFFFF"/>
        </w:rPr>
        <w:t>本单位决算公开信息反馈和联系方式：电话：023-62988721</w:t>
      </w:r>
    </w:p>
    <w:sectPr>
      <w:pgSz w:w="11915" w:h="16851"/>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00"/>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25574"/>
    <w:multiLevelType w:val="singleLevel"/>
    <w:tmpl w:val="B0D25574"/>
    <w:lvl w:ilvl="0" w:tentative="0">
      <w:start w:val="1"/>
      <w:numFmt w:val="chineseCounting"/>
      <w:suff w:val="nothing"/>
      <w:lvlText w:val="%1、"/>
      <w:lvlJc w:val="left"/>
      <w:rPr>
        <w:rFonts w:hint="eastAsia"/>
      </w:rPr>
    </w:lvl>
  </w:abstractNum>
  <w:abstractNum w:abstractNumId="1">
    <w:nsid w:val="C7E8F60A"/>
    <w:multiLevelType w:val="singleLevel"/>
    <w:tmpl w:val="C7E8F60A"/>
    <w:lvl w:ilvl="0" w:tentative="0">
      <w:start w:val="2"/>
      <w:numFmt w:val="decimal"/>
      <w:lvlText w:val="%1."/>
      <w:lvlJc w:val="left"/>
      <w:pPr>
        <w:tabs>
          <w:tab w:val="left" w:pos="312"/>
        </w:tabs>
        <w:ind w:left="728" w:firstLine="0"/>
      </w:pPr>
    </w:lvl>
  </w:abstractNum>
  <w:abstractNum w:abstractNumId="2">
    <w:nsid w:val="46326900"/>
    <w:multiLevelType w:val="singleLevel"/>
    <w:tmpl w:val="4632690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4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ZTk1ZDI4OWE0ZTFmYjZhMGE4OWVjYzAzM2IyMTk4MzgifQ=="/>
  </w:docVars>
  <w:rsids>
    <w:rsidRoot w:val="005D5B2A"/>
    <w:rsid w:val="0001741A"/>
    <w:rsid w:val="0021697D"/>
    <w:rsid w:val="004858FE"/>
    <w:rsid w:val="005D5B2A"/>
    <w:rsid w:val="005E3EF0"/>
    <w:rsid w:val="007832AE"/>
    <w:rsid w:val="00914D06"/>
    <w:rsid w:val="00A44C04"/>
    <w:rsid w:val="00B51A1D"/>
    <w:rsid w:val="00B810F0"/>
    <w:rsid w:val="00BD45CB"/>
    <w:rsid w:val="00FF6257"/>
    <w:rsid w:val="0DBB6A02"/>
    <w:rsid w:val="116648A7"/>
    <w:rsid w:val="16852A46"/>
    <w:rsid w:val="1E9052DC"/>
    <w:rsid w:val="2285376A"/>
    <w:rsid w:val="28ED2712"/>
    <w:rsid w:val="2FE33B95"/>
    <w:rsid w:val="31E61CC1"/>
    <w:rsid w:val="34024D53"/>
    <w:rsid w:val="3CDA1CDD"/>
    <w:rsid w:val="3EBA0EE1"/>
    <w:rsid w:val="4D1445DB"/>
    <w:rsid w:val="51E95022"/>
    <w:rsid w:val="565D5A1C"/>
    <w:rsid w:val="56BA6FCA"/>
    <w:rsid w:val="5AC104D2"/>
    <w:rsid w:val="5AC17427"/>
    <w:rsid w:val="5E007068"/>
    <w:rsid w:val="5EF872CA"/>
    <w:rsid w:val="699C2901"/>
    <w:rsid w:val="7461696B"/>
    <w:rsid w:val="7BDC6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EastAsia" w:hAnsiTheme="minorEastAsia" w:eastAsiaTheme="minorEastAsia"/>
      <w:sz w:val="24"/>
      <w:szCs w:val="24"/>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eastAsia="宋体"/>
      <w:b/>
      <w:kern w:val="44"/>
      <w:sz w:val="48"/>
      <w:szCs w:val="48"/>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b/>
      <w:sz w:val="36"/>
      <w:szCs w:val="36"/>
    </w:rPr>
  </w:style>
  <w:style w:type="paragraph" w:styleId="4">
    <w:name w:val="heading 3"/>
    <w:basedOn w:val="1"/>
    <w:next w:val="1"/>
    <w:semiHidden/>
    <w:unhideWhenUsed/>
    <w:qFormat/>
    <w:uiPriority w:val="0"/>
    <w:pPr>
      <w:spacing w:beforeAutospacing="1" w:afterAutospacing="1"/>
      <w:outlineLvl w:val="2"/>
    </w:pPr>
    <w:rPr>
      <w:rFonts w:hint="eastAsia" w:ascii="宋体" w:hAnsi="宋体" w:eastAsia="宋体"/>
      <w:b/>
      <w:sz w:val="27"/>
      <w:szCs w:val="27"/>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rPr>
  </w:style>
  <w:style w:type="paragraph" w:styleId="6">
    <w:name w:val="heading 5"/>
    <w:basedOn w:val="1"/>
    <w:next w:val="1"/>
    <w:semiHidden/>
    <w:unhideWhenUsed/>
    <w:qFormat/>
    <w:uiPriority w:val="0"/>
    <w:pPr>
      <w:spacing w:beforeAutospacing="1" w:afterAutospacing="1"/>
      <w:outlineLvl w:val="4"/>
    </w:pPr>
    <w:rPr>
      <w:rFonts w:hint="eastAsia" w:ascii="宋体" w:hAnsi="宋体" w:eastAsia="宋体"/>
      <w:b/>
      <w:sz w:val="20"/>
      <w:szCs w:val="20"/>
    </w:rPr>
  </w:style>
  <w:style w:type="paragraph" w:styleId="7">
    <w:name w:val="heading 6"/>
    <w:basedOn w:val="1"/>
    <w:next w:val="1"/>
    <w:semiHidden/>
    <w:unhideWhenUsed/>
    <w:qFormat/>
    <w:uiPriority w:val="0"/>
    <w:pPr>
      <w:spacing w:beforeAutospacing="1" w:afterAutospacing="1"/>
      <w:outlineLvl w:val="5"/>
    </w:pPr>
    <w:rPr>
      <w:rFonts w:hint="eastAsia" w:ascii="宋体" w:hAnsi="宋体" w:eastAsia="宋体"/>
      <w:b/>
      <w:sz w:val="15"/>
      <w:szCs w:val="15"/>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6"/>
    <w:qFormat/>
    <w:uiPriority w:val="0"/>
    <w:pPr>
      <w:tabs>
        <w:tab w:val="center" w:pos="4153"/>
        <w:tab w:val="right" w:pos="8306"/>
      </w:tabs>
      <w:snapToGrid w:val="0"/>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rPr>
  </w:style>
  <w:style w:type="paragraph" w:styleId="11">
    <w:name w:val="Normal (Web)"/>
    <w:basedOn w:val="1"/>
    <w:qFormat/>
    <w:uiPriority w:val="0"/>
    <w:pPr>
      <w:spacing w:beforeAutospacing="1" w:afterAutospacing="1"/>
    </w:pPr>
  </w:style>
  <w:style w:type="character" w:styleId="14">
    <w:name w:val="Strong"/>
    <w:basedOn w:val="13"/>
    <w:qFormat/>
    <w:uiPriority w:val="0"/>
    <w:rPr>
      <w:b/>
    </w:rPr>
  </w:style>
  <w:style w:type="character" w:customStyle="1" w:styleId="15">
    <w:name w:val="页眉 Char"/>
    <w:basedOn w:val="13"/>
    <w:link w:val="9"/>
    <w:qFormat/>
    <w:uiPriority w:val="0"/>
    <w:rPr>
      <w:rFonts w:asciiTheme="minorEastAsia" w:hAnsiTheme="minorEastAsia" w:eastAsiaTheme="minorEastAsia"/>
      <w:sz w:val="18"/>
      <w:szCs w:val="18"/>
    </w:rPr>
  </w:style>
  <w:style w:type="character" w:customStyle="1" w:styleId="16">
    <w:name w:val="页脚 Char"/>
    <w:basedOn w:val="13"/>
    <w:link w:val="8"/>
    <w:qFormat/>
    <w:uiPriority w:val="0"/>
    <w:rPr>
      <w:rFonts w:asciiTheme="minorEastAsia" w:hAnsiTheme="minorEastAsia" w:eastAsiaTheme="minorEastAsia"/>
      <w:sz w:val="18"/>
      <w:szCs w:val="18"/>
    </w:rPr>
  </w:style>
  <w:style w:type="paragraph" w:customStyle="1" w:styleId="17">
    <w:name w:val="普通(网站) Char"/>
    <w:basedOn w:val="1"/>
    <w:qFormat/>
    <w:uiPriority w:val="0"/>
    <w:pPr>
      <w:spacing w:beforeAutospacing="1" w:afterAutospacing="1"/>
    </w:pPr>
    <w:rPr>
      <w:rFonts w:hint="eastAsia" w:ascii="宋体" w:hAnsi="宋体"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904</Words>
  <Characters>5155</Characters>
  <Lines>42</Lines>
  <Paragraphs>12</Paragraphs>
  <TotalTime>12</TotalTime>
  <ScaleCrop>false</ScaleCrop>
  <LinksUpToDate>false</LinksUpToDate>
  <CharactersWithSpaces>6047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2021-11-02T03:35:00Z</dcterms:created>
  <dc:creator>Administrator</dc:creator>
  <cp:lastModifiedBy>L</cp:lastModifiedBy>
  <cp:lastPrinted>2021-11-15T01:33:00Z</cp:lastPrinted>
  <dcterms:modified xsi:type="dcterms:W3CDTF">2023-10-18T02:53:25Z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D63BCA519A0448769086A7114C83362E_12</vt:lpwstr>
  </property>
</Properties>
</file>