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重庆市南岸区归侨侨眷联合会</w:t>
      </w:r>
      <w:r>
        <w:rPr>
          <w:rFonts w:ascii="Times New Roman" w:hAnsi="Times New Roman" w:eastAsia="方正小标宋_GBK" w:cs="Times New Roman"/>
          <w:sz w:val="44"/>
          <w:szCs w:val="44"/>
        </w:rPr>
        <w:t>2020年度</w:t>
      </w:r>
    </w:p>
    <w:p>
      <w:pPr>
        <w:pStyle w:val="6"/>
        <w:shd w:val="clear" w:color="auto" w:fill="FFFFFF"/>
        <w:spacing w:before="0" w:beforeAutospacing="0" w:after="0" w:afterAutospacing="0"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部门决算情况说明</w:t>
      </w:r>
    </w:p>
    <w:p>
      <w:pPr>
        <w:pStyle w:val="6"/>
        <w:shd w:val="clear" w:color="auto" w:fill="FFFFFF"/>
        <w:spacing w:before="0" w:beforeAutospacing="0" w:after="0" w:afterAutospacing="0" w:line="560" w:lineRule="exact"/>
        <w:ind w:firstLine="880" w:firstLineChars="200"/>
        <w:jc w:val="both"/>
        <w:rPr>
          <w:rFonts w:ascii="Times New Roman" w:hAnsi="Times New Roman" w:eastAsia="方正小标宋_GBK" w:cs="Times New Roman"/>
          <w:sz w:val="44"/>
          <w:szCs w:val="44"/>
        </w:rPr>
      </w:pP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eastAsia="方正黑体_GBK" w:cs="Times New Roman"/>
          <w:b w:val="0"/>
          <w:sz w:val="32"/>
          <w:szCs w:val="32"/>
        </w:rPr>
      </w:pPr>
      <w:r>
        <w:rPr>
          <w:rStyle w:val="9"/>
          <w:rFonts w:ascii="Times New Roman" w:hAnsi="Times New Roman" w:eastAsia="方正黑体_GBK" w:cs="Times New Roman"/>
          <w:b w:val="0"/>
          <w:sz w:val="32"/>
          <w:szCs w:val="32"/>
        </w:rPr>
        <w:t>一、部门基本情况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b/>
          <w:sz w:val="32"/>
          <w:szCs w:val="32"/>
        </w:rPr>
        <w:t xml:space="preserve">    （一）职能职责。</w:t>
      </w:r>
      <w:r>
        <w:rPr>
          <w:rFonts w:hint="eastAsia" w:ascii="Times New Roman" w:hAnsi="Times New Roman" w:eastAsia="方正仿宋_GBK" w:cs="Times New Roman"/>
          <w:sz w:val="32"/>
          <w:szCs w:val="32"/>
        </w:rPr>
        <w:t>南岸区归侨侨眷联合会主要职责包括：南岸区归国华侨联合会是南岸区委、区政府领导下的联系广大归侨侨眷、海外侨胞的人民团体，主要职能是：根据《中华全国归国华侨联合会章程》，提出区侨联的工作任务、计划和发展规划。</w:t>
      </w:r>
    </w:p>
    <w:p>
      <w:pPr>
        <w:pStyle w:val="6"/>
        <w:shd w:val="clear" w:color="auto" w:fill="FFFFFF"/>
        <w:spacing w:before="0" w:beforeAutospacing="0" w:after="0" w:afterAutospacing="0" w:line="594"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切实承担引导全区广大归侨侨眷听党话、跟党走的政治任务，把全区广大归侨侨眷广泛地团结在党的周围。二是引导广大归侨侨眷和海外侨胞积极参与和支持南岸区经济建设，积极配合政府吸引利用侨资侨智，做好海外引才工作，积极引荐海外高层次侨界人才。三是发挥侨联组织参政议政的重要作用，参与协商和推荐区人大代表、政协委员中的归侨、侨眷代表和委员，为侨界人大代表、政协委员参加全区政治、经济和社会事务活动，履行政治协商、民主监督的职能做好服务工作。四是发挥侨联组织依法维护侨益的重要作用，重视保护归侨侨眷合法权益和海外侨胞的正当权益，推动《中华人民共和国归侨侨眷权益保护法》的贯彻落实，加强涉侨法律法规的宣传教育，加强困难归侨侨眷帮扶，切实维护海外侨胞来南岸区投资兴业的合法权益。五是协助归侨侨眷和海外侨胞在国内兴办文教卫生和其他社会公益事业。六是密切与海外侨胞及社团的联系，促进乡谊亲情，鼓励他们同居住地人民和睦相处，为居住地的繁荣和发展作出贡献，为促进我国人民与各国人民的友好合作而努力。七是发挥侨联组织参与社会建设的重要作用，强化侨联在社会管理和服务中的职责，深入了解归侨侨眷工作生活状况，特别注意为特困归侨侨眷排忧解难，组织归侨侨眷参与社会治理，共同做好维护社会稳定工作，加强法制宣传，引导归侨侨眷学法遵法守法用法，通过合理渠道理性表达诉求，鼓励海外侨胞积极支持南岸区建设和社会发展。八是加强组织建设，指导和帮助各街镇侨联分会的工作。九是承担区委、区政府交办的其他有关工作。</w:t>
      </w:r>
    </w:p>
    <w:p>
      <w:pPr>
        <w:pStyle w:val="13"/>
        <w:tabs>
          <w:tab w:val="center" w:pos="4153"/>
          <w:tab w:val="left" w:pos="7275"/>
        </w:tabs>
        <w:spacing w:line="600" w:lineRule="exact"/>
        <w:ind w:firstLine="628" w:firstLineChars="196"/>
        <w:rPr>
          <w:rFonts w:ascii="Times New Roman" w:hAnsi="Times New Roman" w:eastAsia="方正仿宋_GBK"/>
          <w:sz w:val="32"/>
          <w:szCs w:val="32"/>
        </w:rPr>
      </w:pPr>
      <w:r>
        <w:rPr>
          <w:rFonts w:ascii="Times New Roman" w:hAnsi="Times New Roman" w:eastAsia="方正仿宋_GBK"/>
          <w:b/>
          <w:sz w:val="32"/>
          <w:szCs w:val="32"/>
        </w:rPr>
        <w:t>（二）机构设置。</w:t>
      </w:r>
      <w:r>
        <w:rPr>
          <w:rFonts w:hint="eastAsia" w:ascii="Times New Roman" w:hAnsi="Times New Roman" w:eastAsia="方正仿宋_GBK"/>
          <w:sz w:val="32"/>
          <w:szCs w:val="32"/>
        </w:rPr>
        <w:t>南岸区归侨侨眷联合会编制人数</w:t>
      </w:r>
      <w:r>
        <w:rPr>
          <w:rFonts w:ascii="Times New Roman" w:hAnsi="Times New Roman" w:eastAsia="方正仿宋_GBK"/>
          <w:sz w:val="32"/>
          <w:szCs w:val="32"/>
        </w:rPr>
        <w:t>2</w:t>
      </w:r>
      <w:r>
        <w:rPr>
          <w:rFonts w:hint="eastAsia" w:ascii="Times New Roman" w:hAnsi="Times New Roman" w:eastAsia="方正仿宋_GBK"/>
          <w:sz w:val="32"/>
          <w:szCs w:val="32"/>
        </w:rPr>
        <w:t>人，年末实有人数</w:t>
      </w:r>
      <w:r>
        <w:rPr>
          <w:rFonts w:ascii="Times New Roman" w:hAnsi="Times New Roman" w:eastAsia="方正仿宋_GBK"/>
          <w:sz w:val="32"/>
          <w:szCs w:val="32"/>
        </w:rPr>
        <w:t>1</w:t>
      </w:r>
      <w:r>
        <w:rPr>
          <w:rFonts w:hint="eastAsia" w:ascii="Times New Roman" w:hAnsi="Times New Roman" w:eastAsia="方正仿宋_GBK"/>
          <w:sz w:val="32"/>
          <w:szCs w:val="32"/>
        </w:rPr>
        <w:t>人，退休人员</w:t>
      </w:r>
      <w:r>
        <w:rPr>
          <w:rFonts w:ascii="Times New Roman" w:hAnsi="Times New Roman" w:eastAsia="方正仿宋_GBK"/>
          <w:sz w:val="32"/>
          <w:szCs w:val="32"/>
        </w:rPr>
        <w:t>1</w:t>
      </w:r>
      <w:r>
        <w:rPr>
          <w:rFonts w:hint="eastAsia" w:ascii="Times New Roman" w:hAnsi="Times New Roman" w:eastAsia="方正仿宋_GBK"/>
          <w:sz w:val="32"/>
          <w:szCs w:val="32"/>
        </w:rPr>
        <w:t>人。</w:t>
      </w:r>
    </w:p>
    <w:p>
      <w:pPr>
        <w:pStyle w:val="13"/>
        <w:tabs>
          <w:tab w:val="center" w:pos="4153"/>
          <w:tab w:val="left" w:pos="7275"/>
        </w:tabs>
        <w:spacing w:line="600" w:lineRule="exact"/>
        <w:ind w:firstLine="628" w:firstLineChars="196"/>
        <w:rPr>
          <w:rFonts w:ascii="方正仿宋_GBK" w:eastAsia="方正仿宋_GBK"/>
          <w:sz w:val="32"/>
          <w:szCs w:val="32"/>
        </w:rPr>
      </w:pPr>
      <w:r>
        <w:rPr>
          <w:rFonts w:ascii="Times New Roman" w:hAnsi="Times New Roman" w:eastAsia="方正仿宋_GBK"/>
          <w:b/>
          <w:sz w:val="32"/>
          <w:szCs w:val="32"/>
        </w:rPr>
        <w:t>（三）单位构成。</w:t>
      </w:r>
      <w:r>
        <w:rPr>
          <w:rFonts w:hint="eastAsia" w:ascii="方正仿宋_GBK" w:eastAsia="方正仿宋_GBK"/>
          <w:sz w:val="32"/>
          <w:szCs w:val="32"/>
        </w:rPr>
        <w:t>从预算单位构成看，无纳入本部门</w:t>
      </w:r>
      <w:r>
        <w:rPr>
          <w:rFonts w:ascii="Times New Roman" w:hAnsi="Times New Roman" w:eastAsia="方正仿宋_GBK"/>
          <w:sz w:val="32"/>
          <w:szCs w:val="32"/>
        </w:rPr>
        <w:t>2020</w:t>
      </w:r>
      <w:r>
        <w:rPr>
          <w:rFonts w:hint="eastAsia" w:ascii="方正仿宋_GBK" w:eastAsia="方正仿宋_GBK"/>
          <w:sz w:val="32"/>
          <w:szCs w:val="32"/>
        </w:rPr>
        <w:t>年度决算编制的二级预算单位。</w:t>
      </w:r>
    </w:p>
    <w:p>
      <w:pPr>
        <w:pStyle w:val="13"/>
        <w:tabs>
          <w:tab w:val="center" w:pos="4153"/>
          <w:tab w:val="left" w:pos="7275"/>
        </w:tabs>
        <w:spacing w:line="600" w:lineRule="exact"/>
        <w:ind w:firstLine="627" w:firstLineChars="196"/>
        <w:rPr>
          <w:rStyle w:val="9"/>
          <w:rFonts w:ascii="Times New Roman" w:hAnsi="Times New Roman" w:eastAsia="方正黑体_GBK"/>
          <w:b w:val="0"/>
        </w:rPr>
      </w:pPr>
      <w:r>
        <w:rPr>
          <w:rStyle w:val="9"/>
          <w:rFonts w:ascii="Times New Roman" w:hAnsi="Times New Roman" w:eastAsia="方正黑体_GBK"/>
          <w:b w:val="0"/>
          <w:sz w:val="32"/>
          <w:szCs w:val="32"/>
        </w:rPr>
        <w:t>二、部门决算情况说明</w:t>
      </w:r>
    </w:p>
    <w:p>
      <w:pPr>
        <w:pStyle w:val="6"/>
        <w:shd w:val="clear" w:color="auto" w:fill="FFFFFF"/>
        <w:spacing w:before="0" w:beforeAutospacing="0" w:after="0" w:afterAutospacing="0" w:line="560" w:lineRule="exact"/>
        <w:ind w:firstLine="640" w:firstLineChars="200"/>
        <w:jc w:val="both"/>
        <w:outlineLvl w:val="0"/>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（一）收入支出决算总体情况说明</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1.总体情况。</w:t>
      </w:r>
      <w:r>
        <w:rPr>
          <w:rFonts w:ascii="Times New Roman" w:hAnsi="Times New Roman" w:eastAsia="方正仿宋_GBK" w:cs="Times New Roman"/>
          <w:sz w:val="32"/>
          <w:szCs w:val="32"/>
        </w:rPr>
        <w:t>2020年度收入总计101.51万元，支出总计101.51万元。收支较上年决算数增加</w:t>
      </w:r>
      <w:r>
        <w:rPr>
          <w:rFonts w:hint="eastAsia" w:ascii="Times New Roman" w:hAnsi="Times New Roman" w:eastAsia="方正仿宋_GBK" w:cs="Times New Roman"/>
          <w:sz w:val="32"/>
          <w:szCs w:val="32"/>
        </w:rPr>
        <w:t>41.98</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香港、澳门同胞联络联谊经费拨款增加</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2.收入情况。</w:t>
      </w:r>
      <w:r>
        <w:rPr>
          <w:rFonts w:ascii="Times New Roman" w:hAnsi="Times New Roman" w:eastAsia="方正仿宋_GBK" w:cs="Times New Roman"/>
          <w:sz w:val="32"/>
          <w:szCs w:val="32"/>
        </w:rPr>
        <w:t>2020年度收入合计101.51万元，较上年决算数增加</w:t>
      </w:r>
      <w:r>
        <w:rPr>
          <w:rFonts w:hint="eastAsia" w:ascii="Times New Roman" w:hAnsi="Times New Roman" w:eastAsia="方正仿宋_GBK" w:cs="Times New Roman"/>
          <w:sz w:val="32"/>
          <w:szCs w:val="32"/>
        </w:rPr>
        <w:t>41.98</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香港、澳门同胞联络联谊经费拨款增加</w:t>
      </w:r>
      <w:r>
        <w:rPr>
          <w:rFonts w:ascii="Times New Roman" w:hAnsi="Times New Roman" w:eastAsia="方正仿宋_GBK" w:cs="Times New Roman"/>
          <w:sz w:val="32"/>
          <w:szCs w:val="32"/>
        </w:rPr>
        <w:t>。其中：财政拨款收入101.51万元，占100.0%。</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3.支出情况。</w:t>
      </w:r>
      <w:r>
        <w:rPr>
          <w:rFonts w:ascii="Times New Roman" w:hAnsi="Times New Roman" w:eastAsia="方正仿宋_GBK" w:cs="Times New Roman"/>
          <w:sz w:val="32"/>
          <w:szCs w:val="32"/>
        </w:rPr>
        <w:t>2020年度支出合计101.51万元，较上年决算数增加</w:t>
      </w:r>
      <w:r>
        <w:rPr>
          <w:rFonts w:hint="eastAsia" w:ascii="Times New Roman" w:hAnsi="Times New Roman" w:eastAsia="方正仿宋_GBK" w:cs="Times New Roman"/>
          <w:sz w:val="32"/>
          <w:szCs w:val="32"/>
        </w:rPr>
        <w:t>41.98</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香港、澳门同胞联络联谊支出增加</w:t>
      </w:r>
      <w:r>
        <w:rPr>
          <w:rFonts w:ascii="Times New Roman" w:hAnsi="Times New Roman" w:eastAsia="方正仿宋_GBK" w:cs="Times New Roman"/>
          <w:sz w:val="32"/>
          <w:szCs w:val="32"/>
        </w:rPr>
        <w:t>。其中：基本支出84.51万元，占</w:t>
      </w:r>
      <w:r>
        <w:rPr>
          <w:rFonts w:hint="eastAsia" w:ascii="Times New Roman" w:hAnsi="Times New Roman" w:eastAsia="方正仿宋_GBK" w:cs="Times New Roman"/>
          <w:sz w:val="32"/>
          <w:szCs w:val="32"/>
        </w:rPr>
        <w:t>83.25</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16.75</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4.结转结余情况。</w:t>
      </w:r>
      <w:r>
        <w:rPr>
          <w:rFonts w:ascii="Times New Roman" w:hAnsi="Times New Roman" w:eastAsia="方正仿宋_GBK" w:cs="Times New Roman"/>
          <w:sz w:val="32"/>
          <w:szCs w:val="32"/>
        </w:rPr>
        <w:t>2020年度年末无结转和结余。</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cs="Times New Roman"/>
        </w:rPr>
      </w:pPr>
      <w:r>
        <w:rPr>
          <w:rStyle w:val="9"/>
          <w:rFonts w:ascii="Times New Roman" w:hAnsi="Times New Roman" w:eastAsia="方正仿宋_GBK" w:cs="Times New Roman"/>
          <w:sz w:val="32"/>
          <w:szCs w:val="32"/>
        </w:rPr>
        <w:t>（二）财政拨款收入支出决算总体情况说明</w:t>
      </w:r>
    </w:p>
    <w:p>
      <w:pPr>
        <w:pStyle w:val="6"/>
        <w:shd w:val="clear" w:color="auto" w:fill="FFFFFF"/>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方正仿宋_GBK" w:cs="Times New Roman"/>
          <w:bCs/>
          <w:sz w:val="32"/>
          <w:szCs w:val="32"/>
        </w:rPr>
        <w:t>2020年度财政拨款收、支总计</w:t>
      </w:r>
      <w:r>
        <w:rPr>
          <w:rFonts w:hint="eastAsia" w:ascii="Times New Roman" w:hAnsi="Times New Roman" w:eastAsia="方正仿宋_GBK" w:cs="Times New Roman"/>
          <w:bCs/>
          <w:sz w:val="32"/>
          <w:szCs w:val="32"/>
          <w:lang w:eastAsia="zh-CN"/>
        </w:rPr>
        <w:t>均为</w:t>
      </w:r>
      <w:r>
        <w:rPr>
          <w:rFonts w:ascii="Times New Roman" w:hAnsi="Times New Roman" w:eastAsia="方正仿宋_GBK" w:cs="Times New Roman"/>
          <w:sz w:val="32"/>
          <w:szCs w:val="32"/>
        </w:rPr>
        <w:t>101.51</w:t>
      </w:r>
      <w:r>
        <w:rPr>
          <w:rFonts w:ascii="Times New Roman" w:hAnsi="Times New Roman" w:eastAsia="方正仿宋_GBK" w:cs="Times New Roman"/>
          <w:bCs/>
          <w:sz w:val="32"/>
          <w:szCs w:val="32"/>
        </w:rPr>
        <w:t>万元。与201</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年相比，财政拨款收、支总计各</w:t>
      </w:r>
      <w:r>
        <w:rPr>
          <w:rFonts w:hint="eastAsia" w:ascii="Times New Roman" w:hAnsi="Times New Roman" w:eastAsia="方正仿宋_GBK" w:cs="Times New Roman"/>
          <w:bCs/>
          <w:sz w:val="32"/>
          <w:szCs w:val="32"/>
        </w:rPr>
        <w:t>增加</w:t>
      </w:r>
      <w:r>
        <w:rPr>
          <w:rFonts w:hint="eastAsia" w:ascii="Times New Roman" w:hAnsi="Times New Roman" w:eastAsia="方正仿宋_GBK" w:cs="Times New Roman"/>
          <w:sz w:val="32"/>
          <w:szCs w:val="32"/>
        </w:rPr>
        <w:t>41.98</w:t>
      </w:r>
      <w:r>
        <w:rPr>
          <w:rFonts w:ascii="Times New Roman" w:hAnsi="Times New Roman" w:eastAsia="方正仿宋_GBK" w:cs="Times New Roman"/>
          <w:bCs/>
          <w:sz w:val="32"/>
          <w:szCs w:val="32"/>
        </w:rPr>
        <w:t>万元，</w:t>
      </w:r>
      <w:r>
        <w:rPr>
          <w:rFonts w:hint="eastAsia" w:ascii="Times New Roman" w:hAnsi="Times New Roman" w:eastAsia="方正仿宋_GBK" w:cs="Times New Roman"/>
          <w:bCs/>
          <w:sz w:val="32"/>
          <w:szCs w:val="32"/>
        </w:rPr>
        <w:t>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香港、澳门同胞联络联谊支出增加</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cs="Times New Roman"/>
        </w:rPr>
      </w:pPr>
      <w:r>
        <w:rPr>
          <w:rStyle w:val="9"/>
          <w:rFonts w:ascii="Times New Roman" w:hAnsi="Times New Roman" w:eastAsia="方正仿宋_GBK" w:cs="Times New Roman"/>
          <w:sz w:val="32"/>
          <w:szCs w:val="32"/>
        </w:rPr>
        <w:t>（三）一般公共预算财政拨款支出决算情况说明</w:t>
      </w:r>
    </w:p>
    <w:p>
      <w:pPr>
        <w:pStyle w:val="6"/>
        <w:shd w:val="clear" w:color="auto" w:fill="FFFFFF"/>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方正仿宋_GBK" w:cs="Times New Roman"/>
          <w:b/>
          <w:sz w:val="32"/>
          <w:szCs w:val="32"/>
        </w:rPr>
        <w:t>1.收入情况。</w:t>
      </w:r>
      <w:r>
        <w:rPr>
          <w:rFonts w:ascii="Times New Roman" w:hAnsi="Times New Roman" w:eastAsia="方正仿宋_GBK" w:cs="Times New Roman"/>
          <w:sz w:val="32"/>
          <w:szCs w:val="32"/>
        </w:rPr>
        <w:t>2020年度一般公共预算财政拨款收入101.51万元，较上年决算数增加</w:t>
      </w:r>
      <w:r>
        <w:rPr>
          <w:rFonts w:hint="eastAsia" w:ascii="Times New Roman" w:hAnsi="Times New Roman" w:eastAsia="方正仿宋_GBK" w:cs="Times New Roman"/>
          <w:sz w:val="32"/>
          <w:szCs w:val="32"/>
        </w:rPr>
        <w:t>41.98万元</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w:t>
      </w:r>
      <w:r>
        <w:rPr>
          <w:rFonts w:ascii="Times New Roman" w:hAnsi="Times New Roman" w:eastAsia="方正仿宋_GBK" w:cs="Times New Roman"/>
          <w:sz w:val="32"/>
          <w:szCs w:val="32"/>
        </w:rPr>
        <w:t>拨款</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减少3.31</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下降3.16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基本一致。</w:t>
      </w:r>
      <w:r>
        <w:rPr>
          <w:rFonts w:ascii="Times New Roman" w:hAnsi="Times New Roman" w:eastAsia="方正仿宋_GBK" w:cs="Times New Roman"/>
          <w:sz w:val="32"/>
          <w:szCs w:val="32"/>
        </w:rPr>
        <w:t>此外，年初财政拨款结转和结余</w:t>
      </w:r>
      <w:r>
        <w:rPr>
          <w:rFonts w:hint="eastAsia" w:ascii="Times New Roman" w:hAnsi="Times New Roman" w:eastAsia="方正仿宋_GBK" w:cs="Times New Roman"/>
          <w:sz w:val="32"/>
          <w:szCs w:val="32"/>
        </w:rPr>
        <w:t xml:space="preserve"> 0</w:t>
      </w:r>
      <w:r>
        <w:rPr>
          <w:rFonts w:ascii="Times New Roman" w:hAnsi="Times New Roman" w:eastAsia="方正仿宋_GBK" w:cs="Times New Roman"/>
          <w:sz w:val="32"/>
          <w:szCs w:val="32"/>
        </w:rPr>
        <w:t>万元。</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2.支出情况。</w:t>
      </w:r>
      <w:r>
        <w:rPr>
          <w:rFonts w:ascii="Times New Roman" w:hAnsi="Times New Roman" w:eastAsia="方正仿宋_GBK" w:cs="Times New Roman"/>
          <w:sz w:val="32"/>
          <w:szCs w:val="32"/>
        </w:rPr>
        <w:t>2020年度一般公共预算财政拨款支出101.51万元，较上年决算数增加</w:t>
      </w:r>
      <w:r>
        <w:rPr>
          <w:rFonts w:hint="eastAsia" w:ascii="Times New Roman" w:hAnsi="Times New Roman" w:eastAsia="方正仿宋_GBK" w:cs="Times New Roman"/>
          <w:sz w:val="32"/>
          <w:szCs w:val="32"/>
        </w:rPr>
        <w:t>41.98</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70.52</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香港、澳门同胞联络联谊支出增加</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减少3.31</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下降3.16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基本一致</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3.结转结余情况。</w:t>
      </w:r>
      <w:r>
        <w:rPr>
          <w:rFonts w:ascii="Times New Roman" w:hAnsi="Times New Roman" w:eastAsia="方正仿宋_GBK" w:cs="Times New Roman"/>
          <w:sz w:val="32"/>
          <w:szCs w:val="32"/>
        </w:rPr>
        <w:t>2020年度年末无结转和结余。</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b/>
          <w:sz w:val="32"/>
          <w:szCs w:val="32"/>
        </w:rPr>
        <w:t>4.比较情况。</w:t>
      </w:r>
      <w:r>
        <w:rPr>
          <w:rFonts w:ascii="Times New Roman" w:hAnsi="Times New Roman" w:eastAsia="方正仿宋_GBK" w:cs="Times New Roman"/>
          <w:sz w:val="32"/>
          <w:szCs w:val="32"/>
        </w:rPr>
        <w:t>本部门2020年度一般公共预算财政拨款支出主要用于以下几个方面：</w:t>
      </w:r>
      <w:r>
        <w:rPr>
          <w:rFonts w:ascii="Times New Roman" w:hAnsi="Times New Roman" w:eastAsia="方正仿宋_GBK" w:cs="Times New Roman"/>
          <w:color w:val="FF0000"/>
          <w:sz w:val="32"/>
          <w:szCs w:val="32"/>
        </w:rPr>
        <w:t xml:space="preserve"> </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（1）一般公共服务支出93.21万元，占</w:t>
      </w:r>
      <w:r>
        <w:rPr>
          <w:rFonts w:hint="eastAsia" w:ascii="Times New Roman" w:hAnsi="Times New Roman" w:eastAsia="方正仿宋_GBK" w:cs="Times New Roman"/>
          <w:sz w:val="32"/>
          <w:szCs w:val="32"/>
        </w:rPr>
        <w:t>91.82</w:t>
      </w:r>
      <w:r>
        <w:rPr>
          <w:rFonts w:ascii="Times New Roman" w:hAnsi="Times New Roman" w:eastAsia="方正仿宋_GBK" w:cs="Times New Roman"/>
          <w:sz w:val="32"/>
          <w:szCs w:val="32"/>
        </w:rPr>
        <w:t xml:space="preserve">%，较年初预算数减少 </w:t>
      </w:r>
      <w:r>
        <w:rPr>
          <w:rFonts w:hint="eastAsia" w:ascii="Times New Roman" w:hAnsi="Times New Roman" w:eastAsia="方正仿宋_GBK" w:cs="Times New Roman"/>
          <w:sz w:val="32"/>
          <w:szCs w:val="32"/>
        </w:rPr>
        <w:t>3.6</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3.71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基本一致</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）社会保障与就业支出5.18万元，占</w:t>
      </w:r>
      <w:r>
        <w:rPr>
          <w:rFonts w:hint="eastAsia" w:ascii="Times New Roman" w:hAnsi="Times New Roman" w:eastAsia="方正仿宋_GBK" w:cs="Times New Roman"/>
          <w:sz w:val="32"/>
          <w:szCs w:val="32"/>
        </w:rPr>
        <w:t>5.1</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0.29</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5.93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基本一致</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）卫生健康支出1.7万元，占</w:t>
      </w:r>
      <w:r>
        <w:rPr>
          <w:rFonts w:hint="eastAsia" w:ascii="Times New Roman" w:hAnsi="Times New Roman" w:eastAsia="方正仿宋_GBK" w:cs="Times New Roman"/>
          <w:sz w:val="32"/>
          <w:szCs w:val="32"/>
        </w:rPr>
        <w:t>1.67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与年初预算一致。</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）住房保障支出1.42万元，占</w:t>
      </w:r>
      <w:r>
        <w:rPr>
          <w:rFonts w:hint="eastAsia" w:ascii="Times New Roman" w:hAnsi="Times New Roman" w:eastAsia="方正仿宋_GBK" w:cs="Times New Roman"/>
          <w:sz w:val="32"/>
          <w:szCs w:val="32"/>
        </w:rPr>
        <w:t>1.41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与年初预算一致。</w:t>
      </w:r>
    </w:p>
    <w:p>
      <w:pPr>
        <w:pStyle w:val="6"/>
        <w:shd w:val="clear" w:color="auto" w:fill="FFFFFF"/>
        <w:spacing w:before="0" w:beforeAutospacing="0" w:after="0" w:afterAutospacing="0" w:line="560" w:lineRule="exact"/>
        <w:ind w:firstLine="640" w:firstLineChars="200"/>
        <w:jc w:val="both"/>
        <w:outlineLvl w:val="0"/>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（四）一般公共预算财政拨款基本支出决算情况说明</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2020年度一般公共财政拨款基本支出101.51万元。其中：人员经费29.44万元，较上年决算数增加</w:t>
      </w:r>
      <w:r>
        <w:rPr>
          <w:rFonts w:hint="eastAsia" w:ascii="Times New Roman" w:hAnsi="Times New Roman" w:eastAsia="方正仿宋_GBK" w:cs="Times New Roman"/>
          <w:sz w:val="32"/>
          <w:szCs w:val="32"/>
        </w:rPr>
        <w:t>4.82</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19.58</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离退休费用增加</w:t>
      </w:r>
      <w:r>
        <w:rPr>
          <w:rFonts w:ascii="Times New Roman" w:hAnsi="Times New Roman" w:eastAsia="方正仿宋_GBK" w:cs="Times New Roman"/>
          <w:sz w:val="32"/>
          <w:szCs w:val="32"/>
        </w:rPr>
        <w:t>。人员经费用途主要包括基本工资、津贴补贴、奖金、社会保障缴费</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。公用经费55.07万元，较上年决算数增加</w:t>
      </w:r>
      <w:r>
        <w:rPr>
          <w:rFonts w:hint="eastAsia" w:ascii="Times New Roman" w:hAnsi="Times New Roman" w:eastAsia="方正仿宋_GBK" w:cs="Times New Roman"/>
          <w:sz w:val="32"/>
          <w:szCs w:val="32"/>
        </w:rPr>
        <w:t>40.36</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274.37</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香港、澳门同胞联络联谊支出增加</w:t>
      </w:r>
      <w:r>
        <w:rPr>
          <w:rFonts w:ascii="Times New Roman" w:hAnsi="Times New Roman" w:eastAsia="方正仿宋_GBK" w:cs="Times New Roman"/>
          <w:sz w:val="32"/>
          <w:szCs w:val="32"/>
        </w:rPr>
        <w:t>。公用经费用途主要包括办公费、印刷费、咨询费、手续费</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cs="Times New Roman"/>
        </w:rPr>
      </w:pPr>
      <w:r>
        <w:rPr>
          <w:rStyle w:val="9"/>
          <w:rFonts w:ascii="Times New Roman" w:hAnsi="Times New Roman" w:eastAsia="方正仿宋_GBK" w:cs="Times New Roman"/>
          <w:sz w:val="32"/>
          <w:szCs w:val="32"/>
        </w:rPr>
        <w:t>（五）政府性基金预算收支决算情况说明</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本部门2020年度无政府性基金预算财政拨款收支。</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cs="Times New Roman"/>
        </w:rPr>
      </w:pPr>
      <w:r>
        <w:rPr>
          <w:rStyle w:val="9"/>
          <w:rFonts w:ascii="Times New Roman" w:hAnsi="Times New Roman" w:eastAsia="方正仿宋_GBK" w:cs="Times New Roman"/>
          <w:sz w:val="32"/>
          <w:szCs w:val="32"/>
        </w:rPr>
        <w:t>（六）国有资本经营预算财政拨款支出决算情况说明</w:t>
      </w:r>
    </w:p>
    <w:p>
      <w:pPr>
        <w:pStyle w:val="6"/>
        <w:shd w:val="clear" w:color="auto" w:fill="FFFFFF"/>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本部门2020年度无国有资本经营预算财政拨款支出。</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eastAsia="方正黑体_GBK" w:cs="Times New Roman"/>
          <w:b w:val="0"/>
        </w:rPr>
      </w:pPr>
      <w:r>
        <w:rPr>
          <w:rStyle w:val="9"/>
          <w:rFonts w:ascii="Times New Roman" w:hAnsi="Times New Roman" w:eastAsia="方正黑体_GBK" w:cs="Times New Roman"/>
          <w:b w:val="0"/>
          <w:sz w:val="32"/>
          <w:szCs w:val="32"/>
        </w:rPr>
        <w:t>三、“三公”经费情况说明</w:t>
      </w:r>
    </w:p>
    <w:p>
      <w:pPr>
        <w:pStyle w:val="6"/>
        <w:shd w:val="clear" w:color="auto" w:fill="FFFFFF"/>
        <w:spacing w:before="0" w:beforeAutospacing="0" w:after="0" w:afterAutospacing="0" w:line="560" w:lineRule="exact"/>
        <w:ind w:firstLine="640" w:firstLineChars="200"/>
        <w:jc w:val="both"/>
        <w:outlineLvl w:val="1"/>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（一）“三公”经费支出总体情况说明。</w:t>
      </w:r>
    </w:p>
    <w:p>
      <w:pPr>
        <w:snapToGrid w:val="0"/>
        <w:spacing w:line="594" w:lineRule="exact"/>
        <w:ind w:firstLine="640" w:firstLineChars="200"/>
        <w:rPr>
          <w:rFonts w:eastAsia="方正仿宋_GBK"/>
          <w:sz w:val="32"/>
          <w:szCs w:val="32"/>
        </w:rPr>
      </w:pPr>
      <w:r>
        <w:rPr>
          <w:rFonts w:ascii="Times New Roman" w:hAnsi="Times New Roman" w:eastAsia="方正仿宋_GBK" w:cs="Times New Roman"/>
          <w:sz w:val="32"/>
          <w:szCs w:val="32"/>
        </w:rPr>
        <w:t>2020年度“三公”经费支出共计</w:t>
      </w:r>
      <w:r>
        <w:rPr>
          <w:rFonts w:hint="eastAsia" w:ascii="Times New Roman" w:hAnsi="Times New Roman" w:eastAsia="方正仿宋_GBK" w:cs="Times New Roman"/>
          <w:sz w:val="32"/>
          <w:szCs w:val="32"/>
        </w:rPr>
        <w:t>1.92</w:t>
      </w:r>
      <w:r>
        <w:rPr>
          <w:rFonts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rPr>
        <w:t>4.08</w:t>
      </w:r>
      <w:r>
        <w:rPr>
          <w:rFonts w:ascii="Times New Roman" w:hAnsi="Times New Roman" w:eastAsia="方正仿宋_GBK" w:cs="Times New Roman"/>
          <w:sz w:val="32"/>
          <w:szCs w:val="32"/>
        </w:rPr>
        <w:t xml:space="preserve">万元，下降 </w:t>
      </w:r>
      <w:r>
        <w:rPr>
          <w:rFonts w:hint="eastAsia" w:ascii="Times New Roman" w:hAnsi="Times New Roman" w:eastAsia="方正仿宋_GBK" w:cs="Times New Roman"/>
          <w:sz w:val="32"/>
          <w:szCs w:val="32"/>
        </w:rPr>
        <w:t>68</w:t>
      </w:r>
      <w:r>
        <w:rPr>
          <w:rFonts w:ascii="Times New Roman" w:hAnsi="Times New Roman" w:eastAsia="方正仿宋_GBK" w:cs="Times New Roman"/>
          <w:sz w:val="32"/>
          <w:szCs w:val="32"/>
        </w:rPr>
        <w:t>%，主要原因是</w:t>
      </w:r>
      <w:r>
        <w:rPr>
          <w:rFonts w:eastAsia="方正仿宋_GBK"/>
          <w:sz w:val="32"/>
          <w:szCs w:val="32"/>
        </w:rPr>
        <w:t>主要原因是</w:t>
      </w:r>
      <w:r>
        <w:rPr>
          <w:rFonts w:hint="eastAsia" w:eastAsia="方正仿宋_GBK"/>
          <w:sz w:val="32"/>
          <w:szCs w:val="32"/>
        </w:rPr>
        <w:t>疫情影响，无因公出国费用，接待批次减少，厉行节约，严格执行中央八项规定</w:t>
      </w:r>
      <w:bookmarkStart w:id="0" w:name="_GoBack"/>
      <w:bookmarkEnd w:id="0"/>
      <w:r>
        <w:rPr>
          <w:rFonts w:hint="eastAsia" w:eastAsia="方正仿宋_GBK"/>
          <w:sz w:val="32"/>
          <w:szCs w:val="32"/>
        </w:rPr>
        <w:t>精神，减少公务接待费支出。</w:t>
      </w:r>
      <w:r>
        <w:rPr>
          <w:rFonts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rPr>
        <w:t>增加0.44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增长29.73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公务接待较上年增加。</w:t>
      </w:r>
    </w:p>
    <w:p>
      <w:pPr>
        <w:pStyle w:val="6"/>
        <w:shd w:val="clear" w:color="auto" w:fill="FFFFFF"/>
        <w:spacing w:before="0" w:beforeAutospacing="0" w:after="0" w:afterAutospacing="0" w:line="560" w:lineRule="exact"/>
        <w:ind w:firstLine="640" w:firstLineChars="200"/>
        <w:jc w:val="both"/>
        <w:outlineLvl w:val="1"/>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（二）“三公”经费分项支出情况。</w:t>
      </w:r>
    </w:p>
    <w:p>
      <w:pPr>
        <w:snapToGrid w:val="0"/>
        <w:spacing w:line="594"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2020年度本部门因公出国（境）费用</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万元，今年未安排人员出国出访。费用支出较年初预算数减少</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因疫情</w:t>
      </w:r>
      <w:r>
        <w:rPr>
          <w:rFonts w:ascii="Times New Roman" w:hAnsi="Times New Roman" w:eastAsia="方正仿宋_GBK" w:cs="Times New Roman"/>
          <w:sz w:val="32"/>
          <w:szCs w:val="32"/>
        </w:rPr>
        <w:t>今年未安排人员出国出访。</w:t>
      </w:r>
      <w:r>
        <w:rPr>
          <w:rFonts w:hint="eastAsia" w:ascii="Times New Roman" w:hAnsi="Times New Roman" w:eastAsia="方正仿宋_GBK" w:cs="Times New Roman"/>
          <w:sz w:val="32"/>
          <w:szCs w:val="32"/>
        </w:rPr>
        <w:t>与上年一致</w:t>
      </w:r>
      <w:r>
        <w:rPr>
          <w:rFonts w:hint="eastAsia" w:ascii="Times New Roman" w:hAnsi="Times New Roman" w:eastAsia="方正仿宋_GBK" w:cs="Times New Roman"/>
          <w:sz w:val="32"/>
          <w:szCs w:val="32"/>
          <w:lang w:eastAsia="zh-CN"/>
        </w:rPr>
        <w:t>。</w:t>
      </w:r>
    </w:p>
    <w:p>
      <w:pPr>
        <w:pStyle w:val="16"/>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公务车购置费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。本单位</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20年未发生公务用车购置支出。</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16"/>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本单位无公务用车。</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rPr>
        <w:t>1.92</w:t>
      </w:r>
      <w:r>
        <w:rPr>
          <w:rFonts w:ascii="Times New Roman" w:hAnsi="Times New Roman" w:eastAsia="方正仿宋_GBK" w:cs="Times New Roman"/>
          <w:sz w:val="32"/>
          <w:szCs w:val="32"/>
        </w:rPr>
        <w:t>万元，主要用于接待</w:t>
      </w:r>
      <w:r>
        <w:rPr>
          <w:rFonts w:hint="eastAsia" w:ascii="Times New Roman" w:hAnsi="Times New Roman" w:eastAsia="方正仿宋_GBK" w:cs="Times New Roman"/>
          <w:sz w:val="32"/>
          <w:szCs w:val="32"/>
        </w:rPr>
        <w:t>国内其他省市侨联到我单位学习调研，接受相关部门检查指导工作发生的接待支出。</w:t>
      </w:r>
      <w:r>
        <w:rPr>
          <w:rFonts w:ascii="Times New Roman" w:hAnsi="Times New Roman" w:eastAsia="方正仿宋_GBK" w:cs="Times New Roman"/>
          <w:sz w:val="32"/>
          <w:szCs w:val="32"/>
        </w:rPr>
        <w:t>费用支出较年初预算数减少</w:t>
      </w:r>
      <w:r>
        <w:rPr>
          <w:rFonts w:hint="eastAsia" w:ascii="Times New Roman" w:hAnsi="Times New Roman" w:eastAsia="方正仿宋_GBK" w:cs="Times New Roman"/>
          <w:sz w:val="32"/>
          <w:szCs w:val="32"/>
        </w:rPr>
        <w:t>0.08</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严格执行中央八项规定精神，厉行节约，减少公务接待费用</w:t>
      </w:r>
      <w:r>
        <w:rPr>
          <w:rFonts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0.44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29.73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主要原因是公务接待较上年增多。</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（三）“三公”经费实物量情况。</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2020年度本部门因公出国（境）共计</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个团组，</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人；公务用车购置</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辆，公务车保有量为</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辆；国内公务接待</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200</w:t>
      </w:r>
      <w:r>
        <w:rPr>
          <w:rFonts w:ascii="Times New Roman" w:hAnsi="Times New Roman" w:eastAsia="方正仿宋_GBK" w:cs="Times New Roman"/>
          <w:sz w:val="32"/>
          <w:szCs w:val="32"/>
        </w:rPr>
        <w:t>人，其中：国内外事接待</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人；国（境）外公务接待</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人。20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元，车均购置费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万元，车均维护费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cs="Times New Roman"/>
        </w:rPr>
      </w:pPr>
      <w:r>
        <w:rPr>
          <w:rStyle w:val="9"/>
          <w:rFonts w:ascii="Times New Roman" w:hAnsi="Times New Roman" w:eastAsia="方正黑体_GBK" w:cs="Times New Roman"/>
          <w:b w:val="0"/>
          <w:sz w:val="32"/>
          <w:szCs w:val="32"/>
        </w:rPr>
        <w:t>四、其他需要说明的事项</w:t>
      </w:r>
    </w:p>
    <w:p>
      <w:pPr>
        <w:pStyle w:val="6"/>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（一）机关运行经费情况说明。</w:t>
      </w:r>
      <w:r>
        <w:rPr>
          <w:rFonts w:ascii="Times New Roman" w:hAnsi="Times New Roman" w:eastAsia="方正仿宋_GBK" w:cs="Times New Roman"/>
          <w:sz w:val="32"/>
          <w:szCs w:val="32"/>
        </w:rPr>
        <w:t>2020年度本部门机关运行经费支出</w:t>
      </w:r>
      <w:r>
        <w:rPr>
          <w:rFonts w:hint="eastAsia" w:ascii="Times New Roman" w:hAnsi="Times New Roman" w:eastAsia="方正仿宋_GBK" w:cs="Times New Roman"/>
          <w:sz w:val="32"/>
          <w:szCs w:val="32"/>
        </w:rPr>
        <w:t>72.07</w:t>
      </w:r>
      <w:r>
        <w:rPr>
          <w:rFonts w:ascii="Times New Roman" w:hAnsi="Times New Roman" w:eastAsia="方正仿宋_GBK" w:cs="Times New Roman"/>
          <w:sz w:val="32"/>
          <w:szCs w:val="32"/>
        </w:rPr>
        <w:t>万元，机关运行经费主要用于开支办公费、</w:t>
      </w:r>
      <w:r>
        <w:rPr>
          <w:rFonts w:hint="eastAsia" w:ascii="Times New Roman" w:hAnsi="Times New Roman" w:eastAsia="方正仿宋_GBK" w:cs="Times New Roman"/>
          <w:sz w:val="32"/>
          <w:szCs w:val="32"/>
        </w:rPr>
        <w:t>会议费、差旅费等</w:t>
      </w:r>
      <w:r>
        <w:rPr>
          <w:rFonts w:ascii="Times New Roman" w:hAnsi="Times New Roman" w:eastAsia="方正仿宋_GBK" w:cs="Times New Roman"/>
          <w:sz w:val="32"/>
          <w:szCs w:val="32"/>
        </w:rPr>
        <w:t>。机关运行经费较上年决算数增加</w:t>
      </w:r>
      <w:r>
        <w:rPr>
          <w:rFonts w:hint="eastAsia" w:ascii="Times New Roman" w:hAnsi="Times New Roman" w:eastAsia="方正仿宋_GBK" w:cs="Times New Roman"/>
          <w:sz w:val="32"/>
          <w:szCs w:val="32"/>
        </w:rPr>
        <w:t>57.36</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389.94</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香港、澳门同胞联络联谊支出增加</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其中：本年度会议费支出</w:t>
      </w:r>
      <w:r>
        <w:rPr>
          <w:rFonts w:hint="eastAsia" w:ascii="Times New Roman" w:hAnsi="Times New Roman" w:eastAsia="方正仿宋_GBK" w:cs="Times New Roman"/>
          <w:sz w:val="32"/>
          <w:szCs w:val="32"/>
        </w:rPr>
        <w:t>3.48</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2.97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增长582.35</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会议增多</w:t>
      </w:r>
      <w:r>
        <w:rPr>
          <w:rFonts w:ascii="Times New Roman" w:hAnsi="Times New Roman" w:eastAsia="方正仿宋_GBK" w:cs="Times New Roman"/>
          <w:sz w:val="32"/>
          <w:szCs w:val="32"/>
        </w:rPr>
        <w:t>。本年度培</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w:t>
      </w:r>
      <w:r>
        <w:rPr>
          <w:rFonts w:hint="eastAsia" w:ascii="Times New Roman" w:hAnsi="Times New Roman" w:eastAsia="方正仿宋_GBK" w:cs="Times New Roman"/>
          <w:sz w:val="32"/>
          <w:szCs w:val="32"/>
        </w:rPr>
        <w:t>是本年无培训支出。</w:t>
      </w:r>
    </w:p>
    <w:p>
      <w:pPr>
        <w:widowControl w:val="0"/>
        <w:spacing w:line="56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（二）国有资产占用情况说明。</w:t>
      </w:r>
      <w:r>
        <w:rPr>
          <w:rFonts w:ascii="Times New Roman" w:hAnsi="Times New Roman" w:eastAsia="方正仿宋_GBK" w:cs="Times New Roman"/>
          <w:sz w:val="32"/>
          <w:szCs w:val="32"/>
        </w:rPr>
        <w:t>截至2020年12月31日，本部门共有车辆</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辆，其中，副部（省）级及以上领导用车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辆、主要领导干部用车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辆、机要通信用车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辆、应急保障用车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辆、执法执勤用车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辆，特种专业技术用车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辆，离退休干部用车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辆，其他用车</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辆。单价50万元（含）以上通用设备</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台（套），单价100万元（含）以上专用设备</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台（套）。</w:t>
      </w:r>
    </w:p>
    <w:p>
      <w:pPr>
        <w:pStyle w:val="6"/>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（三）政府采购支出情况说明。</w:t>
      </w:r>
      <w:r>
        <w:rPr>
          <w:rFonts w:ascii="Times New Roman" w:hAnsi="Times New Roman" w:eastAsia="方正仿宋_GBK" w:cs="Times New Roman"/>
          <w:sz w:val="32"/>
          <w:szCs w:val="32"/>
        </w:rPr>
        <w:t>2020年度本部门政府采购支出总额</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20年度我单位未发生政府采购事项，无相关经费支出。</w:t>
      </w:r>
    </w:p>
    <w:p>
      <w:pPr>
        <w:pStyle w:val="6"/>
        <w:shd w:val="clear" w:color="auto" w:fill="FFFFFF"/>
        <w:spacing w:before="0" w:beforeAutospacing="0" w:after="0" w:afterAutospacing="0" w:line="560" w:lineRule="exact"/>
        <w:ind w:firstLine="640" w:firstLineChars="200"/>
        <w:jc w:val="both"/>
        <w:outlineLvl w:val="0"/>
        <w:rPr>
          <w:rStyle w:val="9"/>
          <w:rFonts w:ascii="Times New Roman" w:hAnsi="Times New Roman" w:eastAsia="方正黑体_GBK" w:cs="Times New Roman"/>
        </w:rPr>
      </w:pPr>
      <w:r>
        <w:rPr>
          <w:rStyle w:val="9"/>
          <w:rFonts w:ascii="Times New Roman" w:hAnsi="Times New Roman" w:eastAsia="方正黑体_GBK" w:cs="Times New Roman"/>
          <w:sz w:val="32"/>
          <w:szCs w:val="32"/>
        </w:rPr>
        <w:t>五、预算绩效管理情况说明</w:t>
      </w:r>
    </w:p>
    <w:p>
      <w:pPr>
        <w:pStyle w:val="13"/>
        <w:tabs>
          <w:tab w:val="center" w:pos="4153"/>
          <w:tab w:val="left" w:pos="7275"/>
        </w:tabs>
        <w:spacing w:line="560" w:lineRule="exact"/>
        <w:ind w:firstLine="643"/>
        <w:rPr>
          <w:rFonts w:ascii="Times New Roman" w:hAnsi="Times New Roman" w:eastAsia="方正仿宋_GBK"/>
          <w:kern w:val="0"/>
          <w:sz w:val="32"/>
          <w:szCs w:val="32"/>
        </w:rPr>
      </w:pPr>
      <w:r>
        <w:rPr>
          <w:rFonts w:ascii="Times New Roman" w:hAnsi="Times New Roman" w:eastAsia="方正仿宋_GBK"/>
          <w:b/>
          <w:kern w:val="0"/>
          <w:sz w:val="32"/>
          <w:szCs w:val="32"/>
        </w:rPr>
        <w:t>（一）预算绩效管理工作开展情况</w:t>
      </w:r>
    </w:p>
    <w:p>
      <w:pPr>
        <w:pStyle w:val="13"/>
        <w:tabs>
          <w:tab w:val="center" w:pos="4153"/>
          <w:tab w:val="left" w:pos="7275"/>
        </w:tabs>
        <w:spacing w:line="560" w:lineRule="exact"/>
        <w:ind w:firstLine="640"/>
        <w:rPr>
          <w:rFonts w:ascii="Times New Roman" w:hAnsi="Times New Roman" w:eastAsia="方正仿宋_GBK"/>
          <w:sz w:val="32"/>
          <w:szCs w:val="32"/>
        </w:rPr>
      </w:pPr>
      <w:r>
        <w:rPr>
          <w:rFonts w:hint="eastAsia" w:ascii="Times New Roman" w:hAnsi="Times New Roman" w:eastAsia="方正仿宋_GBK"/>
          <w:kern w:val="0"/>
          <w:sz w:val="32"/>
          <w:szCs w:val="32"/>
        </w:rPr>
        <w:t>根据预算绩效管理要求，本部门对2个项目开展了绩效自评，其中，以填报目标自评表形式开展自评2项，涉及资金17万元；从评价情况来看，</w:t>
      </w:r>
      <w:r>
        <w:rPr>
          <w:rFonts w:ascii="Times New Roman" w:hAnsi="Times New Roman" w:eastAsia="方正仿宋_GBK"/>
          <w:sz w:val="32"/>
          <w:szCs w:val="32"/>
        </w:rPr>
        <w:t>2</w:t>
      </w:r>
      <w:r>
        <w:rPr>
          <w:rFonts w:hint="eastAsia" w:ascii="Times New Roman" w:hAnsi="Times New Roman" w:eastAsia="方正仿宋_GBK"/>
          <w:sz w:val="32"/>
          <w:szCs w:val="32"/>
        </w:rPr>
        <w:t>020年我部2个项目均按照预算安排完成了绩效目标，最大限度地发挥了使用效果。</w:t>
      </w:r>
    </w:p>
    <w:p>
      <w:pPr>
        <w:tabs>
          <w:tab w:val="center" w:pos="4153"/>
          <w:tab w:val="left" w:pos="7275"/>
        </w:tabs>
        <w:spacing w:line="560" w:lineRule="exact"/>
        <w:rPr>
          <w:rFonts w:ascii="Times New Roman" w:hAnsi="Times New Roman" w:eastAsia="方正仿宋_GBK"/>
          <w:b/>
          <w:sz w:val="32"/>
          <w:szCs w:val="32"/>
        </w:rPr>
      </w:pPr>
      <w:r>
        <w:rPr>
          <w:rFonts w:hint="eastAsia" w:ascii="Times New Roman" w:hAnsi="Times New Roman" w:eastAsia="方正仿宋_GBK"/>
          <w:sz w:val="32"/>
          <w:szCs w:val="32"/>
        </w:rPr>
        <w:t xml:space="preserve">     </w:t>
      </w:r>
      <w:r>
        <w:rPr>
          <w:rFonts w:ascii="Times New Roman" w:hAnsi="Times New Roman" w:eastAsia="方正仿宋_GBK"/>
          <w:b/>
          <w:sz w:val="32"/>
          <w:szCs w:val="32"/>
        </w:rPr>
        <w:t>（二）绩效自评结果</w:t>
      </w:r>
    </w:p>
    <w:p>
      <w:pPr>
        <w:autoSpaceDN w:val="0"/>
        <w:spacing w:line="594" w:lineRule="exact"/>
        <w:rPr>
          <w:rFonts w:ascii="Times New Roman" w:hAnsi="Times New Roman" w:eastAsia="方正仿宋_GBK"/>
          <w:b/>
          <w:sz w:val="32"/>
          <w:szCs w:val="32"/>
        </w:rPr>
      </w:pPr>
      <w:r>
        <w:rPr>
          <w:rFonts w:ascii="Times New Roman" w:hAnsi="Times New Roman" w:eastAsia="方正仿宋_GBK"/>
          <w:b/>
          <w:sz w:val="32"/>
          <w:szCs w:val="32"/>
        </w:rPr>
        <w:t>1.绩效自评表</w:t>
      </w:r>
    </w:p>
    <w:p>
      <w:pPr>
        <w:autoSpaceDN w:val="0"/>
        <w:spacing w:line="594" w:lineRule="exact"/>
        <w:rPr>
          <w:rFonts w:ascii="Times New Roman" w:hAnsi="Times New Roman" w:eastAsia="方正仿宋_GBK"/>
          <w:b/>
          <w:sz w:val="32"/>
          <w:szCs w:val="32"/>
        </w:rPr>
      </w:pPr>
    </w:p>
    <w:p>
      <w:pPr>
        <w:autoSpaceDN w:val="0"/>
        <w:spacing w:line="594" w:lineRule="exact"/>
        <w:rPr>
          <w:rFonts w:ascii="Times New Roman" w:hAnsi="Times New Roman" w:eastAsia="方正仿宋_GBK"/>
          <w:b/>
          <w:sz w:val="32"/>
          <w:szCs w:val="32"/>
        </w:rPr>
      </w:pPr>
    </w:p>
    <w:p>
      <w:pPr>
        <w:autoSpaceDN w:val="0"/>
        <w:spacing w:line="594" w:lineRule="exact"/>
        <w:rPr>
          <w:rFonts w:ascii="Times New Roman" w:hAnsi="Times New Roman" w:eastAsia="方正仿宋_GBK"/>
          <w:b/>
          <w:sz w:val="32"/>
          <w:szCs w:val="32"/>
        </w:rPr>
      </w:pPr>
    </w:p>
    <w:p>
      <w:pPr>
        <w:autoSpaceDN w:val="0"/>
        <w:spacing w:line="594" w:lineRule="exact"/>
        <w:rPr>
          <w:rFonts w:ascii="Times New Roman" w:hAnsi="Times New Roman" w:eastAsia="方正仿宋_GBK"/>
          <w:b/>
          <w:sz w:val="32"/>
          <w:szCs w:val="32"/>
        </w:rPr>
      </w:pPr>
    </w:p>
    <w:tbl>
      <w:tblPr>
        <w:tblStyle w:val="7"/>
        <w:tblW w:w="0" w:type="auto"/>
        <w:tblInd w:w="108" w:type="dxa"/>
        <w:tblLayout w:type="autofit"/>
        <w:tblCellMar>
          <w:top w:w="0" w:type="dxa"/>
          <w:left w:w="108" w:type="dxa"/>
          <w:bottom w:w="0" w:type="dxa"/>
          <w:right w:w="108" w:type="dxa"/>
        </w:tblCellMar>
      </w:tblPr>
      <w:tblGrid>
        <w:gridCol w:w="629"/>
        <w:gridCol w:w="825"/>
        <w:gridCol w:w="448"/>
        <w:gridCol w:w="466"/>
        <w:gridCol w:w="954"/>
        <w:gridCol w:w="953"/>
        <w:gridCol w:w="829"/>
        <w:gridCol w:w="801"/>
        <w:gridCol w:w="856"/>
        <w:gridCol w:w="856"/>
        <w:gridCol w:w="883"/>
      </w:tblGrid>
      <w:tr>
        <w:trPr>
          <w:trHeight w:val="601" w:hRule="atLeast"/>
        </w:trPr>
        <w:tc>
          <w:tcPr>
            <w:tcW w:w="0" w:type="auto"/>
            <w:gridSpan w:val="11"/>
            <w:tcBorders>
              <w:top w:val="nil"/>
              <w:left w:val="nil"/>
              <w:bottom w:val="nil"/>
              <w:right w:val="nil"/>
            </w:tcBorders>
            <w:shd w:val="clear" w:color="auto" w:fill="auto"/>
            <w:vAlign w:val="center"/>
          </w:tcPr>
          <w:p>
            <w:pPr>
              <w:autoSpaceDN w:val="0"/>
              <w:rPr>
                <w:rFonts w:ascii="Times New Roman" w:hAnsi="Times New Roman" w:eastAsia="方正小标宋_GBK" w:cs="Times New Roman"/>
                <w:color w:val="000000"/>
                <w:sz w:val="36"/>
                <w:szCs w:val="36"/>
              </w:rPr>
            </w:pPr>
          </w:p>
          <w:p>
            <w:pPr>
              <w:autoSpaceDN w:val="0"/>
              <w:jc w:val="center"/>
              <w:rPr>
                <w:rFonts w:ascii="Times New Roman" w:hAnsi="Times New Roman" w:eastAsia="方正小标宋_GBK" w:cs="Times New Roman"/>
                <w:color w:val="000000"/>
                <w:sz w:val="36"/>
                <w:szCs w:val="36"/>
              </w:rPr>
            </w:pPr>
            <w:r>
              <w:rPr>
                <w:rFonts w:ascii="Times New Roman" w:hAnsi="Times New Roman" w:cs="Times New Roman"/>
                <w:b/>
                <w:bCs/>
                <w:sz w:val="32"/>
                <w:szCs w:val="32"/>
              </w:rPr>
              <w:t>20</w:t>
            </w:r>
            <w:r>
              <w:rPr>
                <w:rFonts w:hint="eastAsia" w:ascii="Times New Roman" w:hAnsi="Times New Roman" w:cs="Times New Roman"/>
                <w:b/>
                <w:bCs/>
                <w:sz w:val="32"/>
                <w:szCs w:val="32"/>
              </w:rPr>
              <w:t>20年度项目绩效目标自评表</w:t>
            </w:r>
          </w:p>
        </w:tc>
      </w:tr>
      <w:tr>
        <w:tblPrEx>
          <w:tblCellMar>
            <w:top w:w="0" w:type="dxa"/>
            <w:left w:w="108" w:type="dxa"/>
            <w:bottom w:w="0" w:type="dxa"/>
            <w:right w:w="108" w:type="dxa"/>
          </w:tblCellMar>
        </w:tblPrEx>
        <w:trPr>
          <w:trHeight w:val="60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侨联专项</w:t>
            </w:r>
          </w:p>
          <w:p>
            <w:pPr>
              <w:autoSpaceDN w:val="0"/>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活动</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2020B103120021265　</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自评总分</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（分）</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r>
      <w:tr>
        <w:tblPrEx>
          <w:tblCellMar>
            <w:top w:w="0" w:type="dxa"/>
            <w:left w:w="108" w:type="dxa"/>
            <w:bottom w:w="0" w:type="dxa"/>
            <w:right w:w="108" w:type="dxa"/>
          </w:tblCellMar>
        </w:tblPrEx>
        <w:trPr>
          <w:trHeight w:val="60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主管部门</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区侨联</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财政处室</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行财科</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项目</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联系人</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马红</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联系电话</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62988769</w:t>
            </w:r>
          </w:p>
        </w:tc>
      </w:tr>
      <w:tr>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项目资金（万元）</w:t>
            </w: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执行率</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执行率</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权重</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执行率得分</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（分）</w:t>
            </w:r>
          </w:p>
        </w:tc>
      </w:tr>
      <w:tr>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年度总金额</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13</w:t>
            </w:r>
            <w:r>
              <w:rPr>
                <w:rFonts w:ascii="Times New Roman" w:hAnsi="Times New Roman" w:eastAsia="方正仿宋_GBK" w:cs="Times New Roman"/>
                <w:color w:val="000000"/>
                <w:sz w:val="18"/>
                <w:szCs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r>
              <w:rPr>
                <w:rFonts w:hint="eastAsia" w:ascii="Times New Roman" w:hAnsi="Times New Roman" w:eastAsia="方正仿宋_GBK" w:cs="Times New Roman"/>
                <w:color w:val="000000"/>
                <w:sz w:val="18"/>
                <w:szCs w:val="18"/>
              </w:rPr>
              <w:t>13</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13</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sz w:val="18"/>
                <w:szCs w:val="18"/>
              </w:rPr>
            </w:pPr>
            <w:r>
              <w:rPr>
                <w:rFonts w:hint="eastAsia" w:ascii="Times New Roman" w:hAnsi="Times New Roman" w:eastAsia="方正仿宋_GBK" w:cs="Times New Roman"/>
                <w:sz w:val="18"/>
                <w:szCs w:val="18"/>
              </w:rPr>
              <w:t>10</w:t>
            </w:r>
            <w:r>
              <w:rPr>
                <w:rFonts w:ascii="Times New Roman" w:hAnsi="Times New Roman" w:eastAsia="方正仿宋_GBK" w:cs="Times New Roman"/>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w:t>
            </w:r>
            <w:r>
              <w:rPr>
                <w:rFonts w:ascii="Times New Roman" w:hAnsi="Times New Roman" w:eastAsia="方正仿宋_GBK" w:cs="Times New Roman"/>
                <w:color w:val="000000"/>
                <w:sz w:val="18"/>
                <w:szCs w:val="18"/>
              </w:rPr>
              <w:t>　</w:t>
            </w:r>
          </w:p>
        </w:tc>
      </w:tr>
      <w:tr>
        <w:tblPrEx>
          <w:tblCellMar>
            <w:top w:w="0" w:type="dxa"/>
            <w:left w:w="108" w:type="dxa"/>
            <w:bottom w:w="0" w:type="dxa"/>
            <w:right w:w="108" w:type="dxa"/>
          </w:tblCellMar>
        </w:tblPrEx>
        <w:trPr>
          <w:cantSplit/>
          <w:trHeight w:val="601"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wordWrap w:val="0"/>
              <w:autoSpaceDN w:val="0"/>
              <w:jc w:val="right"/>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其中：区级支出</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13</w:t>
            </w:r>
            <w:r>
              <w:rPr>
                <w:rFonts w:ascii="Times New Roman" w:hAnsi="Times New Roman" w:eastAsia="方正仿宋_GBK" w:cs="Times New Roman"/>
                <w:color w:val="000000"/>
                <w:sz w:val="18"/>
                <w:szCs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 xml:space="preserve">    13</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13</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sz w:val="18"/>
                <w:szCs w:val="18"/>
              </w:rPr>
              <w:t>10</w:t>
            </w:r>
            <w:r>
              <w:rPr>
                <w:rFonts w:ascii="Times New Roman" w:hAnsi="Times New Roman" w:eastAsia="方正仿宋_GBK" w:cs="Times New Roman"/>
                <w:sz w:val="18"/>
                <w:szCs w:val="18"/>
              </w:rPr>
              <w:t>　</w:t>
            </w:r>
            <w:r>
              <w:rPr>
                <w:rFonts w:ascii="Times New Roman" w:hAnsi="Times New Roman" w:eastAsia="方正仿宋_GBK" w:cs="Times New Roman"/>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w:t>
            </w:r>
            <w:r>
              <w:rPr>
                <w:rFonts w:ascii="Times New Roman" w:hAnsi="Times New Roman" w:eastAsia="方正仿宋_GBK" w:cs="Times New Roman"/>
                <w:color w:val="000000"/>
                <w:sz w:val="18"/>
                <w:szCs w:val="18"/>
              </w:rPr>
              <w:t>　</w:t>
            </w:r>
          </w:p>
        </w:tc>
      </w:tr>
      <w:tr>
        <w:tblPrEx>
          <w:tblCellMar>
            <w:top w:w="0" w:type="dxa"/>
            <w:left w:w="108" w:type="dxa"/>
            <w:bottom w:w="0" w:type="dxa"/>
            <w:right w:w="108" w:type="dxa"/>
          </w:tblCellMar>
        </w:tblPrEx>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当年绩效目标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年初绩效目标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全年（调整）绩效目标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提高老归侨的获得感，幸福感，让归侨侨眷坚定“四个自信”，弘扬中华传统文化，维护归侨侨眷合法权益。</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提高老归侨的获得感，幸福感，让归侨侨眷坚定“四个自信”，弘扬中华传统文化，维护归侨侨眷合法权益。</w:t>
            </w:r>
            <w:r>
              <w:rPr>
                <w:rFonts w:ascii="Times New Roman" w:hAnsi="Times New Roman" w:eastAsia="方正仿宋_GBK" w:cs="Times New Roman"/>
                <w:color w:val="000000"/>
                <w:sz w:val="18"/>
                <w:szCs w:val="18"/>
              </w:rPr>
              <w:t>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提高老归侨的获得感，幸福感，让归侨侨眷坚定“四个自信”，弘扬中华传统文化，维护归侨侨眷合法权益。</w:t>
            </w:r>
            <w:r>
              <w:rPr>
                <w:rFonts w:ascii="Times New Roman" w:hAnsi="Times New Roman" w:eastAsia="方正仿宋_GBK" w:cs="Times New Roman"/>
                <w:color w:val="000000"/>
                <w:sz w:val="18"/>
                <w:szCs w:val="18"/>
              </w:rPr>
              <w:t>　　</w:t>
            </w:r>
          </w:p>
        </w:tc>
      </w:tr>
      <w:tr>
        <w:trPr>
          <w:cantSplit/>
          <w:trHeight w:val="601" w:hRule="atLeast"/>
        </w:trPr>
        <w:tc>
          <w:tcPr>
            <w:tcW w:w="0" w:type="auto"/>
            <w:vMerge w:val="restart"/>
            <w:tcBorders>
              <w:top w:val="nil"/>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绩效指标</w:t>
            </w: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指标名称</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计量</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单位</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指标</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性质</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年初</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调整</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全年</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得分系数</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指标权重</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指标得分</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是否核心</w:t>
            </w:r>
            <w:r>
              <w:rPr>
                <w:rFonts w:ascii="Times New Roman" w:hAnsi="Times New Roman" w:eastAsia="方正仿宋_GBK" w:cs="Times New Roman"/>
                <w:color w:val="000000"/>
                <w:sz w:val="18"/>
                <w:szCs w:val="18"/>
              </w:rPr>
              <w:br w:type="textWrapping" w:clear="all"/>
            </w:r>
            <w:r>
              <w:rPr>
                <w:rFonts w:ascii="Times New Roman" w:hAnsi="Times New Roman" w:eastAsia="方正仿宋_GBK" w:cs="Times New Roman"/>
                <w:color w:val="000000"/>
                <w:sz w:val="18"/>
                <w:szCs w:val="18"/>
              </w:rPr>
              <w:t>指标</w:t>
            </w:r>
          </w:p>
        </w:tc>
      </w:tr>
      <w:tr>
        <w:tblPrEx>
          <w:tblCellMar>
            <w:top w:w="0" w:type="dxa"/>
            <w:left w:w="108" w:type="dxa"/>
            <w:bottom w:w="0" w:type="dxa"/>
            <w:right w:w="108" w:type="dxa"/>
          </w:tblCellMar>
        </w:tblPrEx>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慰问全区归侨侨眷</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完成率</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r>
      <w:tr>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提高对侨工作质量</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完成率</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r>
      <w:tr>
        <w:trPr>
          <w:cantSplit/>
          <w:trHeight w:val="523"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营造知侨、护侨、富侨的社会氛围</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完成率</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100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rPr>
              <w:t>20</w:t>
            </w: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r>
      <w:tr>
        <w:tblPrEx>
          <w:tblCellMar>
            <w:top w:w="0" w:type="dxa"/>
            <w:left w:w="108" w:type="dxa"/>
            <w:bottom w:w="0" w:type="dxa"/>
            <w:right w:w="108" w:type="dxa"/>
          </w:tblCellMar>
        </w:tblPrEx>
        <w:trPr>
          <w:cantSplit/>
          <w:trHeight w:val="409"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000000"/>
                <w:sz w:val="18"/>
                <w:szCs w:val="18"/>
              </w:rPr>
            </w:pPr>
          </w:p>
        </w:tc>
        <w:tc>
          <w:tcPr>
            <w:tcW w:w="0" w:type="auto"/>
            <w:tcBorders>
              <w:top w:val="nil"/>
              <w:left w:val="nil"/>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r>
      <w:tr>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说明</w:t>
            </w:r>
          </w:p>
        </w:tc>
        <w:tc>
          <w:tcPr>
            <w:tcW w:w="0" w:type="auto"/>
            <w:gridSpan w:val="10"/>
            <w:tcBorders>
              <w:top w:val="single" w:color="auto" w:sz="4" w:space="0"/>
              <w:left w:val="nil"/>
              <w:bottom w:val="single" w:color="auto" w:sz="4" w:space="0"/>
              <w:right w:val="single" w:color="auto" w:sz="4" w:space="0"/>
            </w:tcBorders>
            <w:shd w:val="clear" w:color="auto" w:fill="auto"/>
            <w:vAlign w:val="center"/>
          </w:tcPr>
          <w:p>
            <w:pPr>
              <w:autoSpaceDN w:val="0"/>
              <w:rPr>
                <w:rFonts w:ascii="Times New Roman" w:hAnsi="Times New Roman" w:eastAsia="方正仿宋_GBK" w:cs="Times New Roman"/>
                <w:color w:val="000000"/>
                <w:sz w:val="18"/>
                <w:szCs w:val="18"/>
              </w:rPr>
            </w:pPr>
            <w:r>
              <w:rPr>
                <w:rFonts w:ascii="Times New Roman" w:hAnsi="Times New Roman" w:eastAsia="方正仿宋_GBK" w:cs="Times New Roman"/>
                <w:color w:val="000000"/>
                <w:sz w:val="18"/>
                <w:szCs w:val="18"/>
              </w:rPr>
              <w:t>　</w:t>
            </w:r>
          </w:p>
        </w:tc>
      </w:tr>
    </w:tbl>
    <w:p>
      <w:pPr>
        <w:pStyle w:val="13"/>
        <w:tabs>
          <w:tab w:val="center" w:pos="4153"/>
          <w:tab w:val="left" w:pos="7275"/>
        </w:tabs>
        <w:spacing w:line="600" w:lineRule="exact"/>
        <w:ind w:firstLine="643"/>
        <w:rPr>
          <w:rFonts w:ascii="Times New Roman" w:hAnsi="Times New Roman" w:eastAsia="方正仿宋_GBK"/>
          <w:kern w:val="0"/>
          <w:sz w:val="32"/>
          <w:szCs w:val="32"/>
        </w:rPr>
      </w:pPr>
      <w:r>
        <w:rPr>
          <w:rFonts w:ascii="Times New Roman" w:hAnsi="Times New Roman" w:eastAsia="方正仿宋_GBK"/>
          <w:b/>
          <w:kern w:val="0"/>
          <w:sz w:val="32"/>
          <w:szCs w:val="32"/>
        </w:rPr>
        <w:t>2.绩效自评报告或案例</w:t>
      </w:r>
    </w:p>
    <w:p>
      <w:pPr>
        <w:pStyle w:val="13"/>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本部门无。</w:t>
      </w:r>
    </w:p>
    <w:p>
      <w:pPr>
        <w:pStyle w:val="13"/>
        <w:tabs>
          <w:tab w:val="center" w:pos="4153"/>
          <w:tab w:val="left" w:pos="7275"/>
        </w:tabs>
        <w:spacing w:line="60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（三）重点绩效评价结果</w:t>
      </w:r>
    </w:p>
    <w:p>
      <w:pPr>
        <w:pStyle w:val="13"/>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本部门无。</w:t>
      </w:r>
    </w:p>
    <w:p>
      <w:pPr>
        <w:pStyle w:val="6"/>
        <w:shd w:val="clear" w:color="auto" w:fill="FFFFFF"/>
        <w:spacing w:before="0" w:beforeAutospacing="0" w:after="0" w:afterAutospacing="0" w:line="600" w:lineRule="exact"/>
        <w:ind w:firstLine="640" w:firstLineChars="200"/>
        <w:jc w:val="both"/>
        <w:outlineLvl w:val="0"/>
        <w:rPr>
          <w:rStyle w:val="9"/>
          <w:rFonts w:ascii="Times New Roman" w:hAnsi="Times New Roman" w:eastAsia="方正黑体_GBK" w:cs="Times New Roman"/>
        </w:rPr>
      </w:pPr>
      <w:r>
        <w:rPr>
          <w:rStyle w:val="9"/>
          <w:rFonts w:ascii="Times New Roman" w:hAnsi="Times New Roman" w:eastAsia="方正黑体_GBK" w:cs="Times New Roman"/>
          <w:b w:val="0"/>
          <w:sz w:val="32"/>
          <w:szCs w:val="32"/>
        </w:rPr>
        <w:t>六、专业名词解释</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（四）其他收入</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（五）用事业基金弥补收支差额</w:t>
      </w:r>
      <w:r>
        <w:rPr>
          <w:rFonts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（七）结余分配</w:t>
      </w:r>
      <w:r>
        <w:rPr>
          <w:rFonts w:ascii="Times New Roman" w:hAnsi="Times New Roman" w:eastAsia="方正仿宋_GBK" w:cs="Times New Roman"/>
          <w:sz w:val="32"/>
          <w:szCs w:val="32"/>
        </w:rPr>
        <w:t>：指单位按照国家有关规定，缴纳所得税、提取专用基金、转入事业基金等当年结余的分配情况。</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（八）年末结转和结余</w:t>
      </w:r>
      <w:r>
        <w:rPr>
          <w:rFonts w:ascii="Times New Roman" w:hAnsi="Times New Roman" w:eastAsia="方正仿宋_GBK" w:cs="Times New Roman"/>
          <w:sz w:val="32"/>
          <w:szCs w:val="32"/>
        </w:rPr>
        <w:t>：指单位结转下年的基本支出结转、项目支出结转和结余、经营结余。</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（十二）“三公”经费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6"/>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（十六）对个人和家庭的补助（支出经济分类科目类级）</w:t>
      </w:r>
      <w:r>
        <w:rPr>
          <w:rFonts w:ascii="Times New Roman" w:hAnsi="Times New Roman" w:eastAsia="方正仿宋_GBK" w:cs="Times New Roman"/>
          <w:sz w:val="32"/>
          <w:szCs w:val="32"/>
        </w:rPr>
        <w:t>：反映用于对个人和家庭的补助支出。</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Style w:val="9"/>
          <w:rFonts w:ascii="Times New Roman" w:hAnsi="Times New Roman" w:eastAsia="方正仿宋_GBK" w:cs="Times New Roman"/>
          <w:sz w:val="32"/>
          <w:szCs w:val="32"/>
        </w:rPr>
        <w:t>（十七）其他资本性支出（支出经济分类科目类级）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jc w:val="both"/>
        <w:outlineLvl w:val="0"/>
        <w:rPr>
          <w:rFonts w:ascii="Times New Roman" w:hAnsi="Times New Roman" w:eastAsia="方正黑体_GBK" w:cs="Times New Roman"/>
          <w:b/>
          <w:sz w:val="32"/>
          <w:szCs w:val="32"/>
        </w:rPr>
      </w:pPr>
      <w:r>
        <w:rPr>
          <w:rStyle w:val="9"/>
          <w:rFonts w:ascii="Times New Roman" w:hAnsi="Times New Roman" w:eastAsia="方正黑体_GBK" w:cs="Times New Roman"/>
          <w:b w:val="0"/>
          <w:sz w:val="32"/>
          <w:szCs w:val="32"/>
        </w:rPr>
        <w:t>七、决算公开联系方式及信息反馈渠道</w:t>
      </w:r>
    </w:p>
    <w:p>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 023-62988769。</w:t>
      </w: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4"/>
          <w:jc w:val="center"/>
        </w:pPr>
      </w:p>
      <w:p>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12</w:t>
        </w:r>
        <w:r>
          <w:rPr>
            <w:rFonts w:ascii="Times New Roman" w:hAnsi="Times New Roman" w:cs="Times New Roman"/>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40E64"/>
    <w:rsid w:val="00042B85"/>
    <w:rsid w:val="000478A4"/>
    <w:rsid w:val="00065022"/>
    <w:rsid w:val="000A1F72"/>
    <w:rsid w:val="000B5B22"/>
    <w:rsid w:val="00115962"/>
    <w:rsid w:val="00193DAD"/>
    <w:rsid w:val="001C275C"/>
    <w:rsid w:val="00217D57"/>
    <w:rsid w:val="00221A09"/>
    <w:rsid w:val="002C64A5"/>
    <w:rsid w:val="002D3704"/>
    <w:rsid w:val="002E3167"/>
    <w:rsid w:val="0030438F"/>
    <w:rsid w:val="00316F52"/>
    <w:rsid w:val="00317DE3"/>
    <w:rsid w:val="00323DC8"/>
    <w:rsid w:val="003269CF"/>
    <w:rsid w:val="003463D8"/>
    <w:rsid w:val="00390C62"/>
    <w:rsid w:val="00420E29"/>
    <w:rsid w:val="00445072"/>
    <w:rsid w:val="0045368B"/>
    <w:rsid w:val="0047294D"/>
    <w:rsid w:val="004833F5"/>
    <w:rsid w:val="0052446A"/>
    <w:rsid w:val="00540E07"/>
    <w:rsid w:val="00594767"/>
    <w:rsid w:val="005A19B2"/>
    <w:rsid w:val="00616778"/>
    <w:rsid w:val="0063459A"/>
    <w:rsid w:val="00650765"/>
    <w:rsid w:val="006646F7"/>
    <w:rsid w:val="006B2193"/>
    <w:rsid w:val="006B3A67"/>
    <w:rsid w:val="006C11E1"/>
    <w:rsid w:val="006F08AE"/>
    <w:rsid w:val="00701A86"/>
    <w:rsid w:val="007813B9"/>
    <w:rsid w:val="007C4196"/>
    <w:rsid w:val="0087676C"/>
    <w:rsid w:val="00884793"/>
    <w:rsid w:val="008A5642"/>
    <w:rsid w:val="008B07F1"/>
    <w:rsid w:val="008C693F"/>
    <w:rsid w:val="008E650A"/>
    <w:rsid w:val="009022A1"/>
    <w:rsid w:val="0093158C"/>
    <w:rsid w:val="009A41FA"/>
    <w:rsid w:val="009D65BE"/>
    <w:rsid w:val="009E5A86"/>
    <w:rsid w:val="00A17BE8"/>
    <w:rsid w:val="00A45533"/>
    <w:rsid w:val="00A7041E"/>
    <w:rsid w:val="00B61C9F"/>
    <w:rsid w:val="00B778F5"/>
    <w:rsid w:val="00B801F0"/>
    <w:rsid w:val="00B97D9B"/>
    <w:rsid w:val="00BB74BB"/>
    <w:rsid w:val="00BC6BC9"/>
    <w:rsid w:val="00C13BB4"/>
    <w:rsid w:val="00C92897"/>
    <w:rsid w:val="00C947A8"/>
    <w:rsid w:val="00CB2483"/>
    <w:rsid w:val="00D0339F"/>
    <w:rsid w:val="00D33E16"/>
    <w:rsid w:val="00D43A29"/>
    <w:rsid w:val="00D6187B"/>
    <w:rsid w:val="00D73116"/>
    <w:rsid w:val="00D762B8"/>
    <w:rsid w:val="00DC01CC"/>
    <w:rsid w:val="00E07898"/>
    <w:rsid w:val="00E7709F"/>
    <w:rsid w:val="00E9574E"/>
    <w:rsid w:val="00F044BC"/>
    <w:rsid w:val="00F364CA"/>
    <w:rsid w:val="00F56E91"/>
    <w:rsid w:val="00FF5714"/>
    <w:rsid w:val="056C251F"/>
    <w:rsid w:val="320F6F33"/>
    <w:rsid w:val="533D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sz w:val="18"/>
      <w:szCs w:val="18"/>
    </w:rPr>
  </w:style>
  <w:style w:type="paragraph" w:styleId="3">
    <w:name w:val="Balloon Text"/>
    <w:basedOn w:val="1"/>
    <w:link w:val="15"/>
    <w:qFormat/>
    <w:uiPriority w:val="0"/>
    <w:pPr>
      <w:widowControl w:val="0"/>
      <w:jc w:val="both"/>
    </w:pPr>
    <w:rPr>
      <w:rFonts w:ascii="Calibri" w:hAnsi="Calibri" w:cs="Times New Roman"/>
      <w:kern w:val="2"/>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locked/>
    <w:uiPriority w:val="99"/>
    <w:rPr>
      <w:rFonts w:hint="eastAsia" w:ascii="宋体" w:hAnsi="宋体" w:eastAsia="宋体" w:cs="宋体"/>
      <w:sz w:val="18"/>
      <w:szCs w:val="18"/>
    </w:rPr>
  </w:style>
  <w:style w:type="character" w:customStyle="1" w:styleId="11">
    <w:name w:val="页脚 Char"/>
    <w:basedOn w:val="8"/>
    <w:link w:val="4"/>
    <w:qFormat/>
    <w:locked/>
    <w:uiPriority w:val="99"/>
    <w:rPr>
      <w:rFonts w:hint="eastAsia" w:ascii="宋体" w:hAnsi="宋体" w:eastAsia="宋体" w:cs="宋体"/>
      <w:sz w:val="18"/>
      <w:szCs w:val="18"/>
    </w:rPr>
  </w:style>
  <w:style w:type="character" w:customStyle="1" w:styleId="12">
    <w:name w:val="文档结构图 Char"/>
    <w:basedOn w:val="8"/>
    <w:link w:val="2"/>
    <w:semiHidden/>
    <w:qFormat/>
    <w:locked/>
    <w:uiPriority w:val="99"/>
    <w:rPr>
      <w:rFonts w:hint="eastAsia" w:ascii="宋体" w:hAnsi="宋体" w:eastAsia="宋体" w:cs="宋体"/>
      <w:sz w:val="18"/>
      <w:szCs w:val="18"/>
    </w:rPr>
  </w:style>
  <w:style w:type="paragraph" w:styleId="1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4">
    <w:name w:val="msonormal"/>
    <w:basedOn w:val="1"/>
    <w:semiHidden/>
    <w:uiPriority w:val="99"/>
    <w:pPr>
      <w:spacing w:before="100" w:beforeAutospacing="1" w:after="100" w:afterAutospacing="1"/>
    </w:pPr>
  </w:style>
  <w:style w:type="character" w:customStyle="1" w:styleId="15">
    <w:name w:val="批注框文本 Char"/>
    <w:basedOn w:val="8"/>
    <w:link w:val="3"/>
    <w:qFormat/>
    <w:uiPriority w:val="0"/>
    <w:rPr>
      <w:rFonts w:ascii="Calibri" w:hAnsi="Calibri" w:eastAsia="宋体"/>
      <w:kern w:val="2"/>
      <w:sz w:val="18"/>
      <w:szCs w:val="18"/>
    </w:rPr>
  </w:style>
  <w:style w:type="paragraph" w:customStyle="1" w:styleId="16">
    <w:name w:val="普通(网站) Char"/>
    <w:basedOn w:val="1"/>
    <w:qFormat/>
    <w:uiPriority w:val="0"/>
    <w:pPr>
      <w:spacing w:before="100" w:beforeAutospacing="1" w:after="100" w:afterAutospacing="1"/>
      <w:ind w:left="0" w:right="0"/>
      <w:jc w:val="left"/>
    </w:pPr>
    <w:rPr>
      <w:rFonts w:hint="eastAsia" w:ascii="方正仿宋简体" w:hAnsi="方正仿宋简体" w:eastAsia="方正仿宋简体" w:cs="方正仿宋简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845</Words>
  <Characters>4817</Characters>
  <Lines>40</Lines>
  <Paragraphs>11</Paragraphs>
  <TotalTime>0</TotalTime>
  <ScaleCrop>false</ScaleCrop>
  <LinksUpToDate>false</LinksUpToDate>
  <CharactersWithSpaces>5651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Mr.Yuan</cp:lastModifiedBy>
  <cp:lastPrinted>2021-08-31T06:34:00Z</cp:lastPrinted>
  <dcterms:modified xsi:type="dcterms:W3CDTF">2022-02-09T01:19:35Z</dcterms:modified>
  <dc:title>公开报告模板</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2A02AAF94E3948B6BAC8799DD65ABA48</vt:lpwstr>
  </property>
</Properties>
</file>