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center"/>
        <w:rPr>
          <w:rFonts w:ascii="方正小标宋_GBK" w:hAnsi="华文中宋" w:eastAsia="方正小标宋_GBK"/>
          <w:color w:val="000000" w:themeColor="text1"/>
          <w:sz w:val="44"/>
          <w:szCs w:val="44"/>
        </w:rPr>
      </w:pPr>
      <w:r>
        <w:rPr>
          <w:rFonts w:hint="eastAsia" w:ascii="方正小标宋_GBK" w:hAnsi="华文中宋" w:eastAsia="方正小标宋_GBK"/>
          <w:color w:val="000000" w:themeColor="text1"/>
          <w:sz w:val="44"/>
          <w:szCs w:val="44"/>
        </w:rPr>
        <w:t>重庆市南岸区人大常委会办公室</w:t>
      </w:r>
    </w:p>
    <w:p>
      <w:pPr>
        <w:pStyle w:val="6"/>
        <w:shd w:val="clear" w:color="auto"/>
        <w:spacing w:before="0" w:beforeAutospacing="0" w:after="0" w:afterAutospacing="0" w:line="560" w:lineRule="exact"/>
        <w:jc w:val="center"/>
        <w:outlineLvl w:val="0"/>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2020年度部门决算情况说明</w:t>
      </w:r>
    </w:p>
    <w:p>
      <w:pPr>
        <w:pStyle w:val="6"/>
        <w:shd w:val="clear" w:color="auto"/>
        <w:spacing w:before="0" w:beforeAutospacing="0" w:after="0" w:afterAutospacing="0" w:line="560" w:lineRule="exact"/>
        <w:ind w:firstLine="640" w:firstLineChars="200"/>
        <w:jc w:val="both"/>
        <w:outlineLvl w:val="0"/>
        <w:rPr>
          <w:rFonts w:ascii="方正仿宋_GBK" w:eastAsia="方正仿宋_GBK"/>
          <w:color w:val="000000" w:themeColor="text1"/>
          <w:sz w:val="32"/>
          <w:szCs w:val="32"/>
        </w:rPr>
      </w:pPr>
    </w:p>
    <w:p>
      <w:pPr>
        <w:pStyle w:val="6"/>
        <w:shd w:val="clear"/>
        <w:spacing w:before="0" w:beforeAutospacing="0" w:after="0" w:afterAutospacing="0" w:line="600" w:lineRule="exact"/>
        <w:ind w:firstLine="643" w:firstLineChars="200"/>
        <w:jc w:val="both"/>
        <w:rPr>
          <w:rStyle w:val="10"/>
          <w:rFonts w:ascii="方正黑体_GBK" w:eastAsia="方正黑体_GBK"/>
          <w:b w:val="0"/>
          <w:color w:val="000000" w:themeColor="text1"/>
          <w:sz w:val="32"/>
          <w:szCs w:val="32"/>
        </w:rPr>
      </w:pPr>
      <w:r>
        <w:rPr>
          <w:rStyle w:val="10"/>
          <w:rFonts w:hint="eastAsia" w:ascii="方正黑体_GBK" w:eastAsia="方正黑体_GBK"/>
          <w:color w:val="000000" w:themeColor="text1"/>
          <w:sz w:val="32"/>
          <w:szCs w:val="32"/>
        </w:rPr>
        <w:t>一、部门基本情况</w:t>
      </w:r>
    </w:p>
    <w:p>
      <w:pPr>
        <w:pStyle w:val="6"/>
        <w:shd w:val="clear"/>
        <w:spacing w:before="0" w:beforeAutospacing="0" w:after="0" w:afterAutospacing="0" w:line="600" w:lineRule="exact"/>
        <w:ind w:firstLine="200"/>
        <w:jc w:val="both"/>
        <w:rPr>
          <w:rFonts w:ascii="方正仿宋_GBK" w:eastAsia="方正仿宋_GBK"/>
          <w:color w:val="000000" w:themeColor="text1"/>
        </w:rPr>
      </w:pPr>
      <w:r>
        <w:rPr>
          <w:rFonts w:hint="eastAsia" w:ascii="方正仿宋_GBK" w:eastAsia="方正仿宋_GBK"/>
          <w:color w:val="000000" w:themeColor="text1"/>
          <w:sz w:val="32"/>
          <w:szCs w:val="32"/>
        </w:rPr>
        <w:t xml:space="preserve">  </w:t>
      </w:r>
      <w:r>
        <w:rPr>
          <w:rFonts w:hint="eastAsia" w:ascii="方正仿宋_GBK" w:eastAsia="方正仿宋_GBK"/>
          <w:b/>
          <w:color w:val="000000" w:themeColor="text1"/>
          <w:sz w:val="32"/>
          <w:szCs w:val="32"/>
        </w:rPr>
        <w:t>（一）职能职责</w:t>
      </w:r>
    </w:p>
    <w:p>
      <w:pPr>
        <w:shd w:val="clear"/>
        <w:spacing w:line="600" w:lineRule="exact"/>
        <w:ind w:firstLine="640" w:firstLineChars="200"/>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重庆市南岸区人民代表大会是南岸区地方国家权力机关。按照《中华人民共和国宪法》规定，区人民代表大会每届任期五年。每年至少举行一次会议。区人民代表大会的代表由辖区广大选民选举产生。根据《中华人民共和国宪法》和《中华人民共和国地方各级人民代表大会和地方各级人民政府组织法》规定，区人民代表大会保证宪法、法律、行政法规和省、市人民代表大会及其常务委员会决议在本行政区域内的遵守和执行，保证国家计划和国家预算的执行；审查和批准区国民经济和社会发展计划、预算以及它们执行情况的报告；讨论、决定本区政治、经济、教育、科学、文化、卫生、环境和资源保护、民政、民族等工作的重大事项；选举区人民代表大会常务委员会的组成人员和区人民政府、区人民法院、区人民检察院主要负责人，选举市人民代表大会代表；听取和审查本级各国家机关工作报告。</w:t>
      </w:r>
    </w:p>
    <w:p>
      <w:pPr>
        <w:numPr>
          <w:ilvl w:val="0"/>
          <w:numId w:val="1"/>
        </w:numPr>
        <w:shd w:val="clear"/>
        <w:spacing w:line="600" w:lineRule="exact"/>
        <w:ind w:firstLine="643" w:firstLineChars="200"/>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机构设置</w:t>
      </w:r>
    </w:p>
    <w:p>
      <w:pPr>
        <w:pStyle w:val="6"/>
        <w:shd w:val="clear" w:color="auto"/>
        <w:spacing w:before="0" w:beforeAutospacing="0" w:after="0" w:afterAutospacing="0" w:line="560" w:lineRule="exact"/>
        <w:ind w:firstLine="640" w:firstLineChars="200"/>
        <w:jc w:val="both"/>
        <w:outlineLvl w:val="1"/>
        <w:rPr>
          <w:rFonts w:ascii="方正仿宋_GBK" w:hAnsi="仿宋" w:eastAsia="方正仿宋_GBK"/>
          <w:color w:val="000000" w:themeColor="text1"/>
          <w:sz w:val="32"/>
          <w:szCs w:val="32"/>
        </w:rPr>
      </w:pPr>
      <w:r>
        <w:rPr>
          <w:rFonts w:hint="eastAsia" w:ascii="方正仿宋_GBK" w:hAnsi="仿宋" w:eastAsia="方正仿宋_GBK"/>
          <w:color w:val="000000" w:themeColor="text1"/>
          <w:sz w:val="32"/>
          <w:szCs w:val="32"/>
        </w:rPr>
        <w:t>南岸区人民代表大会常务委员会是南岸区人民代表大会的常设机关，在闭会期间对南岸区人民代表大会负责并报告工作。南岸区人民代表大会下设财经委、监法委、城环委和社建委四个专委会。南岸区人民代表大会常务委员会下设办公室、备案审查办公室、信息中心、人事代表工委、预算工委和教科工委6个委室。</w:t>
      </w:r>
    </w:p>
    <w:p>
      <w:pPr>
        <w:shd w:val="clear"/>
        <w:spacing w:line="600" w:lineRule="exact"/>
        <w:ind w:firstLine="643" w:firstLineChars="200"/>
        <w:jc w:val="both"/>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（三）单位构成</w:t>
      </w:r>
    </w:p>
    <w:p>
      <w:pPr>
        <w:shd w:val="clear"/>
        <w:spacing w:line="600" w:lineRule="exact"/>
        <w:ind w:firstLine="640" w:firstLineChars="200"/>
        <w:jc w:val="both"/>
        <w:rPr>
          <w:rFonts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纳入本部门2020年度决算编制的二级预算单位为南岸区人大常委会信息中心。该信息中心为副处级事业单位，机构类型为公益一类。</w:t>
      </w:r>
    </w:p>
    <w:p>
      <w:pPr>
        <w:pStyle w:val="6"/>
        <w:shd w:val="clear" w:color="auto"/>
        <w:spacing w:before="0" w:beforeAutospacing="0" w:after="0" w:afterAutospacing="0" w:line="560" w:lineRule="exact"/>
        <w:ind w:firstLine="640" w:firstLineChars="200"/>
        <w:jc w:val="both"/>
        <w:outlineLvl w:val="0"/>
        <w:rPr>
          <w:rStyle w:val="10"/>
          <w:rFonts w:ascii="方正黑体_GBK" w:eastAsia="方正黑体_GBK"/>
          <w:b w:val="0"/>
          <w:color w:val="000000" w:themeColor="text1"/>
        </w:rPr>
      </w:pPr>
      <w:r>
        <w:rPr>
          <w:rStyle w:val="10"/>
          <w:rFonts w:hint="eastAsia" w:ascii="方正黑体_GBK" w:eastAsia="方正黑体_GBK"/>
          <w:b w:val="0"/>
          <w:color w:val="000000" w:themeColor="text1"/>
          <w:sz w:val="32"/>
          <w:szCs w:val="32"/>
        </w:rPr>
        <w:t>二、部门决算情况说明</w:t>
      </w:r>
    </w:p>
    <w:p>
      <w:pPr>
        <w:pStyle w:val="6"/>
        <w:shd w:val="clear" w:color="auto"/>
        <w:spacing w:before="0" w:beforeAutospacing="0" w:after="0" w:afterAutospacing="0" w:line="560" w:lineRule="exact"/>
        <w:ind w:firstLine="643" w:firstLineChars="200"/>
        <w:jc w:val="both"/>
        <w:outlineLvl w:val="0"/>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（一）收入支出决算总体情况说明</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1.总体情况。</w:t>
      </w:r>
      <w:r>
        <w:rPr>
          <w:rFonts w:hint="eastAsia" w:ascii="方正仿宋_GBK" w:eastAsia="方正仿宋_GBK"/>
          <w:color w:val="000000" w:themeColor="text1"/>
          <w:sz w:val="32"/>
          <w:szCs w:val="32"/>
        </w:rPr>
        <w:t>2020年度收入总计1972.75万元，支出总计1972.75万元。</w:t>
      </w:r>
      <w:r>
        <w:rPr>
          <w:rFonts w:hint="eastAsia" w:ascii="方正仿宋_GBK" w:eastAsia="方正仿宋_GBK"/>
          <w:color w:val="000000" w:themeColor="text1"/>
          <w:sz w:val="32"/>
          <w:szCs w:val="32"/>
          <w:lang w:eastAsia="zh-CN"/>
        </w:rPr>
        <w:t>收入</w:t>
      </w:r>
      <w:r>
        <w:rPr>
          <w:rFonts w:hint="eastAsia" w:ascii="方正仿宋_GBK" w:eastAsia="方正仿宋_GBK"/>
          <w:color w:val="000000" w:themeColor="text1"/>
          <w:sz w:val="32"/>
          <w:szCs w:val="32"/>
        </w:rPr>
        <w:t>较上年决算数减少64.13万元，下降3.15%，</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lang w:eastAsia="zh-CN"/>
        </w:rPr>
        <w:t>人员经费和专项经费较上年都略有减少；</w:t>
      </w:r>
      <w:r>
        <w:rPr>
          <w:rFonts w:hint="eastAsia" w:ascii="方正仿宋_GBK" w:eastAsia="方正仿宋_GBK"/>
          <w:color w:val="000000" w:themeColor="text1"/>
          <w:sz w:val="32"/>
          <w:szCs w:val="32"/>
        </w:rPr>
        <w:t>支出合计1972.75万元，较上年决算数减少93.12万元，下降4.51%，</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较上年相比基本支出、代表经费等专项支出减少</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shd w:val="clear" w:color="auto" w:fill="FFFFFF"/>
        </w:rPr>
        <w:t>本部分的收入总计包括收入合计、用事业基金弥补收支差额、年初结转和结余，支出总计包括本年支出合计、结余分配、年末结转和结余。</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2.收入情况。</w:t>
      </w:r>
      <w:r>
        <w:rPr>
          <w:rFonts w:hint="eastAsia" w:ascii="方正仿宋_GBK" w:eastAsia="方正仿宋_GBK"/>
          <w:color w:val="000000" w:themeColor="text1"/>
          <w:sz w:val="32"/>
          <w:szCs w:val="32"/>
        </w:rPr>
        <w:t>2020年度收入合计1972.75万元，较上年决算数减少64.13万元，下降3.15%，</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较上年相比三权行使专项</w:t>
      </w:r>
      <w:r>
        <w:rPr>
          <w:rFonts w:hint="eastAsia" w:ascii="方正仿宋_GBK" w:hAnsi="方正仿宋_GBK" w:eastAsia="方正仿宋_GBK" w:cs="方正仿宋_GBK"/>
          <w:color w:val="000000" w:themeColor="text1"/>
          <w:sz w:val="32"/>
          <w:szCs w:val="32"/>
          <w:shd w:val="clear" w:color="auto" w:fill="FFFFFF"/>
          <w:lang w:eastAsia="zh-CN"/>
        </w:rPr>
        <w:t>、</w:t>
      </w:r>
      <w:r>
        <w:rPr>
          <w:rFonts w:hint="eastAsia" w:ascii="方正仿宋_GBK" w:hAnsi="方正仿宋_GBK" w:eastAsia="方正仿宋_GBK" w:cs="方正仿宋_GBK"/>
          <w:color w:val="000000" w:themeColor="text1"/>
          <w:sz w:val="32"/>
          <w:szCs w:val="32"/>
          <w:shd w:val="clear" w:color="auto" w:fill="FFFFFF"/>
        </w:rPr>
        <w:t>代表经费</w:t>
      </w:r>
      <w:r>
        <w:rPr>
          <w:rFonts w:hint="eastAsia" w:ascii="方正仿宋_GBK" w:hAnsi="方正仿宋_GBK" w:eastAsia="方正仿宋_GBK" w:cs="方正仿宋_GBK"/>
          <w:color w:val="000000" w:themeColor="text1"/>
          <w:sz w:val="32"/>
          <w:szCs w:val="32"/>
          <w:shd w:val="clear" w:color="auto" w:fill="FFFFFF"/>
          <w:lang w:eastAsia="zh-CN"/>
        </w:rPr>
        <w:t>及</w:t>
      </w:r>
      <w:r>
        <w:rPr>
          <w:rFonts w:hint="eastAsia" w:ascii="方正仿宋_GBK" w:hAnsi="方正仿宋_GBK" w:eastAsia="方正仿宋_GBK" w:cs="方正仿宋_GBK"/>
          <w:color w:val="000000" w:themeColor="text1"/>
          <w:sz w:val="32"/>
          <w:szCs w:val="32"/>
          <w:shd w:val="clear" w:color="auto" w:fill="FFFFFF"/>
        </w:rPr>
        <w:t>人大建设</w:t>
      </w:r>
      <w:r>
        <w:rPr>
          <w:rFonts w:hint="eastAsia" w:ascii="方正仿宋_GBK" w:hAnsi="方正仿宋_GBK" w:eastAsia="方正仿宋_GBK" w:cs="方正仿宋_GBK"/>
          <w:color w:val="000000" w:themeColor="text1"/>
          <w:sz w:val="32"/>
          <w:szCs w:val="32"/>
          <w:shd w:val="clear" w:color="auto" w:fill="FFFFFF"/>
          <w:lang w:eastAsia="zh-CN"/>
        </w:rPr>
        <w:t>专项</w:t>
      </w:r>
      <w:r>
        <w:rPr>
          <w:rFonts w:hint="eastAsia" w:ascii="方正仿宋_GBK" w:hAnsi="方正仿宋_GBK" w:eastAsia="方正仿宋_GBK" w:cs="方正仿宋_GBK"/>
          <w:color w:val="000000" w:themeColor="text1"/>
          <w:sz w:val="32"/>
          <w:szCs w:val="32"/>
          <w:shd w:val="clear" w:color="auto" w:fill="FFFFFF"/>
        </w:rPr>
        <w:t>经费</w:t>
      </w:r>
      <w:r>
        <w:rPr>
          <w:rFonts w:hint="eastAsia" w:ascii="方正仿宋_GBK" w:hAnsi="方正仿宋_GBK" w:eastAsia="方正仿宋_GBK" w:cs="方正仿宋_GBK"/>
          <w:color w:val="000000" w:themeColor="text1"/>
          <w:sz w:val="32"/>
          <w:szCs w:val="32"/>
          <w:shd w:val="clear" w:color="auto" w:fill="FFFFFF"/>
          <w:lang w:eastAsia="zh-CN"/>
        </w:rPr>
        <w:t>总计较上年减少</w:t>
      </w:r>
      <w:r>
        <w:rPr>
          <w:rFonts w:hint="eastAsia" w:ascii="方正仿宋_GBK" w:hAnsi="方正仿宋_GBK" w:eastAsia="方正仿宋_GBK" w:cs="方正仿宋_GBK"/>
          <w:color w:val="000000" w:themeColor="text1"/>
          <w:sz w:val="32"/>
          <w:szCs w:val="32"/>
          <w:shd w:val="clear" w:color="auto" w:fill="FFFFFF"/>
          <w:lang w:val="en-US" w:eastAsia="zh-CN"/>
        </w:rPr>
        <w:t>40.67万元</w:t>
      </w:r>
      <w:r>
        <w:rPr>
          <w:rFonts w:hint="eastAsia" w:ascii="方正仿宋_GBK" w:hAnsi="方正仿宋_GBK" w:eastAsia="方正仿宋_GBK" w:cs="方正仿宋_GBK"/>
          <w:color w:val="000000" w:themeColor="text1"/>
          <w:sz w:val="32"/>
          <w:szCs w:val="32"/>
          <w:shd w:val="clear" w:color="auto" w:fill="FFFFFF"/>
        </w:rPr>
        <w:t>，其余为人员经费减少。本部分的收入总计包括收入合计、用事业基金弥补收支差额、年初结转和结余，支出总计包括本年支出合计、结余分配、年末结转和结余。</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3.支出情况。</w:t>
      </w:r>
      <w:r>
        <w:rPr>
          <w:rFonts w:hint="eastAsia" w:ascii="方正仿宋_GBK" w:eastAsia="方正仿宋_GBK"/>
          <w:color w:val="000000" w:themeColor="text1"/>
          <w:sz w:val="32"/>
          <w:szCs w:val="32"/>
        </w:rPr>
        <w:t>2020年度支出合计1972.75万元，较上年决算数减少93.12万元，下降4.51%，</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较上年相比基本支出、代表经费等专项支出减少</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shd w:val="clear" w:color="auto" w:fill="FFFFFF"/>
        </w:rPr>
        <w:t>其中：基本支出1569.4万元，占79.55%；项目支出403.35万元，占20.45%。</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4.结转结余情况。</w:t>
      </w:r>
      <w:r>
        <w:rPr>
          <w:rFonts w:hint="eastAsia" w:ascii="方正仿宋_GBK" w:eastAsia="方正仿宋_GBK"/>
          <w:color w:val="000000" w:themeColor="text1"/>
          <w:sz w:val="32"/>
          <w:szCs w:val="32"/>
        </w:rPr>
        <w:t>2020年度年末结转和结余0万元，较上年决算数</w:t>
      </w:r>
      <w:r>
        <w:rPr>
          <w:rFonts w:hint="eastAsia" w:ascii="方正仿宋_GBK" w:eastAsia="方正仿宋_GBK"/>
          <w:b/>
          <w:bCs/>
          <w:color w:val="000000" w:themeColor="text1"/>
          <w:sz w:val="32"/>
          <w:szCs w:val="32"/>
        </w:rPr>
        <w:t>持平</w:t>
      </w:r>
      <w:r>
        <w:rPr>
          <w:rFonts w:hint="eastAsia" w:ascii="方正仿宋_GBK" w:eastAsia="方正仿宋_GBK"/>
          <w:color w:val="000000" w:themeColor="text1"/>
          <w:sz w:val="32"/>
          <w:szCs w:val="32"/>
        </w:rPr>
        <w:t>。</w:t>
      </w:r>
    </w:p>
    <w:p>
      <w:pPr>
        <w:pStyle w:val="6"/>
        <w:shd w:val="clear" w:color="auto"/>
        <w:spacing w:before="0" w:beforeAutospacing="0" w:after="0" w:afterAutospacing="0" w:line="560" w:lineRule="exact"/>
        <w:ind w:firstLine="643" w:firstLineChars="200"/>
        <w:jc w:val="both"/>
        <w:outlineLvl w:val="0"/>
        <w:rPr>
          <w:rStyle w:val="10"/>
          <w:color w:val="000000" w:themeColor="text1"/>
        </w:rPr>
      </w:pPr>
      <w:r>
        <w:rPr>
          <w:rStyle w:val="10"/>
          <w:rFonts w:hint="eastAsia" w:ascii="方正仿宋_GBK" w:eastAsia="方正仿宋_GBK"/>
          <w:color w:val="000000" w:themeColor="text1"/>
          <w:sz w:val="32"/>
          <w:szCs w:val="32"/>
        </w:rPr>
        <w:t>（二）财政拨款收入支出决算总体情况说明</w:t>
      </w:r>
    </w:p>
    <w:p>
      <w:pPr>
        <w:pStyle w:val="6"/>
        <w:shd w:val="clear" w:color="auto"/>
        <w:spacing w:before="0" w:beforeAutospacing="0" w:after="0" w:afterAutospacing="0" w:line="560" w:lineRule="exact"/>
        <w:ind w:firstLine="640" w:firstLineChars="200"/>
        <w:jc w:val="both"/>
        <w:rPr>
          <w:color w:val="000000" w:themeColor="text1"/>
        </w:rPr>
      </w:pPr>
      <w:r>
        <w:rPr>
          <w:rFonts w:hint="eastAsia" w:ascii="方正仿宋_GBK" w:eastAsia="方正仿宋_GBK"/>
          <w:bCs/>
          <w:color w:val="000000" w:themeColor="text1"/>
          <w:sz w:val="32"/>
          <w:szCs w:val="32"/>
        </w:rPr>
        <w:t>2020年度财政拨款收</w:t>
      </w:r>
      <w:r>
        <w:rPr>
          <w:rFonts w:hint="eastAsia" w:ascii="方正仿宋_GBK" w:eastAsia="方正仿宋_GBK"/>
          <w:bCs/>
          <w:color w:val="000000" w:themeColor="text1"/>
          <w:sz w:val="32"/>
          <w:szCs w:val="32"/>
          <w:lang w:eastAsia="zh-CN"/>
        </w:rPr>
        <w:t>入</w:t>
      </w:r>
      <w:r>
        <w:rPr>
          <w:rFonts w:hint="eastAsia" w:ascii="方正仿宋_GBK" w:eastAsia="方正仿宋_GBK"/>
          <w:bCs/>
          <w:color w:val="000000" w:themeColor="text1"/>
          <w:sz w:val="32"/>
          <w:szCs w:val="32"/>
        </w:rPr>
        <w:t>总计</w:t>
      </w:r>
      <w:r>
        <w:rPr>
          <w:rFonts w:hint="eastAsia" w:ascii="方正仿宋_GBK" w:eastAsia="方正仿宋_GBK"/>
          <w:color w:val="000000" w:themeColor="text1"/>
          <w:sz w:val="32"/>
          <w:szCs w:val="32"/>
        </w:rPr>
        <w:t>1972.75</w:t>
      </w:r>
      <w:r>
        <w:rPr>
          <w:rFonts w:hint="eastAsia" w:ascii="方正仿宋_GBK" w:eastAsia="方正仿宋_GBK"/>
          <w:bCs/>
          <w:color w:val="000000" w:themeColor="text1"/>
          <w:sz w:val="32"/>
          <w:szCs w:val="32"/>
        </w:rPr>
        <w:t>万元。与2019年相比，财政拨款收</w:t>
      </w:r>
      <w:r>
        <w:rPr>
          <w:rFonts w:hint="eastAsia" w:ascii="方正仿宋_GBK" w:eastAsia="方正仿宋_GBK"/>
          <w:bCs/>
          <w:color w:val="000000" w:themeColor="text1"/>
          <w:sz w:val="32"/>
          <w:szCs w:val="32"/>
          <w:lang w:eastAsia="zh-CN"/>
        </w:rPr>
        <w:t>入</w:t>
      </w:r>
      <w:r>
        <w:rPr>
          <w:rFonts w:hint="eastAsia" w:ascii="方正仿宋_GBK" w:eastAsia="方正仿宋_GBK"/>
          <w:color w:val="000000" w:themeColor="text1"/>
          <w:sz w:val="32"/>
          <w:szCs w:val="32"/>
        </w:rPr>
        <w:t>较上年决算数减少64.13万元，下降3.15%，</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lang w:eastAsia="zh-CN"/>
        </w:rPr>
        <w:t>人员经费和专项经费较上年都略有减少；</w:t>
      </w:r>
      <w:r>
        <w:rPr>
          <w:rFonts w:hint="eastAsia" w:ascii="方正仿宋_GBK" w:eastAsia="方正仿宋_GBK"/>
          <w:color w:val="000000" w:themeColor="text1"/>
          <w:sz w:val="32"/>
          <w:szCs w:val="32"/>
        </w:rPr>
        <w:t>支出合计1972.75万元，较上年决算数减少93.12万元，下降4.51%，</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较上年相比基本支出、代表经费等专项支出减少</w:t>
      </w:r>
      <w:r>
        <w:rPr>
          <w:rFonts w:hint="eastAsia" w:ascii="方正仿宋_GBK" w:eastAsia="方正仿宋_GBK"/>
          <w:color w:val="000000" w:themeColor="text1"/>
          <w:sz w:val="32"/>
          <w:szCs w:val="32"/>
        </w:rPr>
        <w:t>。</w:t>
      </w:r>
    </w:p>
    <w:p>
      <w:pPr>
        <w:pStyle w:val="6"/>
        <w:shd w:val="clear" w:color="auto"/>
        <w:spacing w:before="0" w:beforeAutospacing="0" w:after="0" w:afterAutospacing="0" w:line="560" w:lineRule="exact"/>
        <w:ind w:firstLine="643" w:firstLineChars="200"/>
        <w:jc w:val="both"/>
        <w:outlineLvl w:val="0"/>
        <w:rPr>
          <w:rStyle w:val="10"/>
          <w:color w:val="000000" w:themeColor="text1"/>
        </w:rPr>
      </w:pPr>
      <w:r>
        <w:rPr>
          <w:rStyle w:val="10"/>
          <w:rFonts w:hint="eastAsia" w:ascii="方正仿宋_GBK" w:eastAsia="方正仿宋_GBK"/>
          <w:color w:val="000000" w:themeColor="text1"/>
          <w:sz w:val="32"/>
          <w:szCs w:val="32"/>
        </w:rPr>
        <w:t>（三）一般公共预算财政拨款支出决算情况说明</w:t>
      </w:r>
    </w:p>
    <w:p>
      <w:pPr>
        <w:pStyle w:val="6"/>
        <w:shd w:val="clear" w:color="auto"/>
        <w:spacing w:before="0" w:beforeAutospacing="0" w:after="0" w:afterAutospacing="0" w:line="560" w:lineRule="exact"/>
        <w:ind w:firstLine="643" w:firstLineChars="200"/>
        <w:jc w:val="both"/>
        <w:rPr>
          <w:color w:val="000000" w:themeColor="text1"/>
        </w:rPr>
      </w:pPr>
      <w:r>
        <w:rPr>
          <w:rFonts w:hint="eastAsia" w:ascii="方正仿宋_GBK" w:eastAsia="方正仿宋_GBK"/>
          <w:b/>
          <w:color w:val="000000" w:themeColor="text1"/>
          <w:sz w:val="32"/>
          <w:szCs w:val="32"/>
        </w:rPr>
        <w:t>1.收入情况。</w:t>
      </w:r>
      <w:r>
        <w:rPr>
          <w:rFonts w:hint="eastAsia" w:ascii="方正仿宋_GBK" w:eastAsia="方正仿宋_GBK"/>
          <w:color w:val="000000" w:themeColor="text1"/>
          <w:sz w:val="32"/>
          <w:szCs w:val="32"/>
        </w:rPr>
        <w:t>2020年度一般公共预算财政拨款收入1972.75万元，较上年决算数64.13万元，下降3.15%。</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w:t>
      </w:r>
      <w:r>
        <w:rPr>
          <w:rFonts w:hint="eastAsia" w:ascii="方正仿宋_GBK" w:hAnsi="方正仿宋_GBK" w:eastAsia="方正仿宋_GBK" w:cs="方正仿宋_GBK"/>
          <w:color w:val="000000" w:themeColor="text1"/>
          <w:sz w:val="32"/>
          <w:szCs w:val="32"/>
          <w:shd w:val="clear" w:color="auto" w:fill="FFFFFF"/>
          <w:lang w:eastAsia="zh-CN"/>
        </w:rPr>
        <w:t>专项经费减少</w:t>
      </w:r>
      <w:r>
        <w:rPr>
          <w:rFonts w:hint="eastAsia" w:ascii="方正仿宋_GBK" w:hAnsi="方正仿宋_GBK" w:eastAsia="方正仿宋_GBK" w:cs="方正仿宋_GBK"/>
          <w:color w:val="000000" w:themeColor="text1"/>
          <w:sz w:val="32"/>
          <w:szCs w:val="32"/>
          <w:shd w:val="clear" w:color="auto" w:fill="FFFFFF"/>
          <w:lang w:val="en-US" w:eastAsia="zh-CN"/>
        </w:rPr>
        <w:t>40.67</w:t>
      </w:r>
      <w:r>
        <w:rPr>
          <w:rFonts w:hint="eastAsia" w:ascii="方正仿宋_GBK" w:hAnsi="方正仿宋_GBK" w:eastAsia="方正仿宋_GBK" w:cs="方正仿宋_GBK"/>
          <w:color w:val="000000" w:themeColor="text1"/>
          <w:sz w:val="32"/>
          <w:szCs w:val="32"/>
          <w:shd w:val="clear" w:color="auto" w:fill="FFFFFF"/>
        </w:rPr>
        <w:t>万元，其余为人员经费减少。</w:t>
      </w:r>
      <w:r>
        <w:rPr>
          <w:rFonts w:hint="eastAsia" w:ascii="方正仿宋_GBK" w:eastAsia="方正仿宋_GBK"/>
          <w:color w:val="000000" w:themeColor="text1"/>
          <w:sz w:val="32"/>
          <w:szCs w:val="32"/>
        </w:rPr>
        <w:t>较年初预算数减少112.92万元，下降 5.41%。主要原因是按照区里统一要求压缩专项经费开支。此外，年初财政拨款结转和结余0万元。</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2.支出情况。</w:t>
      </w:r>
      <w:r>
        <w:rPr>
          <w:rFonts w:hint="eastAsia" w:ascii="方正仿宋_GBK" w:eastAsia="方正仿宋_GBK"/>
          <w:color w:val="000000" w:themeColor="text1"/>
          <w:sz w:val="32"/>
          <w:szCs w:val="32"/>
        </w:rPr>
        <w:t>2020年度一般公共预算财政拨款支出1972.75万元，较上年决算数减少93.12万元，下降4.51%。</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按照区里统一要求压缩专项经费开支，</w:t>
      </w:r>
      <w:r>
        <w:rPr>
          <w:rFonts w:hint="eastAsia" w:ascii="方正仿宋_GBK" w:hAnsi="方正仿宋_GBK" w:eastAsia="方正仿宋_GBK" w:cs="方正仿宋_GBK"/>
          <w:color w:val="000000" w:themeColor="text1"/>
          <w:sz w:val="32"/>
          <w:szCs w:val="32"/>
          <w:shd w:val="clear" w:color="auto" w:fill="FFFFFF"/>
        </w:rPr>
        <w:t>较上年相比基本支出、代表经费等专项支出减少</w:t>
      </w:r>
      <w:r>
        <w:rPr>
          <w:rFonts w:hint="eastAsia" w:ascii="方正仿宋_GBK" w:eastAsia="方正仿宋_GBK"/>
          <w:color w:val="000000" w:themeColor="text1"/>
          <w:sz w:val="32"/>
          <w:szCs w:val="32"/>
        </w:rPr>
        <w:t>。较年初预算数减少 112.92万元，下降5.41%。主要原因是按照区里统一要求压缩专项经费开支。</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3.结转结余情况。</w:t>
      </w:r>
      <w:r>
        <w:rPr>
          <w:rFonts w:hint="eastAsia" w:ascii="方正仿宋_GBK" w:eastAsia="方正仿宋_GBK"/>
          <w:color w:val="000000" w:themeColor="text1"/>
          <w:sz w:val="32"/>
          <w:szCs w:val="32"/>
        </w:rPr>
        <w:t>2020年度年末一般公共预算财政拨款结转和结余0万元，较上年决算数0万元，与上年</w:t>
      </w:r>
      <w:r>
        <w:rPr>
          <w:rFonts w:hint="eastAsia" w:ascii="方正仿宋_GBK" w:eastAsia="方正仿宋_GBK"/>
          <w:b/>
          <w:bCs/>
          <w:color w:val="000000" w:themeColor="text1"/>
          <w:sz w:val="32"/>
          <w:szCs w:val="32"/>
        </w:rPr>
        <w:t>持平</w:t>
      </w:r>
      <w:r>
        <w:rPr>
          <w:rFonts w:hint="eastAsia" w:ascii="方正仿宋_GBK" w:eastAsia="方正仿宋_GBK"/>
          <w:color w:val="000000" w:themeColor="text1"/>
          <w:sz w:val="32"/>
          <w:szCs w:val="32"/>
        </w:rPr>
        <w:t>。</w:t>
      </w:r>
    </w:p>
    <w:p>
      <w:pPr>
        <w:pStyle w:val="6"/>
        <w:widowControl w:val="0"/>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4.比较情况。</w:t>
      </w:r>
      <w:r>
        <w:rPr>
          <w:rFonts w:hint="eastAsia" w:ascii="方正仿宋_GBK" w:eastAsia="方正仿宋_GBK"/>
          <w:color w:val="000000" w:themeColor="text1"/>
          <w:sz w:val="32"/>
          <w:szCs w:val="32"/>
        </w:rPr>
        <w:t>本部门2020年度一般公共预算财政拨款支出主要用于以下几个方面：</w:t>
      </w:r>
      <w:r>
        <w:rPr>
          <w:rFonts w:ascii="方正仿宋_GBK" w:eastAsia="方正仿宋_GBK"/>
          <w:color w:val="000000" w:themeColor="text1"/>
          <w:sz w:val="32"/>
          <w:szCs w:val="32"/>
        </w:rPr>
        <w:t xml:space="preserve"> </w:t>
      </w:r>
    </w:p>
    <w:p>
      <w:pPr>
        <w:pStyle w:val="6"/>
        <w:widowControl w:val="0"/>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（1）一般公共服务支出</w:t>
      </w:r>
      <w:r>
        <w:rPr>
          <w:rFonts w:ascii="方正仿宋_GBK" w:eastAsia="方正仿宋_GBK"/>
          <w:color w:val="000000" w:themeColor="text1"/>
          <w:sz w:val="32"/>
          <w:szCs w:val="32"/>
        </w:rPr>
        <w:t>1562.14</w:t>
      </w:r>
      <w:r>
        <w:rPr>
          <w:rFonts w:hint="eastAsia" w:ascii="方正仿宋_GBK" w:eastAsia="方正仿宋_GBK"/>
          <w:color w:val="000000" w:themeColor="text1"/>
          <w:sz w:val="32"/>
          <w:szCs w:val="32"/>
        </w:rPr>
        <w:t>万元，占79.19%，较年初预算数减少127.99万元，下降7.57%，主要原因是</w:t>
      </w:r>
      <w:r>
        <w:rPr>
          <w:rFonts w:hint="eastAsia" w:ascii="方正仿宋_GBK" w:eastAsia="方正仿宋_GBK"/>
          <w:color w:val="000000" w:themeColor="text1"/>
          <w:sz w:val="32"/>
          <w:szCs w:val="32"/>
          <w:lang w:eastAsia="zh-CN"/>
        </w:rPr>
        <w:t>严格压缩专项及人员经费</w:t>
      </w:r>
      <w:r>
        <w:rPr>
          <w:rFonts w:hint="eastAsia" w:ascii="方正仿宋_GBK" w:hAnsi="方正仿宋_GBK" w:eastAsia="方正仿宋_GBK" w:cs="方正仿宋_GBK"/>
          <w:color w:val="000000" w:themeColor="text1"/>
          <w:sz w:val="32"/>
          <w:szCs w:val="32"/>
          <w:shd w:val="clear" w:color="auto" w:fill="FFFFFF"/>
          <w:lang w:eastAsia="zh-CN"/>
        </w:rPr>
        <w:t>，较上年有所减少</w:t>
      </w:r>
      <w:r>
        <w:rPr>
          <w:rFonts w:hint="eastAsia" w:ascii="方正仿宋_GBK" w:eastAsia="方正仿宋_GBK"/>
          <w:color w:val="000000" w:themeColor="text1"/>
          <w:sz w:val="32"/>
          <w:szCs w:val="32"/>
        </w:rPr>
        <w:t>。</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（2）社会保障与就业支出269.63万元，占13.67%，较年初预算数增加15.07万元，增长6.0%，</w:t>
      </w:r>
      <w:r>
        <w:rPr>
          <w:rFonts w:hint="eastAsia" w:ascii="方正仿宋_GBK" w:hAnsi="方正仿宋_GBK" w:eastAsia="方正仿宋_GBK" w:cs="方正仿宋_GBK"/>
          <w:color w:val="000000" w:themeColor="text1"/>
          <w:sz w:val="32"/>
          <w:szCs w:val="32"/>
          <w:shd w:val="clear" w:color="auto" w:fill="FFFFFF"/>
        </w:rPr>
        <w:t>主要原因是增资因素导致社保费用增加</w:t>
      </w:r>
      <w:r>
        <w:rPr>
          <w:rFonts w:hint="eastAsia" w:ascii="方正仿宋_GBK" w:eastAsia="方正仿宋_GBK"/>
          <w:color w:val="000000" w:themeColor="text1"/>
          <w:sz w:val="32"/>
          <w:szCs w:val="32"/>
        </w:rPr>
        <w:t>。</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（3）卫生健康支出</w:t>
      </w:r>
      <w:r>
        <w:rPr>
          <w:rFonts w:ascii="方正仿宋_GBK" w:eastAsia="方正仿宋_GBK"/>
          <w:color w:val="000000" w:themeColor="text1"/>
          <w:sz w:val="32"/>
          <w:szCs w:val="32"/>
        </w:rPr>
        <w:t>78.34</w:t>
      </w:r>
      <w:r>
        <w:rPr>
          <w:rFonts w:hint="eastAsia" w:ascii="方正仿宋_GBK" w:eastAsia="方正仿宋_GBK"/>
          <w:color w:val="000000" w:themeColor="text1"/>
          <w:sz w:val="32"/>
          <w:szCs w:val="32"/>
        </w:rPr>
        <w:t>万元，占3.97%，较年初预算数持平。</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（4）住房保障支出</w:t>
      </w:r>
      <w:r>
        <w:rPr>
          <w:rFonts w:ascii="方正仿宋_GBK" w:eastAsia="方正仿宋_GBK"/>
          <w:color w:val="000000" w:themeColor="text1"/>
          <w:sz w:val="32"/>
          <w:szCs w:val="32"/>
        </w:rPr>
        <w:t>62.64</w:t>
      </w:r>
      <w:r>
        <w:rPr>
          <w:rFonts w:hint="eastAsia" w:ascii="方正仿宋_GBK" w:eastAsia="方正仿宋_GBK"/>
          <w:color w:val="000000" w:themeColor="text1"/>
          <w:sz w:val="32"/>
          <w:szCs w:val="32"/>
        </w:rPr>
        <w:t>万元，占3.18%，较年初预算数持平。</w:t>
      </w:r>
    </w:p>
    <w:p>
      <w:pPr>
        <w:pStyle w:val="6"/>
        <w:shd w:val="clear" w:color="auto"/>
        <w:spacing w:before="0" w:beforeAutospacing="0" w:after="0" w:afterAutospacing="0" w:line="560" w:lineRule="exact"/>
        <w:ind w:firstLine="643" w:firstLineChars="200"/>
        <w:jc w:val="both"/>
        <w:outlineLvl w:val="0"/>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（四）一般公共预算财政拨款基本支出决算情况说明</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2020年度一般公共财政拨款基本支出1569.4万元。其中：人员经费1375.62万元，较上年决算数减少 51.99万元，下降 3.64%，主要原因是主要原因是增资及人员调入。人员经费用途主要包括基本工资、津贴补贴、奖金、社会保障缴费及住房公积金</w:t>
      </w:r>
      <w:r>
        <w:rPr>
          <w:rFonts w:hint="eastAsia" w:ascii="方正仿宋_GBK" w:hAnsi="方正仿宋_GBK" w:eastAsia="方正仿宋_GBK" w:cs="方正仿宋_GBK"/>
          <w:color w:val="000000" w:themeColor="text1"/>
          <w:sz w:val="32"/>
          <w:szCs w:val="32"/>
          <w:shd w:val="clear" w:color="auto" w:fill="FFFFFF"/>
        </w:rPr>
        <w:t>。</w:t>
      </w:r>
      <w:r>
        <w:rPr>
          <w:rFonts w:hint="eastAsia" w:ascii="方正仿宋_GBK" w:eastAsia="方正仿宋_GBK"/>
          <w:color w:val="000000" w:themeColor="text1"/>
          <w:sz w:val="32"/>
          <w:szCs w:val="32"/>
        </w:rPr>
        <w:t>公用经费193.78万元，较上年决算数减少 0.46万元，下降 0.23%，</w:t>
      </w:r>
      <w:r>
        <w:rPr>
          <w:rFonts w:hint="eastAsia" w:ascii="方正仿宋_GBK" w:hAnsi="方正仿宋_GBK" w:eastAsia="方正仿宋_GBK" w:cs="方正仿宋_GBK"/>
          <w:color w:val="000000" w:themeColor="text1"/>
          <w:sz w:val="32"/>
          <w:szCs w:val="32"/>
          <w:shd w:val="clear" w:color="auto" w:fill="FFFFFF"/>
        </w:rPr>
        <w:t>主要原因是</w:t>
      </w:r>
      <w:r>
        <w:rPr>
          <w:rFonts w:hint="eastAsia" w:ascii="方正仿宋_GBK" w:eastAsia="方正仿宋_GBK"/>
          <w:color w:val="000000" w:themeColor="text1"/>
          <w:sz w:val="32"/>
          <w:szCs w:val="32"/>
        </w:rPr>
        <w:t>厉行节约，对“三公”经费和办公经费进行了严格控制。公用经费用途主要包括办公费、印刷费、咨询费、手续费等。</w:t>
      </w:r>
    </w:p>
    <w:p>
      <w:pPr>
        <w:pStyle w:val="6"/>
        <w:shd w:val="clear" w:color="auto"/>
        <w:spacing w:before="0" w:beforeAutospacing="0" w:after="0" w:afterAutospacing="0" w:line="560" w:lineRule="exact"/>
        <w:ind w:firstLine="643" w:firstLineChars="200"/>
        <w:jc w:val="both"/>
        <w:outlineLvl w:val="0"/>
        <w:rPr>
          <w:rStyle w:val="10"/>
          <w:color w:val="000000" w:themeColor="text1"/>
        </w:rPr>
      </w:pPr>
      <w:r>
        <w:rPr>
          <w:rStyle w:val="10"/>
          <w:rFonts w:hint="eastAsia" w:ascii="方正仿宋_GBK" w:eastAsia="方正仿宋_GBK"/>
          <w:color w:val="000000" w:themeColor="text1"/>
          <w:sz w:val="32"/>
          <w:szCs w:val="32"/>
        </w:rPr>
        <w:t>（五）政府性基金预算收支决算情况说明</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2020年度政府性基金预算财政拨款年初</w:t>
      </w:r>
      <w:r>
        <w:rPr>
          <w:rFonts w:hint="eastAsia" w:ascii="方正仿宋_GBK" w:hAnsi="方正仿宋_GBK" w:eastAsia="方正仿宋_GBK" w:cs="方正仿宋_GBK"/>
          <w:color w:val="000000" w:themeColor="text1"/>
          <w:sz w:val="32"/>
          <w:szCs w:val="32"/>
          <w:shd w:val="clear" w:color="auto" w:fill="FFFFFF"/>
        </w:rPr>
        <w:t>无结转结余</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sz w:val="32"/>
          <w:szCs w:val="32"/>
          <w:shd w:val="clear" w:color="auto" w:fill="FFFFFF"/>
        </w:rPr>
        <w:t>年末亦无结转结余</w:t>
      </w:r>
      <w:r>
        <w:rPr>
          <w:rFonts w:hint="eastAsia" w:ascii="方正仿宋_GBK" w:eastAsia="方正仿宋_GBK"/>
          <w:color w:val="000000" w:themeColor="text1"/>
          <w:sz w:val="32"/>
          <w:szCs w:val="32"/>
        </w:rPr>
        <w:t>。本年收入0万元，较上年决算数减少 1.64万元，下降100%，主要原因是本年没有政府性基金预算财政拨款。本年支出0万元，较上年决算数减少1.64万元，下降100%，主要原因是本年没有政府性基金预算财政拨款。</w:t>
      </w:r>
    </w:p>
    <w:p>
      <w:pPr>
        <w:pStyle w:val="6"/>
        <w:shd w:val="clear" w:color="auto"/>
        <w:spacing w:before="0" w:beforeAutospacing="0" w:after="0" w:afterAutospacing="0" w:line="560" w:lineRule="exact"/>
        <w:ind w:firstLine="643" w:firstLineChars="200"/>
        <w:jc w:val="both"/>
        <w:rPr>
          <w:rFonts w:ascii="方正仿宋_GBK" w:eastAsia="方正仿宋_GBK"/>
          <w:b/>
          <w:bCs/>
          <w:color w:val="000000" w:themeColor="text1"/>
          <w:sz w:val="32"/>
          <w:szCs w:val="32"/>
        </w:rPr>
      </w:pPr>
      <w:r>
        <w:rPr>
          <w:rFonts w:hint="eastAsia" w:ascii="方正仿宋_GBK" w:eastAsia="方正仿宋_GBK"/>
          <w:b/>
          <w:bCs/>
          <w:color w:val="000000" w:themeColor="text1"/>
          <w:sz w:val="32"/>
          <w:szCs w:val="32"/>
        </w:rPr>
        <w:t>本部门2020年度无政府性基金预算财政拨款收支。</w:t>
      </w:r>
    </w:p>
    <w:p>
      <w:pPr>
        <w:pStyle w:val="6"/>
        <w:shd w:val="clear" w:color="auto"/>
        <w:spacing w:before="0" w:beforeAutospacing="0" w:after="0" w:afterAutospacing="0" w:line="560" w:lineRule="exact"/>
        <w:ind w:firstLine="643" w:firstLineChars="200"/>
        <w:jc w:val="both"/>
        <w:outlineLvl w:val="0"/>
        <w:rPr>
          <w:rStyle w:val="10"/>
          <w:color w:val="000000" w:themeColor="text1"/>
        </w:rPr>
      </w:pPr>
      <w:r>
        <w:rPr>
          <w:rStyle w:val="10"/>
          <w:rFonts w:hint="eastAsia" w:ascii="方正仿宋_GBK" w:eastAsia="方正仿宋_GBK"/>
          <w:color w:val="000000" w:themeColor="text1"/>
          <w:sz w:val="32"/>
          <w:szCs w:val="32"/>
        </w:rPr>
        <w:t>（六）国有资本经营预算财政拨款支出决算情况说明</w:t>
      </w:r>
    </w:p>
    <w:p>
      <w:pPr>
        <w:pStyle w:val="6"/>
        <w:shd w:val="clear" w:color="auto"/>
        <w:rPr>
          <w:rFonts w:ascii="方正仿宋_GBK" w:eastAsia="方正仿宋_GBK"/>
          <w:b/>
          <w:color w:val="000000" w:themeColor="text1"/>
          <w:sz w:val="32"/>
          <w:szCs w:val="32"/>
        </w:rPr>
      </w:pPr>
      <w:r>
        <w:rPr>
          <w:rFonts w:hint="eastAsia" w:ascii="方正仿宋_GBK" w:eastAsia="方正仿宋_GBK"/>
          <w:color w:val="000000" w:themeColor="text1"/>
          <w:sz w:val="32"/>
          <w:szCs w:val="32"/>
        </w:rPr>
        <w:t> </w:t>
      </w:r>
      <w:r>
        <w:rPr>
          <w:rFonts w:hint="eastAsia" w:ascii="方正仿宋_GBK" w:eastAsia="方正仿宋_GBK"/>
          <w:b/>
          <w:color w:val="000000" w:themeColor="text1"/>
          <w:sz w:val="32"/>
          <w:szCs w:val="32"/>
        </w:rPr>
        <w:t>本部门2020年度无国有资本经营预算财政拨款支出。</w:t>
      </w:r>
    </w:p>
    <w:p>
      <w:pPr>
        <w:pStyle w:val="6"/>
        <w:shd w:val="clear" w:color="auto"/>
        <w:spacing w:before="0" w:beforeAutospacing="0" w:after="0" w:afterAutospacing="0" w:line="560" w:lineRule="exact"/>
        <w:ind w:firstLine="640" w:firstLineChars="200"/>
        <w:jc w:val="both"/>
        <w:outlineLvl w:val="0"/>
        <w:rPr>
          <w:rStyle w:val="10"/>
          <w:rFonts w:ascii="方正黑体_GBK" w:eastAsia="方正黑体_GBK"/>
          <w:color w:val="000000" w:themeColor="text1"/>
        </w:rPr>
      </w:pPr>
      <w:r>
        <w:rPr>
          <w:rStyle w:val="10"/>
          <w:rFonts w:hint="eastAsia" w:ascii="方正黑体_GBK" w:eastAsia="方正黑体_GBK"/>
          <w:b w:val="0"/>
          <w:color w:val="000000" w:themeColor="text1"/>
          <w:sz w:val="32"/>
          <w:szCs w:val="32"/>
        </w:rPr>
        <w:t>三、“三公”经费情况说明</w:t>
      </w:r>
    </w:p>
    <w:p>
      <w:pPr>
        <w:pStyle w:val="6"/>
        <w:shd w:val="clear" w:color="auto"/>
        <w:spacing w:before="0" w:beforeAutospacing="0" w:after="0" w:afterAutospacing="0" w:line="560" w:lineRule="exact"/>
        <w:ind w:firstLine="643" w:firstLineChars="200"/>
        <w:jc w:val="both"/>
        <w:outlineLvl w:val="1"/>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（一）“三公”经费支出总体情况说明。</w:t>
      </w:r>
    </w:p>
    <w:p>
      <w:pPr>
        <w:pStyle w:val="6"/>
        <w:widowControl w:val="0"/>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2020年度“三公”经费支出共计17.28万元，较年初预算数减少16.72万元，下降49.18%，主要原因是厉行节约，按照只减不增的要求从严控制“三公”经费和行政办公经费。较上年支出数减少 0.1万元，下降0.58%，主要原因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6"/>
        <w:shd w:val="clear" w:color="auto"/>
        <w:spacing w:before="0" w:beforeAutospacing="0" w:after="0" w:afterAutospacing="0" w:line="560" w:lineRule="exact"/>
        <w:ind w:firstLine="643" w:firstLineChars="200"/>
        <w:jc w:val="both"/>
        <w:outlineLvl w:val="1"/>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（二）“三公”经费分项支出情况。</w:t>
      </w:r>
    </w:p>
    <w:p>
      <w:pPr>
        <w:pStyle w:val="19"/>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eastAsia="方正仿宋_GBK"/>
          <w:bCs/>
          <w:color w:val="000000" w:themeColor="text1"/>
          <w:sz w:val="32"/>
          <w:szCs w:val="32"/>
        </w:rPr>
      </w:pPr>
      <w:r>
        <w:rPr>
          <w:rFonts w:hint="eastAsia" w:eastAsia="方正仿宋_GBK"/>
          <w:bCs/>
          <w:color w:val="000000" w:themeColor="text1"/>
          <w:sz w:val="32"/>
          <w:szCs w:val="32"/>
        </w:rPr>
        <w:t>本年度无因公出国费用。</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19"/>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eastAsia="方正仿宋_GBK"/>
          <w:bCs/>
          <w:color w:val="000000" w:themeColor="text1"/>
          <w:sz w:val="32"/>
          <w:szCs w:val="32"/>
        </w:rPr>
      </w:pPr>
      <w:r>
        <w:rPr>
          <w:rFonts w:hint="eastAsia" w:eastAsia="方正仿宋_GBK"/>
          <w:bCs/>
          <w:color w:val="000000" w:themeColor="text1"/>
          <w:sz w:val="32"/>
          <w:szCs w:val="32"/>
        </w:rPr>
        <w:t>本年度无公车购置费用。</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bookmarkStart w:id="0" w:name="_GoBack"/>
      <w:bookmarkEnd w:id="0"/>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公务车运行维护费16.27万元，主要用于市内因公出行、人大视察调研等工作所需车辆的燃料费、维修费、保险费等。费用支出较年初预算数减少13.73万元，下降45.77%，主要严格落实公车使用规定，</w:t>
      </w:r>
      <w:r>
        <w:rPr>
          <w:rFonts w:hint="eastAsia" w:ascii="方正仿宋_GBK" w:eastAsia="方正仿宋_GBK"/>
          <w:color w:val="000000" w:themeColor="text1"/>
          <w:sz w:val="32"/>
          <w:szCs w:val="32"/>
          <w:lang w:eastAsia="zh-CN"/>
        </w:rPr>
        <w:t>公务用车数量减少，</w:t>
      </w:r>
      <w:r>
        <w:rPr>
          <w:rFonts w:hint="eastAsia" w:ascii="方正仿宋_GBK" w:eastAsia="方正仿宋_GBK"/>
          <w:color w:val="000000" w:themeColor="text1"/>
          <w:sz w:val="32"/>
          <w:szCs w:val="32"/>
        </w:rPr>
        <w:t>公车运行维护成本大幅下降。较上年支出数减少 0.07万元，下降 0.42%，主要原因严格落实公车使用规定，公车运行维护成本大幅下降。</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公务接待费1.01万元，主要用于接待国内其他省市人大到我单位学习调研及接受相关部门检查指导工作发生的接待支出。费用支出较年初预算数减少 2.99万元，下降 74.75%，主要原因是强化公务接待支出管理，严格遵守公务接待开支范围和开支标准，严格控制陪餐人数，对应由接待对象承担的费用一律由接待对象自行支付，公务接待费大幅下降。较上年支出数减少 0.03万元，下降3.14%，主要原因是强化公务接待支出管理，严格遵守公务接待开支范围和开支标准，严格控制陪餐人数，对应由接待对象承担的费用一律由接待对象自行支付，公务接待费大幅下降。</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（三）“三公”经费实物量情况。</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本部门因公出国（境）共计0个团组，0人；公务用车购置0辆，公务车保有量为6辆；国内公务接待17批次248人，其中：国内外事接待17批次，248人；国（境）外公务接待0批次，0人。2019年本部门人均接待费42元，车均维护费2.72万元。</w:t>
      </w:r>
    </w:p>
    <w:p>
      <w:pPr>
        <w:pStyle w:val="6"/>
        <w:shd w:val="clear" w:color="auto"/>
        <w:spacing w:before="0" w:beforeAutospacing="0" w:after="0" w:afterAutospacing="0" w:line="560" w:lineRule="exact"/>
        <w:ind w:firstLine="640" w:firstLineChars="200"/>
        <w:jc w:val="both"/>
        <w:outlineLvl w:val="0"/>
        <w:rPr>
          <w:rStyle w:val="10"/>
          <w:color w:val="000000" w:themeColor="text1"/>
        </w:rPr>
      </w:pPr>
      <w:r>
        <w:rPr>
          <w:rStyle w:val="10"/>
          <w:rFonts w:hint="eastAsia" w:ascii="方正黑体_GBK" w:eastAsia="方正黑体_GBK"/>
          <w:b w:val="0"/>
          <w:color w:val="000000" w:themeColor="text1"/>
          <w:sz w:val="32"/>
          <w:szCs w:val="32"/>
        </w:rPr>
        <w:t>四、其他需要说明的事项</w:t>
      </w:r>
    </w:p>
    <w:p>
      <w:pPr>
        <w:pStyle w:val="6"/>
        <w:widowControl w:val="0"/>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（一）机关运行经费情况说明。</w:t>
      </w:r>
      <w:r>
        <w:rPr>
          <w:rFonts w:hint="eastAsia" w:ascii="方正仿宋_GBK" w:eastAsia="方正仿宋_GBK"/>
          <w:color w:val="000000" w:themeColor="text1"/>
          <w:sz w:val="32"/>
          <w:szCs w:val="32"/>
        </w:rPr>
        <w:t>2020年度本部门机关运行经费支出193.78万元，机关运行经费主要用于办公费、公务车运行维护费、信息网络购置更新费、“三公”经费支出等。机关运行经费较上年决算数减少 0.46万元，减少0.23%，主要原因是切实贯彻落实厉行节约原则，按照只减不增的要求从严控制“三公”经费和行政办公经费。</w:t>
      </w:r>
    </w:p>
    <w:p>
      <w:pPr>
        <w:pStyle w:val="6"/>
        <w:shd w:val="clear" w:color="auto"/>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其中：本年度会议费支出124.7万元，较上年决算数减少 0.3万元，减少 0.24%，主要原因是切实贯彻落实厉行节约原则，按照只减不增的要求从严控制会议经费。本年度培训费支出49.8万元，较上年决算数减少 0.2万元，减少0.4%，主要原因是切实贯彻落实厉行节约原则，减少培训费支出。</w:t>
      </w:r>
    </w:p>
    <w:p>
      <w:pPr>
        <w:shd w:val="clear"/>
        <w:spacing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（二）国有资产占用情况说明。</w:t>
      </w:r>
      <w:r>
        <w:rPr>
          <w:rFonts w:hint="eastAsia" w:ascii="方正仿宋_GBK" w:eastAsia="方正仿宋_GBK"/>
          <w:color w:val="000000" w:themeColor="text1"/>
          <w:sz w:val="32"/>
          <w:szCs w:val="32"/>
        </w:rPr>
        <w:t>截至2020年12月31日，本部门共有车辆6辆，其中：主要领导干部用车1辆、机要通信用车2辆、应急保障用车3辆。本部门无单价50万元以上通用设备及单价100万元以上的专用设备。</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shd w:val="clear" w:color="auto" w:fill="FFFF00"/>
        </w:rPr>
      </w:pPr>
      <w:r>
        <w:rPr>
          <w:rStyle w:val="10"/>
          <w:rFonts w:hint="eastAsia" w:ascii="方正仿宋_GBK" w:eastAsia="方正仿宋_GBK"/>
          <w:color w:val="000000" w:themeColor="text1"/>
          <w:sz w:val="32"/>
          <w:szCs w:val="32"/>
        </w:rPr>
        <w:t>（三）政府采购支出情况说明。</w:t>
      </w:r>
    </w:p>
    <w:p>
      <w:pPr>
        <w:pStyle w:val="6"/>
        <w:shd w:val="clear" w:color="auto"/>
        <w:spacing w:before="0" w:beforeAutospacing="0" w:after="0" w:afterAutospacing="0" w:line="560" w:lineRule="exact"/>
        <w:ind w:firstLine="643" w:firstLineChars="200"/>
        <w:jc w:val="both"/>
        <w:rPr>
          <w:rFonts w:ascii="方正仿宋_GBK" w:eastAsia="方正仿宋_GBK"/>
          <w:color w:val="000000" w:themeColor="text1"/>
          <w:sz w:val="32"/>
          <w:szCs w:val="32"/>
          <w:shd w:val="clear" w:color="auto" w:fill="FFFF00"/>
        </w:rPr>
      </w:pPr>
      <w:r>
        <w:rPr>
          <w:rFonts w:hint="eastAsia" w:ascii="方正仿宋_GBK" w:eastAsia="方正仿宋_GBK"/>
          <w:b/>
          <w:color w:val="000000" w:themeColor="text1"/>
          <w:sz w:val="32"/>
          <w:szCs w:val="32"/>
        </w:rPr>
        <w:t>2020年度我单位未发生政府采购事项，无相关经费支出。</w:t>
      </w:r>
    </w:p>
    <w:p>
      <w:pPr>
        <w:pStyle w:val="6"/>
        <w:shd w:val="clear" w:color="auto"/>
        <w:spacing w:before="0" w:beforeAutospacing="0" w:after="0" w:afterAutospacing="0" w:line="560" w:lineRule="exact"/>
        <w:ind w:firstLine="643" w:firstLineChars="200"/>
        <w:jc w:val="both"/>
        <w:outlineLvl w:val="0"/>
        <w:rPr>
          <w:rStyle w:val="10"/>
          <w:rFonts w:ascii="方正黑体_GBK" w:eastAsia="方正黑体_GBK"/>
          <w:color w:val="000000" w:themeColor="text1"/>
        </w:rPr>
      </w:pPr>
      <w:r>
        <w:rPr>
          <w:rStyle w:val="10"/>
          <w:rFonts w:hint="eastAsia" w:ascii="方正黑体_GBK" w:eastAsia="方正黑体_GBK"/>
          <w:color w:val="000000" w:themeColor="text1"/>
          <w:sz w:val="32"/>
          <w:szCs w:val="32"/>
        </w:rPr>
        <w:t>五、预算绩效管理情况说明</w:t>
      </w:r>
    </w:p>
    <w:p>
      <w:pPr>
        <w:pStyle w:val="14"/>
        <w:shd w:val="clear"/>
        <w:tabs>
          <w:tab w:val="center" w:pos="4153"/>
          <w:tab w:val="left" w:pos="7275"/>
        </w:tabs>
        <w:spacing w:line="560" w:lineRule="exact"/>
        <w:ind w:firstLine="640"/>
        <w:rPr>
          <w:rFonts w:ascii="方正仿宋_GBK" w:hAnsi="宋体" w:eastAsia="方正仿宋_GBK" w:cs="宋体"/>
          <w:color w:val="000000" w:themeColor="text1"/>
          <w:kern w:val="0"/>
          <w:sz w:val="32"/>
          <w:szCs w:val="32"/>
        </w:rPr>
      </w:pPr>
      <w:r>
        <w:rPr>
          <w:rFonts w:hint="eastAsia" w:ascii="方正仿宋_GBK" w:hAnsi="宋体" w:eastAsia="方正仿宋_GBK" w:cs="宋体"/>
          <w:b/>
          <w:color w:val="000000" w:themeColor="text1"/>
          <w:kern w:val="0"/>
          <w:sz w:val="32"/>
          <w:szCs w:val="32"/>
        </w:rPr>
        <w:t>（一）预算绩效管理工作开展情况</w:t>
      </w:r>
    </w:p>
    <w:p>
      <w:pPr>
        <w:shd w:val="clear"/>
        <w:spacing w:line="600" w:lineRule="exact"/>
        <w:ind w:firstLine="640" w:firstLineChars="200"/>
        <w:rPr>
          <w:rFonts w:ascii="方正仿宋_GBK" w:eastAsia="方正仿宋_GBK"/>
          <w:bCs/>
          <w:color w:val="000000" w:themeColor="text1"/>
          <w:sz w:val="32"/>
          <w:szCs w:val="32"/>
        </w:rPr>
      </w:pPr>
      <w:r>
        <w:rPr>
          <w:rFonts w:ascii="方正仿宋_GBK" w:eastAsia="方正仿宋_GBK"/>
          <w:bCs/>
          <w:color w:val="000000" w:themeColor="text1"/>
          <w:sz w:val="32"/>
          <w:szCs w:val="32"/>
        </w:rPr>
        <w:t>根据预算绩效管理要求，</w:t>
      </w:r>
      <w:r>
        <w:rPr>
          <w:rFonts w:hint="eastAsia" w:ascii="方正仿宋_GBK" w:eastAsia="方正仿宋_GBK"/>
          <w:bCs/>
          <w:color w:val="000000" w:themeColor="text1"/>
          <w:sz w:val="32"/>
          <w:szCs w:val="32"/>
        </w:rPr>
        <w:t>我</w:t>
      </w:r>
      <w:r>
        <w:rPr>
          <w:rFonts w:ascii="方正仿宋_GBK" w:eastAsia="方正仿宋_GBK"/>
          <w:bCs/>
          <w:color w:val="000000" w:themeColor="text1"/>
          <w:sz w:val="32"/>
          <w:szCs w:val="32"/>
        </w:rPr>
        <w:t>部门对</w:t>
      </w:r>
      <w:r>
        <w:rPr>
          <w:rFonts w:hint="eastAsia" w:ascii="方正仿宋_GBK" w:eastAsia="方正仿宋_GBK"/>
          <w:bCs/>
          <w:color w:val="000000" w:themeColor="text1"/>
          <w:sz w:val="32"/>
          <w:szCs w:val="32"/>
        </w:rPr>
        <w:t>三权行使、代表工作、人大监督、元旦春节和“七一”等慰问经费四</w:t>
      </w:r>
      <w:r>
        <w:rPr>
          <w:rFonts w:ascii="方正仿宋_GBK" w:eastAsia="方正仿宋_GBK"/>
          <w:bCs/>
          <w:color w:val="000000" w:themeColor="text1"/>
          <w:sz w:val="32"/>
          <w:szCs w:val="32"/>
        </w:rPr>
        <w:t>个项目开展了绩效自评，涉及资金</w:t>
      </w:r>
      <w:r>
        <w:rPr>
          <w:rFonts w:hint="eastAsia" w:ascii="方正仿宋_GBK" w:eastAsia="方正仿宋_GBK"/>
          <w:bCs/>
          <w:color w:val="000000" w:themeColor="text1"/>
          <w:sz w:val="32"/>
          <w:szCs w:val="32"/>
        </w:rPr>
        <w:t>521.56</w:t>
      </w:r>
      <w:r>
        <w:rPr>
          <w:rFonts w:ascii="方正仿宋_GBK" w:eastAsia="方正仿宋_GBK"/>
          <w:bCs/>
          <w:color w:val="000000" w:themeColor="text1"/>
          <w:sz w:val="32"/>
          <w:szCs w:val="32"/>
        </w:rPr>
        <w:t>万元。</w:t>
      </w:r>
      <w:r>
        <w:rPr>
          <w:rFonts w:hint="eastAsia" w:ascii="方正仿宋_GBK" w:eastAsia="方正仿宋_GBK"/>
          <w:bCs/>
          <w:color w:val="000000" w:themeColor="text1"/>
          <w:sz w:val="32"/>
          <w:szCs w:val="32"/>
        </w:rPr>
        <w:t>其中，以填报目标自评表形式开展自评三项，</w:t>
      </w:r>
      <w:r>
        <w:rPr>
          <w:rFonts w:ascii="方正仿宋_GBK" w:eastAsia="方正仿宋_GBK"/>
          <w:bCs/>
          <w:color w:val="000000" w:themeColor="text1"/>
          <w:sz w:val="32"/>
          <w:szCs w:val="32"/>
        </w:rPr>
        <w:t>涉及资金</w:t>
      </w:r>
      <w:r>
        <w:rPr>
          <w:rFonts w:hint="eastAsia" w:ascii="方正仿宋_GBK" w:eastAsia="方正仿宋_GBK"/>
          <w:bCs/>
          <w:color w:val="000000" w:themeColor="text1"/>
          <w:sz w:val="32"/>
          <w:szCs w:val="32"/>
        </w:rPr>
        <w:t>521.56</w:t>
      </w:r>
      <w:r>
        <w:rPr>
          <w:rFonts w:ascii="方正仿宋_GBK" w:eastAsia="方正仿宋_GBK"/>
          <w:bCs/>
          <w:color w:val="000000" w:themeColor="text1"/>
          <w:sz w:val="32"/>
          <w:szCs w:val="32"/>
        </w:rPr>
        <w:t>万元。从评价情况来看，</w:t>
      </w:r>
      <w:r>
        <w:rPr>
          <w:rFonts w:hint="eastAsia" w:ascii="方正仿宋_GBK" w:eastAsia="方正仿宋_GBK"/>
          <w:bCs/>
          <w:color w:val="000000" w:themeColor="text1"/>
          <w:sz w:val="32"/>
          <w:szCs w:val="32"/>
        </w:rPr>
        <w:t>南岸区人大依法行使决定权、监督权和任免权，全年组织召开人代会议两次，完成了市、区两级人大代表的补选以及区十八届人大代表的履职培训，适时开展宣传信息调研，建立代表建议网上办理系统。群众影响度较广，均取得了良好的社会效益。</w:t>
      </w:r>
    </w:p>
    <w:p>
      <w:pPr>
        <w:pStyle w:val="14"/>
        <w:shd w:val="clear"/>
        <w:tabs>
          <w:tab w:val="center" w:pos="4153"/>
          <w:tab w:val="left" w:pos="7275"/>
        </w:tabs>
        <w:spacing w:line="560" w:lineRule="exact"/>
        <w:ind w:firstLine="640"/>
        <w:rPr>
          <w:rFonts w:ascii="方正仿宋_GBK" w:hAnsi="宋体" w:eastAsia="方正仿宋_GBK" w:cs="宋体"/>
          <w:b/>
          <w:color w:val="000000" w:themeColor="text1"/>
          <w:kern w:val="0"/>
          <w:sz w:val="32"/>
          <w:szCs w:val="32"/>
        </w:rPr>
      </w:pPr>
      <w:r>
        <w:rPr>
          <w:rFonts w:hint="eastAsia" w:ascii="方正仿宋_GBK" w:hAnsi="宋体" w:eastAsia="方正仿宋_GBK" w:cs="宋体"/>
          <w:b/>
          <w:color w:val="000000" w:themeColor="text1"/>
          <w:kern w:val="0"/>
          <w:sz w:val="32"/>
          <w:szCs w:val="32"/>
        </w:rPr>
        <w:t>（二）绩效自评结果</w:t>
      </w:r>
    </w:p>
    <w:p>
      <w:pPr>
        <w:pStyle w:val="14"/>
        <w:shd w:val="clear"/>
        <w:tabs>
          <w:tab w:val="center" w:pos="4153"/>
          <w:tab w:val="left" w:pos="7275"/>
        </w:tabs>
        <w:spacing w:line="560" w:lineRule="exact"/>
        <w:ind w:firstLine="640"/>
        <w:rPr>
          <w:rFonts w:ascii="方正仿宋_GBK" w:eastAsia="方正仿宋_GBK"/>
          <w:color w:val="000000" w:themeColor="text1"/>
          <w:sz w:val="32"/>
          <w:szCs w:val="32"/>
        </w:rPr>
      </w:pPr>
      <w:r>
        <w:rPr>
          <w:rFonts w:hint="eastAsia" w:ascii="方正仿宋_GBK" w:hAnsi="宋体" w:eastAsia="方正仿宋_GBK" w:cs="宋体"/>
          <w:b/>
          <w:color w:val="000000" w:themeColor="text1"/>
          <w:kern w:val="0"/>
          <w:sz w:val="32"/>
          <w:szCs w:val="32"/>
        </w:rPr>
        <w:t>1.绩效自评表</w:t>
      </w:r>
    </w:p>
    <w:tbl>
      <w:tblPr>
        <w:tblStyle w:val="8"/>
        <w:tblW w:w="8500" w:type="dxa"/>
        <w:tblInd w:w="108" w:type="dxa"/>
        <w:tblLayout w:type="fixed"/>
        <w:tblCellMar>
          <w:top w:w="0" w:type="dxa"/>
          <w:left w:w="108" w:type="dxa"/>
          <w:bottom w:w="0" w:type="dxa"/>
          <w:right w:w="108" w:type="dxa"/>
        </w:tblCellMar>
      </w:tblPr>
      <w:tblGrid>
        <w:gridCol w:w="600"/>
        <w:gridCol w:w="731"/>
        <w:gridCol w:w="428"/>
        <w:gridCol w:w="474"/>
        <w:gridCol w:w="1024"/>
        <w:gridCol w:w="1024"/>
        <w:gridCol w:w="800"/>
        <w:gridCol w:w="781"/>
        <w:gridCol w:w="871"/>
        <w:gridCol w:w="871"/>
        <w:gridCol w:w="896"/>
      </w:tblGrid>
      <w:tr>
        <w:tblPrEx>
          <w:tblCellMar>
            <w:top w:w="0" w:type="dxa"/>
            <w:left w:w="108" w:type="dxa"/>
            <w:bottom w:w="0" w:type="dxa"/>
            <w:right w:w="108" w:type="dxa"/>
          </w:tblCellMar>
        </w:tblPrEx>
        <w:trPr>
          <w:trHeight w:val="601" w:hRule="atLeast"/>
        </w:trPr>
        <w:tc>
          <w:tcPr>
            <w:tcW w:w="8500" w:type="dxa"/>
            <w:gridSpan w:val="11"/>
            <w:tcBorders>
              <w:top w:val="nil"/>
              <w:left w:val="nil"/>
              <w:bottom w:val="nil"/>
              <w:right w:val="nil"/>
            </w:tcBorders>
            <w:shd w:val="clear" w:color="auto" w:fill="auto"/>
            <w:vAlign w:val="center"/>
          </w:tcPr>
          <w:p>
            <w:pPr>
              <w:shd w:val="clear"/>
              <w:autoSpaceDN w:val="0"/>
              <w:rPr>
                <w:rFonts w:ascii="方正小标宋_GBK" w:hAnsi="Calibri" w:eastAsia="方正小标宋_GBK"/>
                <w:color w:val="000000" w:themeColor="text1"/>
                <w:sz w:val="36"/>
                <w:szCs w:val="36"/>
              </w:rPr>
            </w:pPr>
          </w:p>
          <w:p>
            <w:pPr>
              <w:shd w:val="clear"/>
              <w:autoSpaceDN w:val="0"/>
              <w:jc w:val="center"/>
              <w:rPr>
                <w:rFonts w:ascii="方正小标宋_GBK" w:hAnsi="Calibri" w:eastAsia="方正小标宋_GBK"/>
                <w:color w:val="000000" w:themeColor="text1"/>
                <w:sz w:val="36"/>
                <w:szCs w:val="36"/>
              </w:rPr>
            </w:pPr>
            <w:r>
              <w:rPr>
                <w:rFonts w:hint="eastAsia" w:ascii="方正小标宋_GBK" w:eastAsia="方正小标宋_GBK"/>
                <w:color w:val="000000" w:themeColor="text1"/>
                <w:sz w:val="36"/>
                <w:szCs w:val="36"/>
              </w:rPr>
              <w:t>一级、二级项目绩效自评表样</w:t>
            </w:r>
          </w:p>
        </w:tc>
      </w:tr>
      <w:tr>
        <w:tblPrEx>
          <w:tblCellMar>
            <w:top w:w="0" w:type="dxa"/>
            <w:left w:w="108" w:type="dxa"/>
            <w:bottom w:w="0" w:type="dxa"/>
            <w:right w:w="108" w:type="dxa"/>
          </w:tblCellMar>
        </w:tblPrEx>
        <w:trPr>
          <w:trHeight w:val="601" w:hRule="atLeast"/>
        </w:trPr>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项目名称</w:t>
            </w:r>
          </w:p>
        </w:tc>
        <w:tc>
          <w:tcPr>
            <w:tcW w:w="1159" w:type="dxa"/>
            <w:gridSpan w:val="2"/>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三权行使专项　</w:t>
            </w:r>
          </w:p>
        </w:tc>
        <w:tc>
          <w:tcPr>
            <w:tcW w:w="474" w:type="dxa"/>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项目编码</w:t>
            </w:r>
          </w:p>
        </w:tc>
        <w:tc>
          <w:tcPr>
            <w:tcW w:w="2048" w:type="dxa"/>
            <w:gridSpan w:val="2"/>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ascii="方正仿宋_GBK" w:eastAsia="方正仿宋_GBK"/>
                <w:color w:val="000000" w:themeColor="text1"/>
                <w:sz w:val="18"/>
                <w:szCs w:val="18"/>
              </w:rPr>
              <w:t>2020B102820021226</w:t>
            </w:r>
            <w:r>
              <w:rPr>
                <w:rFonts w:hint="eastAsia" w:ascii="方正仿宋_GBK" w:eastAsia="方正仿宋_GBK"/>
                <w:color w:val="000000" w:themeColor="text1"/>
                <w:sz w:val="18"/>
                <w:szCs w:val="18"/>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自评总分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3419" w:type="dxa"/>
            <w:gridSpan w:val="4"/>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100　</w:t>
            </w:r>
          </w:p>
        </w:tc>
      </w:tr>
      <w:tr>
        <w:tblPrEx>
          <w:tblCellMar>
            <w:top w:w="0" w:type="dxa"/>
            <w:left w:w="108" w:type="dxa"/>
            <w:bottom w:w="0" w:type="dxa"/>
            <w:right w:w="108" w:type="dxa"/>
          </w:tblCellMar>
        </w:tblPrEx>
        <w:trPr>
          <w:trHeight w:val="601"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主管部门</w:t>
            </w:r>
          </w:p>
        </w:tc>
        <w:tc>
          <w:tcPr>
            <w:tcW w:w="1159" w:type="dxa"/>
            <w:gridSpan w:val="2"/>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eastAsia="方正仿宋_GBK"/>
                <w:color w:val="000000" w:themeColor="text1"/>
                <w:sz w:val="18"/>
                <w:szCs w:val="18"/>
              </w:rPr>
            </w:pPr>
            <w:r>
              <w:rPr>
                <w:rFonts w:hint="eastAsia" w:ascii="方正仿宋_GBK" w:eastAsia="方正仿宋_GBK"/>
                <w:color w:val="000000" w:themeColor="text1"/>
                <w:sz w:val="18"/>
                <w:szCs w:val="18"/>
              </w:rPr>
              <w:t>重庆市南岸区人民代表大会</w:t>
            </w:r>
          </w:p>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常务委员会办公室　</w:t>
            </w:r>
          </w:p>
        </w:tc>
        <w:tc>
          <w:tcPr>
            <w:tcW w:w="474"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财政处室</w:t>
            </w:r>
          </w:p>
        </w:tc>
        <w:tc>
          <w:tcPr>
            <w:tcW w:w="2048" w:type="dxa"/>
            <w:gridSpan w:val="2"/>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eastAsia="方正仿宋_GBK"/>
                <w:color w:val="000000" w:themeColor="text1"/>
                <w:sz w:val="18"/>
                <w:szCs w:val="18"/>
              </w:rPr>
            </w:pPr>
            <w:r>
              <w:rPr>
                <w:rFonts w:hint="eastAsia" w:ascii="方正仿宋_GBK" w:eastAsia="方正仿宋_GBK"/>
                <w:color w:val="000000" w:themeColor="text1"/>
                <w:sz w:val="18"/>
                <w:szCs w:val="18"/>
              </w:rPr>
              <w:t>重庆市南岸区人民代表大会</w:t>
            </w:r>
          </w:p>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常务委员会办公室　</w:t>
            </w:r>
          </w:p>
        </w:tc>
        <w:tc>
          <w:tcPr>
            <w:tcW w:w="800"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联系人</w:t>
            </w:r>
          </w:p>
        </w:tc>
        <w:tc>
          <w:tcPr>
            <w:tcW w:w="78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color w:val="000000" w:themeColor="text1"/>
                <w:sz w:val="20"/>
                <w:szCs w:val="20"/>
              </w:rPr>
              <w:t>杨帆</w:t>
            </w:r>
            <w:r>
              <w:rPr>
                <w:rFonts w:hint="eastAsia" w:ascii="方正仿宋_GBK" w:eastAsia="方正仿宋_GBK"/>
                <w:color w:val="000000" w:themeColor="text1"/>
                <w:sz w:val="18"/>
                <w:szCs w:val="18"/>
              </w:rPr>
              <w:t>　</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联系电话</w:t>
            </w:r>
          </w:p>
        </w:tc>
        <w:tc>
          <w:tcPr>
            <w:tcW w:w="1767" w:type="dxa"/>
            <w:gridSpan w:val="2"/>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color w:val="000000" w:themeColor="text1"/>
                <w:sz w:val="20"/>
                <w:szCs w:val="20"/>
              </w:rPr>
              <w:t>（023）62988171</w:t>
            </w: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cantSplit/>
          <w:trHeight w:val="601"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项目资金（万元）</w:t>
            </w: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9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年初预算数</w:t>
            </w:r>
          </w:p>
        </w:tc>
        <w:tc>
          <w:tcPr>
            <w:tcW w:w="2048"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全年（调整）预算数</w:t>
            </w:r>
          </w:p>
        </w:tc>
        <w:tc>
          <w:tcPr>
            <w:tcW w:w="1581"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全年执行数</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权重</w:t>
            </w:r>
          </w:p>
        </w:tc>
        <w:tc>
          <w:tcPr>
            <w:tcW w:w="896"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执行率得分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r>
      <w:tr>
        <w:tblPrEx>
          <w:tblCellMar>
            <w:top w:w="0" w:type="dxa"/>
            <w:left w:w="108" w:type="dxa"/>
            <w:bottom w:w="0" w:type="dxa"/>
            <w:right w:w="108" w:type="dxa"/>
          </w:tblCellMar>
        </w:tblPrEx>
        <w:trPr>
          <w:cantSplit/>
          <w:trHeight w:val="607"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年度总金额</w:t>
            </w:r>
          </w:p>
        </w:tc>
        <w:tc>
          <w:tcPr>
            <w:tcW w:w="9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　</w:t>
            </w:r>
          </w:p>
        </w:tc>
        <w:tc>
          <w:tcPr>
            <w:tcW w:w="2048"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w:t>
            </w:r>
          </w:p>
        </w:tc>
        <w:tc>
          <w:tcPr>
            <w:tcW w:w="1581"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100</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10</w:t>
            </w:r>
          </w:p>
        </w:tc>
        <w:tc>
          <w:tcPr>
            <w:tcW w:w="896"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10　</w:t>
            </w:r>
          </w:p>
        </w:tc>
      </w:tr>
      <w:tr>
        <w:tblPrEx>
          <w:tblCellMar>
            <w:top w:w="0" w:type="dxa"/>
            <w:left w:w="108" w:type="dxa"/>
            <w:bottom w:w="0" w:type="dxa"/>
            <w:right w:w="108" w:type="dxa"/>
          </w:tblCellMar>
        </w:tblPrEx>
        <w:trPr>
          <w:cantSplit/>
          <w:trHeight w:val="601"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wordWrap w:val="0"/>
              <w:autoSpaceDN w:val="0"/>
              <w:jc w:val="right"/>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其中：区级支出</w:t>
            </w:r>
          </w:p>
        </w:tc>
        <w:tc>
          <w:tcPr>
            <w:tcW w:w="90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　</w:t>
            </w:r>
          </w:p>
        </w:tc>
        <w:tc>
          <w:tcPr>
            <w:tcW w:w="2048"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w:t>
            </w:r>
          </w:p>
        </w:tc>
        <w:tc>
          <w:tcPr>
            <w:tcW w:w="1581" w:type="dxa"/>
            <w:gridSpan w:val="2"/>
            <w:tcBorders>
              <w:top w:val="single" w:color="auto" w:sz="4" w:space="0"/>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205</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100</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10</w:t>
            </w:r>
          </w:p>
        </w:tc>
        <w:tc>
          <w:tcPr>
            <w:tcW w:w="896"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10</w:t>
            </w:r>
          </w:p>
        </w:tc>
      </w:tr>
      <w:tr>
        <w:tblPrEx>
          <w:tblCellMar>
            <w:top w:w="0" w:type="dxa"/>
            <w:left w:w="108" w:type="dxa"/>
            <w:bottom w:w="0" w:type="dxa"/>
            <w:right w:w="108" w:type="dxa"/>
          </w:tblCellMar>
        </w:tblPrEx>
        <w:trPr>
          <w:cantSplit/>
          <w:trHeight w:val="601" w:hRule="atLeast"/>
        </w:trPr>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当年绩效目标</w:t>
            </w:r>
          </w:p>
        </w:tc>
        <w:tc>
          <w:tcPr>
            <w:tcW w:w="1633" w:type="dxa"/>
            <w:gridSpan w:val="3"/>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年初绩效目标</w:t>
            </w:r>
          </w:p>
        </w:tc>
        <w:tc>
          <w:tcPr>
            <w:tcW w:w="3629" w:type="dxa"/>
            <w:gridSpan w:val="4"/>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全年（调整）绩效目标</w:t>
            </w:r>
          </w:p>
        </w:tc>
        <w:tc>
          <w:tcPr>
            <w:tcW w:w="2638" w:type="dxa"/>
            <w:gridSpan w:val="3"/>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1633" w:type="dxa"/>
            <w:gridSpan w:val="3"/>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对重点议案和建议进行跟踪督办，并进行群众满意度反馈，使人大监督职能取得实效；结合重点工作和专题调研，开展学习考察，提高“三权行使”执行力。</w:t>
            </w:r>
          </w:p>
        </w:tc>
        <w:tc>
          <w:tcPr>
            <w:tcW w:w="3629" w:type="dxa"/>
            <w:gridSpan w:val="4"/>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对重点议案和建议进行跟踪督办，并进行群众满意度反馈，使人大监督职能取得实效；结合重点工作和专题调研，开展学习考察，提高“三权行使”执行力。</w:t>
            </w:r>
          </w:p>
        </w:tc>
        <w:tc>
          <w:tcPr>
            <w:tcW w:w="2638" w:type="dxa"/>
            <w:gridSpan w:val="3"/>
            <w:tcBorders>
              <w:top w:val="single" w:color="auto" w:sz="4" w:space="0"/>
              <w:left w:val="nil"/>
              <w:bottom w:val="single" w:color="auto" w:sz="4" w:space="0"/>
              <w:right w:val="single" w:color="000000"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年初召开人代会一次，半年召开小人代会一次，常委会及主任会</w:t>
            </w:r>
            <w:r>
              <w:rPr>
                <w:rFonts w:ascii="方正仿宋_GBK" w:eastAsia="方正仿宋_GBK"/>
                <w:color w:val="000000" w:themeColor="text1"/>
                <w:sz w:val="18"/>
                <w:szCs w:val="18"/>
              </w:rPr>
              <w:t>15次；对重点议案和建议进行跟踪督办，年底前完成相关办理工作并进行群众满意度反馈；结合重点工作和专题调研，分批顺利开展学习考察1次，提高“三权行使”执行力。</w:t>
            </w:r>
          </w:p>
        </w:tc>
      </w:tr>
      <w:tr>
        <w:tblPrEx>
          <w:tblCellMar>
            <w:top w:w="0" w:type="dxa"/>
            <w:left w:w="108" w:type="dxa"/>
            <w:bottom w:w="0" w:type="dxa"/>
            <w:right w:w="108" w:type="dxa"/>
          </w:tblCellMar>
        </w:tblPrEx>
        <w:trPr>
          <w:cantSplit/>
          <w:trHeight w:val="601" w:hRule="atLeast"/>
        </w:trPr>
        <w:tc>
          <w:tcPr>
            <w:tcW w:w="6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绩效指标</w:t>
            </w: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指标名称</w:t>
            </w:r>
          </w:p>
        </w:tc>
        <w:tc>
          <w:tcPr>
            <w:tcW w:w="428"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计量</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单位</w:t>
            </w:r>
          </w:p>
        </w:tc>
        <w:tc>
          <w:tcPr>
            <w:tcW w:w="474"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性质</w:t>
            </w:r>
          </w:p>
        </w:tc>
        <w:tc>
          <w:tcPr>
            <w:tcW w:w="1024"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指标值</w:t>
            </w:r>
          </w:p>
        </w:tc>
        <w:tc>
          <w:tcPr>
            <w:tcW w:w="1024"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调整</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指标值</w:t>
            </w:r>
          </w:p>
        </w:tc>
        <w:tc>
          <w:tcPr>
            <w:tcW w:w="800"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完成值</w:t>
            </w:r>
          </w:p>
        </w:tc>
        <w:tc>
          <w:tcPr>
            <w:tcW w:w="78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得分系数</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指标权重</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871"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指标得分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896" w:type="dxa"/>
            <w:tcBorders>
              <w:top w:val="nil"/>
              <w:left w:val="nil"/>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是否核心</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组织监督检查会议次数</w:t>
            </w:r>
            <w:r>
              <w:rPr>
                <w:rFonts w:ascii="方正仿宋_GBK" w:eastAsia="方正仿宋_GBK"/>
                <w:color w:val="000000" w:themeColor="text1"/>
                <w:sz w:val="18"/>
                <w:szCs w:val="18"/>
              </w:rPr>
              <w:t>17</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次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17</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17</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17</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100</w:t>
            </w:r>
            <w:r>
              <w:rPr>
                <w:rFonts w:hint="eastAsia" w:ascii="方正仿宋_GBK" w:eastAsia="方正仿宋_GBK"/>
                <w:color w:val="000000" w:themeColor="text1"/>
                <w:sz w:val="18"/>
                <w:szCs w:val="18"/>
              </w:rPr>
              <w:t>　</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任务完成及时率</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　</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1</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人大代表参会率</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人代会影响度</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90</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90</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90</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90</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15</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15</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办事群众满意率　</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95</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15</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15</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cantSplit/>
          <w:trHeight w:val="523" w:hRule="atLeast"/>
        </w:trPr>
        <w:tc>
          <w:tcPr>
            <w:tcW w:w="600" w:type="dxa"/>
            <w:vMerge w:val="continue"/>
            <w:tcBorders>
              <w:top w:val="nil"/>
              <w:left w:val="single" w:color="auto" w:sz="4" w:space="0"/>
              <w:bottom w:val="single" w:color="auto" w:sz="4" w:space="0"/>
              <w:right w:val="single" w:color="auto" w:sz="4" w:space="0"/>
            </w:tcBorders>
            <w:vAlign w:val="center"/>
          </w:tcPr>
          <w:p>
            <w:pPr>
              <w:shd w:val="clear"/>
              <w:rPr>
                <w:rFonts w:ascii="方正仿宋_GBK" w:hAnsi="Calibri" w:eastAsia="方正仿宋_GBK"/>
                <w:color w:val="000000" w:themeColor="text1"/>
                <w:sz w:val="18"/>
                <w:szCs w:val="18"/>
              </w:rPr>
            </w:pPr>
          </w:p>
        </w:tc>
        <w:tc>
          <w:tcPr>
            <w:tcW w:w="731" w:type="dxa"/>
            <w:tcBorders>
              <w:top w:val="nil"/>
              <w:left w:val="nil"/>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28"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47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024"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00"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78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71" w:type="dxa"/>
            <w:tcBorders>
              <w:top w:val="nil"/>
              <w:left w:val="single" w:color="auto" w:sz="4" w:space="0"/>
              <w:bottom w:val="single" w:color="auto" w:sz="4" w:space="0"/>
              <w:right w:val="nil"/>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896"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trHeight w:val="75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shd w:val="clea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说明</w:t>
            </w:r>
          </w:p>
        </w:tc>
        <w:tc>
          <w:tcPr>
            <w:tcW w:w="7900" w:type="dxa"/>
            <w:gridSpan w:val="10"/>
            <w:tcBorders>
              <w:top w:val="single" w:color="auto" w:sz="4" w:space="0"/>
              <w:left w:val="nil"/>
              <w:bottom w:val="single" w:color="auto" w:sz="4" w:space="0"/>
              <w:right w:val="single" w:color="auto" w:sz="4" w:space="0"/>
            </w:tcBorders>
            <w:shd w:val="clear" w:color="auto" w:fill="auto"/>
            <w:vAlign w:val="center"/>
          </w:tcPr>
          <w:p>
            <w:pPr>
              <w:shd w:val="clear"/>
              <w:autoSpaceDN w:val="0"/>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r>
    </w:tbl>
    <w:p>
      <w:pPr>
        <w:shd w:val="clear"/>
        <w:tabs>
          <w:tab w:val="center" w:pos="4153"/>
          <w:tab w:val="left" w:pos="7275"/>
        </w:tabs>
        <w:spacing w:line="600" w:lineRule="exact"/>
        <w:rPr>
          <w:rFonts w:ascii="Times New Roman" w:hAnsi="Times New Roman" w:eastAsia="方正仿宋_GBK"/>
          <w:color w:val="000000" w:themeColor="text1"/>
          <w:sz w:val="32"/>
          <w:szCs w:val="32"/>
        </w:rPr>
      </w:pPr>
    </w:p>
    <w:p>
      <w:pPr>
        <w:pStyle w:val="14"/>
        <w:shd w:val="clear"/>
        <w:tabs>
          <w:tab w:val="center" w:pos="4153"/>
          <w:tab w:val="left" w:pos="7275"/>
        </w:tabs>
        <w:spacing w:line="600" w:lineRule="exact"/>
        <w:ind w:firstLine="640"/>
        <w:rPr>
          <w:rFonts w:ascii="方正仿宋_GBK" w:hAnsi="宋体" w:eastAsia="方正仿宋_GBK" w:cs="宋体"/>
          <w:b/>
          <w:color w:val="000000" w:themeColor="text1"/>
          <w:kern w:val="0"/>
          <w:sz w:val="32"/>
          <w:szCs w:val="32"/>
        </w:rPr>
      </w:pPr>
      <w:r>
        <w:rPr>
          <w:rFonts w:hint="eastAsia" w:ascii="方正仿宋_GBK" w:hAnsi="宋体" w:eastAsia="方正仿宋_GBK" w:cs="宋体"/>
          <w:b/>
          <w:color w:val="000000" w:themeColor="text1"/>
          <w:kern w:val="0"/>
          <w:sz w:val="32"/>
          <w:szCs w:val="32"/>
        </w:rPr>
        <w:t>（二）重点绩效评价结果</w:t>
      </w:r>
    </w:p>
    <w:p>
      <w:pPr>
        <w:pStyle w:val="6"/>
        <w:shd w:val="clear" w:color="auto"/>
        <w:spacing w:before="0" w:beforeAutospacing="0" w:after="0" w:afterAutospacing="0" w:line="600" w:lineRule="exact"/>
        <w:ind w:firstLine="640" w:firstLineChars="200"/>
        <w:jc w:val="both"/>
        <w:outlineLvl w:val="0"/>
        <w:rPr>
          <w:rFonts w:ascii="方正仿宋_GBK" w:eastAsia="方正仿宋_GBK"/>
          <w:bCs/>
          <w:color w:val="000000" w:themeColor="text1"/>
          <w:sz w:val="32"/>
          <w:szCs w:val="32"/>
        </w:rPr>
      </w:pPr>
      <w:r>
        <w:rPr>
          <w:rFonts w:hint="eastAsia" w:ascii="方正仿宋_GBK" w:eastAsia="方正仿宋_GBK"/>
          <w:bCs/>
          <w:color w:val="000000" w:themeColor="text1"/>
          <w:sz w:val="32"/>
          <w:szCs w:val="32"/>
        </w:rPr>
        <w:t>三权行使</w:t>
      </w:r>
      <w:r>
        <w:rPr>
          <w:rFonts w:ascii="方正仿宋_GBK" w:eastAsia="方正仿宋_GBK"/>
          <w:bCs/>
          <w:color w:val="000000" w:themeColor="text1"/>
          <w:sz w:val="32"/>
          <w:szCs w:val="32"/>
        </w:rPr>
        <w:t>项目绩效目标自评综述：根据年初设定的绩效目标，三权行使项目自评得分为</w:t>
      </w:r>
      <w:r>
        <w:rPr>
          <w:rFonts w:hint="eastAsia" w:ascii="方正仿宋_GBK" w:eastAsia="方正仿宋_GBK"/>
          <w:bCs/>
          <w:color w:val="000000" w:themeColor="text1"/>
          <w:sz w:val="32"/>
          <w:szCs w:val="32"/>
        </w:rPr>
        <w:t>100</w:t>
      </w:r>
      <w:r>
        <w:rPr>
          <w:rFonts w:ascii="方正仿宋_GBK" w:eastAsia="方正仿宋_GBK"/>
          <w:bCs/>
          <w:color w:val="000000" w:themeColor="text1"/>
          <w:sz w:val="32"/>
          <w:szCs w:val="32"/>
        </w:rPr>
        <w:t>分，项目全年预算数为</w:t>
      </w:r>
      <w:r>
        <w:rPr>
          <w:rFonts w:hint="eastAsia" w:ascii="方正仿宋_GBK" w:eastAsia="方正仿宋_GBK"/>
          <w:bCs/>
          <w:color w:val="000000" w:themeColor="text1"/>
          <w:sz w:val="32"/>
          <w:szCs w:val="32"/>
        </w:rPr>
        <w:t>205</w:t>
      </w:r>
      <w:r>
        <w:rPr>
          <w:rFonts w:ascii="方正仿宋_GBK" w:eastAsia="方正仿宋_GBK"/>
          <w:bCs/>
          <w:color w:val="000000" w:themeColor="text1"/>
          <w:sz w:val="32"/>
          <w:szCs w:val="32"/>
        </w:rPr>
        <w:t>万元，执行数为</w:t>
      </w:r>
      <w:r>
        <w:rPr>
          <w:rFonts w:hint="eastAsia" w:ascii="方正仿宋_GBK" w:eastAsia="方正仿宋_GBK"/>
          <w:bCs/>
          <w:color w:val="000000" w:themeColor="text1"/>
          <w:sz w:val="32"/>
          <w:szCs w:val="32"/>
        </w:rPr>
        <w:t>205</w:t>
      </w:r>
      <w:r>
        <w:rPr>
          <w:rFonts w:ascii="方正仿宋_GBK" w:eastAsia="方正仿宋_GBK"/>
          <w:bCs/>
          <w:color w:val="000000" w:themeColor="text1"/>
          <w:sz w:val="32"/>
          <w:szCs w:val="32"/>
        </w:rPr>
        <w:t>万元，完成预算的</w:t>
      </w:r>
      <w:r>
        <w:rPr>
          <w:rFonts w:hint="eastAsia" w:ascii="方正仿宋_GBK" w:eastAsia="方正仿宋_GBK"/>
          <w:bCs/>
          <w:color w:val="000000" w:themeColor="text1"/>
          <w:sz w:val="32"/>
          <w:szCs w:val="32"/>
        </w:rPr>
        <w:t>100</w:t>
      </w:r>
      <w:r>
        <w:rPr>
          <w:rFonts w:ascii="方正仿宋_GBK" w:eastAsia="方正仿宋_GBK"/>
          <w:bCs/>
          <w:color w:val="000000" w:themeColor="text1"/>
          <w:sz w:val="32"/>
          <w:szCs w:val="32"/>
        </w:rPr>
        <w:t>%。主要产出和效果：一是</w:t>
      </w:r>
      <w:r>
        <w:rPr>
          <w:rFonts w:hint="eastAsia" w:ascii="方正仿宋_GBK" w:eastAsia="方正仿宋_GBK"/>
          <w:bCs/>
          <w:color w:val="000000" w:themeColor="text1"/>
          <w:sz w:val="32"/>
          <w:szCs w:val="32"/>
        </w:rPr>
        <w:t>全年顺利召开人代会议2次</w:t>
      </w:r>
      <w:r>
        <w:rPr>
          <w:rFonts w:ascii="方正仿宋_GBK" w:eastAsia="方正仿宋_GBK"/>
          <w:bCs/>
          <w:color w:val="000000" w:themeColor="text1"/>
          <w:sz w:val="32"/>
          <w:szCs w:val="32"/>
        </w:rPr>
        <w:t>，</w:t>
      </w:r>
      <w:r>
        <w:rPr>
          <w:rFonts w:hint="eastAsia" w:ascii="方正仿宋_GBK" w:eastAsia="方正仿宋_GBK"/>
          <w:bCs/>
          <w:color w:val="000000" w:themeColor="text1"/>
          <w:sz w:val="32"/>
          <w:szCs w:val="32"/>
        </w:rPr>
        <w:t>依法行使了监督权、决定权和任免权，充分发挥出人民代表的作用；</w:t>
      </w:r>
      <w:r>
        <w:rPr>
          <w:rFonts w:ascii="方正仿宋_GBK" w:eastAsia="方正仿宋_GBK"/>
          <w:bCs/>
          <w:color w:val="000000" w:themeColor="text1"/>
          <w:sz w:val="32"/>
          <w:szCs w:val="32"/>
        </w:rPr>
        <w:t>二是</w:t>
      </w:r>
      <w:r>
        <w:rPr>
          <w:rFonts w:hint="eastAsia" w:ascii="方正仿宋_GBK" w:eastAsia="方正仿宋_GBK"/>
          <w:bCs/>
          <w:color w:val="000000" w:themeColor="text1"/>
          <w:sz w:val="32"/>
          <w:szCs w:val="32"/>
        </w:rPr>
        <w:t>闭会期间召开常委会及主任会议15次</w:t>
      </w:r>
      <w:r>
        <w:rPr>
          <w:rFonts w:ascii="方正仿宋_GBK" w:eastAsia="方正仿宋_GBK"/>
          <w:bCs/>
          <w:color w:val="000000" w:themeColor="text1"/>
          <w:sz w:val="32"/>
          <w:szCs w:val="32"/>
        </w:rPr>
        <w:t>。发现的问题</w:t>
      </w:r>
      <w:r>
        <w:rPr>
          <w:rFonts w:hint="eastAsia" w:ascii="方正仿宋_GBK" w:eastAsia="方正仿宋_GBK"/>
          <w:bCs/>
          <w:color w:val="000000" w:themeColor="text1"/>
          <w:sz w:val="32"/>
          <w:szCs w:val="32"/>
        </w:rPr>
        <w:t>为对人大制度和人代会的宣传力度还不够，群众参与度还有待提升</w:t>
      </w:r>
      <w:r>
        <w:rPr>
          <w:rFonts w:ascii="方正仿宋_GBK" w:eastAsia="方正仿宋_GBK"/>
          <w:bCs/>
          <w:color w:val="000000" w:themeColor="text1"/>
          <w:sz w:val="32"/>
          <w:szCs w:val="32"/>
        </w:rPr>
        <w:t>。</w:t>
      </w:r>
      <w:r>
        <w:rPr>
          <w:rFonts w:hint="eastAsia" w:ascii="方正仿宋_GBK" w:eastAsia="方正仿宋_GBK"/>
          <w:bCs/>
          <w:color w:val="000000" w:themeColor="text1"/>
          <w:sz w:val="32"/>
          <w:szCs w:val="32"/>
        </w:rPr>
        <w:t>针对问题，我单位将进一步加大相关宣传力度和广度，充分发挥出人民代表大会制度的优越性。</w:t>
      </w:r>
    </w:p>
    <w:p>
      <w:pPr>
        <w:pStyle w:val="6"/>
        <w:shd w:val="clear" w:color="auto"/>
        <w:spacing w:before="0" w:beforeAutospacing="0" w:after="0" w:afterAutospacing="0" w:line="600" w:lineRule="exact"/>
        <w:ind w:firstLine="640" w:firstLineChars="200"/>
        <w:jc w:val="both"/>
        <w:outlineLvl w:val="0"/>
        <w:rPr>
          <w:rStyle w:val="10"/>
          <w:rFonts w:ascii="方正黑体_GBK" w:eastAsia="方正黑体_GBK"/>
          <w:color w:val="000000" w:themeColor="text1"/>
        </w:rPr>
      </w:pPr>
      <w:r>
        <w:rPr>
          <w:rStyle w:val="10"/>
          <w:rFonts w:hint="eastAsia" w:ascii="方正黑体_GBK" w:eastAsia="方正黑体_GBK"/>
          <w:b w:val="0"/>
          <w:color w:val="000000" w:themeColor="text1"/>
          <w:sz w:val="32"/>
          <w:szCs w:val="32"/>
        </w:rPr>
        <w:t>六、专业名词解释</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（一）财政拨款收入</w:t>
      </w:r>
      <w:r>
        <w:rPr>
          <w:rFonts w:hint="eastAsia" w:ascii="方正仿宋_GBK" w:eastAsia="方正仿宋_GBK"/>
          <w:color w:val="000000" w:themeColor="text1"/>
          <w:sz w:val="32"/>
          <w:szCs w:val="32"/>
        </w:rPr>
        <w:t>：指本年度从本级财政部门取得的财政拨款，包括一般公共预算财政拨款和政府性基金预算财政拨款。</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（二）事业收入</w:t>
      </w:r>
      <w:r>
        <w:rPr>
          <w:rFonts w:hint="eastAsia" w:ascii="方正仿宋_GBK" w:eastAsia="方正仿宋_GBK"/>
          <w:color w:val="000000" w:themeColor="text1"/>
          <w:sz w:val="32"/>
          <w:szCs w:val="32"/>
        </w:rPr>
        <w:t>：指事业单位开展专业业务活动及其辅助活动取得的现金流入；事业单位收到的财政专户实际核拨的教育收费等资金在此反映。</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（三）经营收入</w:t>
      </w:r>
      <w:r>
        <w:rPr>
          <w:rFonts w:hint="eastAsia" w:ascii="方正仿宋_GBK" w:eastAsia="方正仿宋_GBK"/>
          <w:color w:val="000000" w:themeColor="text1"/>
          <w:sz w:val="32"/>
          <w:szCs w:val="32"/>
        </w:rPr>
        <w:t>：指事业单位在专业业务活动及其辅助活动之外开展非独立核算经营活动取得的现金流入。</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（四）其他收入</w:t>
      </w:r>
      <w:r>
        <w:rPr>
          <w:rFonts w:hint="eastAsia" w:ascii="方正仿宋_GBK" w:eastAsia="方正仿宋_GBK"/>
          <w:color w:val="000000" w:themeColor="text1"/>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（五）用事业基金弥补收支差额</w:t>
      </w:r>
      <w:r>
        <w:rPr>
          <w:rFonts w:hint="eastAsia" w:ascii="方正仿宋_GBK" w:eastAsia="方正仿宋_GBK"/>
          <w:color w:val="000000" w:themeColor="text1"/>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（六）年初结转和结余</w:t>
      </w:r>
      <w:r>
        <w:rPr>
          <w:rFonts w:hint="eastAsia" w:ascii="方正仿宋_GBK" w:eastAsia="方正仿宋_GBK"/>
          <w:color w:val="000000" w:themeColor="text1"/>
          <w:sz w:val="32"/>
          <w:szCs w:val="32"/>
        </w:rPr>
        <w:t>：指单位上年结转本年使用的基本支出结转、项目支出结转和结余、经营结余。</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（七）结余分配</w:t>
      </w:r>
      <w:r>
        <w:rPr>
          <w:rFonts w:hint="eastAsia" w:ascii="方正仿宋_GBK" w:eastAsia="方正仿宋_GBK"/>
          <w:color w:val="000000" w:themeColor="text1"/>
          <w:sz w:val="32"/>
          <w:szCs w:val="32"/>
        </w:rPr>
        <w:t>：指单位按照国家有关规定，缴纳所得税、提取专用基金、转入事业基金等当年结余的分配情况。</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（八）年末结转和结余</w:t>
      </w:r>
      <w:r>
        <w:rPr>
          <w:rFonts w:hint="eastAsia" w:ascii="方正仿宋_GBK" w:eastAsia="方正仿宋_GBK"/>
          <w:color w:val="000000" w:themeColor="text1"/>
          <w:sz w:val="32"/>
          <w:szCs w:val="32"/>
        </w:rPr>
        <w:t>：指单位结转下年的基本支出结转、项目支出结转和结余、经营结余。</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（九）基本支出</w:t>
      </w:r>
      <w:r>
        <w:rPr>
          <w:rFonts w:hint="eastAsia" w:ascii="方正仿宋_GBK" w:eastAsia="方正仿宋_GBK"/>
          <w:color w:val="000000" w:themeColor="text1"/>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（十）项目支出</w:t>
      </w:r>
      <w:r>
        <w:rPr>
          <w:rFonts w:hint="eastAsia" w:ascii="方正仿宋_GBK" w:eastAsia="方正仿宋_GBK"/>
          <w:color w:val="000000" w:themeColor="text1"/>
          <w:sz w:val="32"/>
          <w:szCs w:val="32"/>
        </w:rPr>
        <w:t>：指在基本支出之外为完成特定行政任务和事业发展目标所发生的支出。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（十一）经营支出</w:t>
      </w:r>
      <w:r>
        <w:rPr>
          <w:rFonts w:hint="eastAsia" w:ascii="方正仿宋_GBK" w:eastAsia="方正仿宋_GBK"/>
          <w:color w:val="000000" w:themeColor="text1"/>
          <w:sz w:val="32"/>
          <w:szCs w:val="32"/>
        </w:rPr>
        <w:t>：指事业单位在专业业务活动及其辅助活动之外开展非独立核算经营活动发生的支出。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（十二）“三公”经费</w:t>
      </w:r>
      <w:r>
        <w:rPr>
          <w:rFonts w:hint="eastAsia" w:ascii="方正仿宋_GBK" w:eastAsia="方正仿宋_GBK"/>
          <w:color w:val="000000" w:themeColor="text1"/>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（十三）机关运行经费</w:t>
      </w:r>
      <w:r>
        <w:rPr>
          <w:rFonts w:hint="eastAsia" w:ascii="方正仿宋_GBK" w:eastAsia="方正仿宋_GBK"/>
          <w:color w:val="000000" w:themeColor="text1"/>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（十四）工资福利支出（支出经济分类科目类级）</w:t>
      </w:r>
      <w:r>
        <w:rPr>
          <w:rFonts w:hint="eastAsia" w:ascii="方正仿宋_GBK" w:eastAsia="方正仿宋_GBK"/>
          <w:color w:val="000000" w:themeColor="text1"/>
          <w:sz w:val="32"/>
          <w:szCs w:val="32"/>
        </w:rPr>
        <w:t>：反映单位开支的在职职工和编制外长期聘用人员的各类劳动报酬，以及为上述人员缴纳的各项社会保险费等。</w:t>
      </w:r>
    </w:p>
    <w:p>
      <w:pPr>
        <w:pStyle w:val="6"/>
        <w:widowControl w:val="0"/>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（十五）商品和服务支出（支出经济分类科目类级）</w:t>
      </w:r>
      <w:r>
        <w:rPr>
          <w:rFonts w:hint="eastAsia" w:ascii="方正仿宋_GBK" w:eastAsia="方正仿宋_GBK"/>
          <w:color w:val="000000" w:themeColor="text1"/>
          <w:sz w:val="32"/>
          <w:szCs w:val="32"/>
        </w:rPr>
        <w:t>：反映单位购买商品和服务的支出（不包括用于购置固定资产的支出、战略性和应急储备支出）。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（十六）对个人和家庭的补助（支出经济分类科目类级）</w:t>
      </w:r>
      <w:r>
        <w:rPr>
          <w:rFonts w:hint="eastAsia" w:ascii="方正仿宋_GBK" w:eastAsia="方正仿宋_GBK"/>
          <w:color w:val="000000" w:themeColor="text1"/>
          <w:sz w:val="32"/>
          <w:szCs w:val="32"/>
        </w:rPr>
        <w:t>：反映用于对个人和家庭的补助支出。</w:t>
      </w:r>
    </w:p>
    <w:p>
      <w:pPr>
        <w:pStyle w:val="6"/>
        <w:shd w:val="clear" w:color="auto"/>
        <w:spacing w:before="0" w:beforeAutospacing="0" w:after="0" w:afterAutospacing="0" w:line="600" w:lineRule="exact"/>
        <w:ind w:firstLine="643" w:firstLineChars="200"/>
        <w:jc w:val="both"/>
        <w:rPr>
          <w:rFonts w:ascii="方正仿宋_GBK" w:eastAsia="方正仿宋_GBK"/>
          <w:color w:val="000000" w:themeColor="text1"/>
          <w:sz w:val="32"/>
          <w:szCs w:val="32"/>
        </w:rPr>
      </w:pPr>
      <w:r>
        <w:rPr>
          <w:rStyle w:val="10"/>
          <w:rFonts w:hint="eastAsia" w:ascii="方正仿宋_GBK" w:eastAsia="方正仿宋_GBK"/>
          <w:color w:val="000000" w:themeColor="text1"/>
          <w:sz w:val="32"/>
          <w:szCs w:val="32"/>
        </w:rPr>
        <w:t>（十七）其他资本性支出（支出经济分类科目类级）</w:t>
      </w:r>
      <w:r>
        <w:rPr>
          <w:rFonts w:hint="eastAsia" w:ascii="方正仿宋_GBK" w:eastAsia="方正仿宋_GBK"/>
          <w:color w:val="000000" w:themeColor="text1"/>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spacing w:before="0" w:beforeAutospacing="0" w:after="0" w:afterAutospacing="0" w:line="600" w:lineRule="exact"/>
        <w:ind w:firstLine="640" w:firstLineChars="200"/>
        <w:jc w:val="both"/>
        <w:outlineLvl w:val="0"/>
        <w:rPr>
          <w:rFonts w:ascii="方正黑体_GBK" w:eastAsia="方正黑体_GBK"/>
          <w:b/>
          <w:color w:val="000000" w:themeColor="text1"/>
          <w:sz w:val="32"/>
          <w:szCs w:val="32"/>
        </w:rPr>
      </w:pPr>
      <w:r>
        <w:rPr>
          <w:rStyle w:val="10"/>
          <w:rFonts w:hint="eastAsia" w:ascii="方正黑体_GBK" w:eastAsia="方正黑体_GBK"/>
          <w:b w:val="0"/>
          <w:color w:val="000000" w:themeColor="text1"/>
          <w:sz w:val="32"/>
          <w:szCs w:val="32"/>
        </w:rPr>
        <w:t>七、决算公开联系方式及信息反馈渠道</w:t>
      </w:r>
    </w:p>
    <w:p>
      <w:pPr>
        <w:pStyle w:val="6"/>
        <w:shd w:val="clear" w:color="auto"/>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Fonts w:hint="eastAsia" w:ascii="方正仿宋_GBK" w:hAnsi="华文中宋" w:eastAsia="方正仿宋_GBK"/>
          <w:color w:val="000000" w:themeColor="text1"/>
          <w:sz w:val="32"/>
          <w:szCs w:val="32"/>
        </w:rPr>
        <w:t>　本单位决算公开信息反馈和联系方式：023-62988513。</w:t>
      </w:r>
    </w:p>
    <w:sectPr>
      <w:footerReference r:id="rId3" w:type="default"/>
      <w:pgSz w:w="11907" w:h="16840"/>
      <w:pgMar w:top="1984" w:right="1446" w:bottom="1644" w:left="1446" w:header="851" w:footer="992" w:gutter="0"/>
      <w:cols w:space="0" w:num="1"/>
      <w:rtlGutter w:val="0"/>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pPr>
          <w:pStyle w:val="4"/>
          <w:jc w:val="center"/>
        </w:pPr>
      </w:p>
      <w:p>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15</w:t>
        </w:r>
        <w:r>
          <w:rPr>
            <w:rFonts w:ascii="Times New Roman" w:hAnsi="Times New Roman" w:cs="Times New Roman"/>
            <w:sz w:val="21"/>
            <w:szCs w:val="21"/>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8FDFE"/>
    <w:multiLevelType w:val="singleLevel"/>
    <w:tmpl w:val="5F98FDF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65"/>
  <w:displayVerticalDrawingGridEvery w:val="2"/>
  <w:noPunctuationKerning w:val="1"/>
  <w:characterSpacingControl w:val="doNotCompress"/>
  <w:compat>
    <w:useFELayout/>
    <w:compatSetting w:name="compatibilityMode" w:uri="http://schemas.microsoft.com/office/word" w:val="12"/>
  </w:compat>
  <w:rsids>
    <w:rsidRoot w:val="009A41FA"/>
    <w:rsid w:val="000478A4"/>
    <w:rsid w:val="00055556"/>
    <w:rsid w:val="00065022"/>
    <w:rsid w:val="000C02A5"/>
    <w:rsid w:val="000E0D14"/>
    <w:rsid w:val="000E7B44"/>
    <w:rsid w:val="00115962"/>
    <w:rsid w:val="0014577A"/>
    <w:rsid w:val="00221A09"/>
    <w:rsid w:val="002324F4"/>
    <w:rsid w:val="002B2E8A"/>
    <w:rsid w:val="0030438F"/>
    <w:rsid w:val="00305B5A"/>
    <w:rsid w:val="00316F52"/>
    <w:rsid w:val="00317DE3"/>
    <w:rsid w:val="00323DC8"/>
    <w:rsid w:val="003269CF"/>
    <w:rsid w:val="003363C6"/>
    <w:rsid w:val="003463D8"/>
    <w:rsid w:val="00420E29"/>
    <w:rsid w:val="00442E3D"/>
    <w:rsid w:val="0045471F"/>
    <w:rsid w:val="00462809"/>
    <w:rsid w:val="005409BD"/>
    <w:rsid w:val="0055794B"/>
    <w:rsid w:val="00582EDB"/>
    <w:rsid w:val="005972AA"/>
    <w:rsid w:val="005B0AB3"/>
    <w:rsid w:val="005D1AC5"/>
    <w:rsid w:val="0060169A"/>
    <w:rsid w:val="0063459A"/>
    <w:rsid w:val="00646C0C"/>
    <w:rsid w:val="006649C5"/>
    <w:rsid w:val="006B3A67"/>
    <w:rsid w:val="006C7E94"/>
    <w:rsid w:val="006F08AE"/>
    <w:rsid w:val="007813B9"/>
    <w:rsid w:val="00786275"/>
    <w:rsid w:val="00786696"/>
    <w:rsid w:val="007A3D39"/>
    <w:rsid w:val="007C62E2"/>
    <w:rsid w:val="0087676C"/>
    <w:rsid w:val="00887363"/>
    <w:rsid w:val="00926BF7"/>
    <w:rsid w:val="009A41FA"/>
    <w:rsid w:val="009C4DD7"/>
    <w:rsid w:val="009D65BE"/>
    <w:rsid w:val="009E0F94"/>
    <w:rsid w:val="00AA5C86"/>
    <w:rsid w:val="00AB2365"/>
    <w:rsid w:val="00B61C9F"/>
    <w:rsid w:val="00C947A8"/>
    <w:rsid w:val="00CD5CFD"/>
    <w:rsid w:val="00D33E16"/>
    <w:rsid w:val="00D644DC"/>
    <w:rsid w:val="00D73116"/>
    <w:rsid w:val="00D96B9D"/>
    <w:rsid w:val="00E07898"/>
    <w:rsid w:val="00EF0255"/>
    <w:rsid w:val="00EF28A6"/>
    <w:rsid w:val="00F13908"/>
    <w:rsid w:val="00F364CA"/>
    <w:rsid w:val="00F9639E"/>
    <w:rsid w:val="03590CDC"/>
    <w:rsid w:val="07A81550"/>
    <w:rsid w:val="0BD36127"/>
    <w:rsid w:val="117302E2"/>
    <w:rsid w:val="17470BA3"/>
    <w:rsid w:val="1F902B77"/>
    <w:rsid w:val="21763F1A"/>
    <w:rsid w:val="22AE0578"/>
    <w:rsid w:val="3A2A016A"/>
    <w:rsid w:val="3CA916A9"/>
    <w:rsid w:val="3FFB6562"/>
    <w:rsid w:val="5AAD6355"/>
    <w:rsid w:val="5D5A40D7"/>
    <w:rsid w:val="6F126A7F"/>
    <w:rsid w:val="6FEB0CBC"/>
    <w:rsid w:val="73A46482"/>
    <w:rsid w:val="7B21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Document Map"/>
    <w:basedOn w:val="1"/>
    <w:link w:val="13"/>
    <w:unhideWhenUsed/>
    <w:qFormat/>
    <w:uiPriority w:val="99"/>
    <w:rPr>
      <w:sz w:val="18"/>
      <w:szCs w:val="18"/>
    </w:rPr>
  </w:style>
  <w:style w:type="paragraph" w:styleId="3">
    <w:name w:val="annotation text"/>
    <w:basedOn w:val="1"/>
    <w:link w:val="16"/>
    <w:unhideWhenUsed/>
    <w:qFormat/>
    <w:uiPriority w:val="99"/>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paragraph" w:styleId="7">
    <w:name w:val="annotation subject"/>
    <w:basedOn w:val="3"/>
    <w:next w:val="3"/>
    <w:link w:val="17"/>
    <w:unhideWhenUsed/>
    <w:qFormat/>
    <w:uiPriority w:val="99"/>
    <w:rPr>
      <w:b/>
      <w:bCs/>
    </w:rPr>
  </w:style>
  <w:style w:type="character" w:styleId="10">
    <w:name w:val="Strong"/>
    <w:basedOn w:val="9"/>
    <w:qFormat/>
    <w:uiPriority w:val="22"/>
    <w:rPr>
      <w:b/>
      <w:bCs/>
    </w:rPr>
  </w:style>
  <w:style w:type="character" w:customStyle="1" w:styleId="11">
    <w:name w:val="页眉 Char"/>
    <w:basedOn w:val="9"/>
    <w:link w:val="5"/>
    <w:semiHidden/>
    <w:qFormat/>
    <w:locked/>
    <w:uiPriority w:val="99"/>
    <w:rPr>
      <w:rFonts w:hint="eastAsia" w:ascii="宋体" w:hAnsi="宋体" w:eastAsia="宋体" w:cs="宋体"/>
      <w:sz w:val="18"/>
      <w:szCs w:val="18"/>
    </w:rPr>
  </w:style>
  <w:style w:type="character" w:customStyle="1" w:styleId="12">
    <w:name w:val="页脚 Char"/>
    <w:basedOn w:val="9"/>
    <w:link w:val="4"/>
    <w:qFormat/>
    <w:locked/>
    <w:uiPriority w:val="99"/>
    <w:rPr>
      <w:rFonts w:hint="eastAsia" w:ascii="宋体" w:hAnsi="宋体" w:eastAsia="宋体" w:cs="宋体"/>
      <w:sz w:val="18"/>
      <w:szCs w:val="18"/>
    </w:rPr>
  </w:style>
  <w:style w:type="character" w:customStyle="1" w:styleId="13">
    <w:name w:val="文档结构图 Char"/>
    <w:basedOn w:val="9"/>
    <w:link w:val="2"/>
    <w:semiHidden/>
    <w:qFormat/>
    <w:locked/>
    <w:uiPriority w:val="99"/>
    <w:rPr>
      <w:rFonts w:hint="eastAsia" w:ascii="宋体" w:hAnsi="宋体" w:eastAsia="宋体" w:cs="宋体"/>
      <w:sz w:val="18"/>
      <w:szCs w:val="18"/>
    </w:rPr>
  </w:style>
  <w:style w:type="paragraph" w:customStyle="1" w:styleId="14">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5">
    <w:name w:val="msonormal"/>
    <w:basedOn w:val="1"/>
    <w:semiHidden/>
    <w:qFormat/>
    <w:uiPriority w:val="99"/>
    <w:pPr>
      <w:spacing w:before="100" w:beforeAutospacing="1" w:after="100" w:afterAutospacing="1"/>
    </w:pPr>
  </w:style>
  <w:style w:type="character" w:customStyle="1" w:styleId="16">
    <w:name w:val="批注文字 Char"/>
    <w:basedOn w:val="9"/>
    <w:link w:val="3"/>
    <w:semiHidden/>
    <w:qFormat/>
    <w:uiPriority w:val="99"/>
    <w:rPr>
      <w:rFonts w:ascii="宋体" w:hAnsi="宋体" w:eastAsia="宋体" w:cs="宋体"/>
      <w:sz w:val="24"/>
      <w:szCs w:val="24"/>
    </w:rPr>
  </w:style>
  <w:style w:type="character" w:customStyle="1" w:styleId="17">
    <w:name w:val="批注主题 Char"/>
    <w:basedOn w:val="16"/>
    <w:link w:val="7"/>
    <w:qFormat/>
    <w:uiPriority w:val="99"/>
    <w:rPr>
      <w:b/>
      <w:bCs/>
    </w:rPr>
  </w:style>
  <w:style w:type="paragraph" w:customStyle="1" w:styleId="18">
    <w:name w:val="_Style 1"/>
    <w:basedOn w:val="1"/>
    <w:semiHidden/>
    <w:qFormat/>
    <w:uiPriority w:val="99"/>
    <w:pPr>
      <w:ind w:firstLine="420" w:firstLineChars="200"/>
      <w:jc w:val="both"/>
    </w:pPr>
    <w:rPr>
      <w:rFonts w:ascii="Times New Roman" w:hAnsi="Times New Roman" w:cs="Times New Roman"/>
      <w:kern w:val="2"/>
      <w:szCs w:val="22"/>
    </w:rPr>
  </w:style>
  <w:style w:type="paragraph" w:customStyle="1" w:styleId="19">
    <w:name w:val="普通(网站) Char"/>
    <w:basedOn w:val="1"/>
    <w:qFormat/>
    <w:uiPriority w:val="0"/>
    <w:pPr>
      <w:spacing w:before="100" w:beforeAutospacing="1" w:after="100" w:afterAutospacing="1"/>
      <w:ind w:left="0" w:right="0"/>
      <w:jc w:val="left"/>
    </w:pPr>
    <w:rPr>
      <w:rFonts w:hint="eastAsia" w:ascii="方正仿宋简体" w:hAnsi="方正仿宋简体" w:eastAsia="方正仿宋简体" w:cs="方正仿宋简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4E2A2-3EDA-4DA8-B88C-6C6200BDD423}">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15</Pages>
  <Words>1038</Words>
  <Characters>5920</Characters>
  <Lines>49</Lines>
  <Paragraphs>13</Paragraphs>
  <TotalTime>0</TotalTime>
  <ScaleCrop>false</ScaleCrop>
  <LinksUpToDate>false</LinksUpToDate>
  <CharactersWithSpaces>6945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skhj</cp:lastModifiedBy>
  <cp:lastPrinted>2021-08-31T06:34:00Z</cp:lastPrinted>
  <dcterms:modified xsi:type="dcterms:W3CDTF">2021-11-23T02:13:30Z</dcterms:modified>
  <dc:title>公开报告模板</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95EB2BC450574508B812C720E5B1F23B</vt:lpwstr>
  </property>
</Properties>
</file>