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94" w:lineRule="exact"/>
        <w:ind w:firstLine="61" w:firstLineChars="14"/>
        <w:jc w:val="center"/>
        <w:outlineLvl w:val="0"/>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重庆市南岸区人民政府</w:t>
      </w:r>
    </w:p>
    <w:p>
      <w:pPr>
        <w:pStyle w:val="6"/>
        <w:shd w:val="clear" w:color="auto" w:fill="FFFFFF"/>
        <w:spacing w:before="0" w:beforeAutospacing="0" w:after="0" w:afterAutospacing="0" w:line="594" w:lineRule="exact"/>
        <w:ind w:firstLine="61" w:firstLineChars="14"/>
        <w:jc w:val="center"/>
        <w:outlineLvl w:val="0"/>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弹子石街道办事处</w:t>
      </w:r>
    </w:p>
    <w:p>
      <w:pPr>
        <w:pStyle w:val="6"/>
        <w:shd w:val="clear" w:color="auto" w:fill="FFFFFF"/>
        <w:spacing w:before="0" w:beforeAutospacing="0" w:after="0" w:afterAutospacing="0" w:line="594" w:lineRule="exact"/>
        <w:ind w:firstLine="61" w:firstLineChars="14"/>
        <w:jc w:val="center"/>
        <w:outlineLvl w:val="0"/>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2020年度部门决算情况说明</w:t>
      </w:r>
    </w:p>
    <w:p>
      <w:pPr>
        <w:pStyle w:val="6"/>
        <w:shd w:val="clear" w:color="auto" w:fill="FFFFFF"/>
        <w:spacing w:before="0" w:beforeAutospacing="0" w:after="0" w:afterAutospacing="0" w:line="594" w:lineRule="exact"/>
        <w:ind w:firstLine="880" w:firstLineChars="200"/>
        <w:jc w:val="both"/>
        <w:rPr>
          <w:rFonts w:ascii="Times New Roman" w:hAnsi="Times New Roman" w:eastAsia="方正小标宋_GBK" w:cs="Times New Roman"/>
          <w:color w:val="000000" w:themeColor="text1"/>
          <w:sz w:val="44"/>
          <w:szCs w:val="44"/>
        </w:rPr>
      </w:pP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黑体_GBK" w:cs="Times New Roman"/>
          <w:b w:val="0"/>
          <w:color w:val="000000" w:themeColor="text1"/>
          <w:sz w:val="32"/>
          <w:szCs w:val="32"/>
        </w:rPr>
      </w:pPr>
      <w:r>
        <w:rPr>
          <w:rStyle w:val="9"/>
          <w:rFonts w:ascii="Times New Roman" w:hAnsi="Times New Roman" w:eastAsia="方正黑体_GBK" w:cs="Times New Roman"/>
          <w:b w:val="0"/>
          <w:color w:val="000000" w:themeColor="text1"/>
          <w:sz w:val="32"/>
          <w:szCs w:val="32"/>
        </w:rPr>
        <w:t>一、部门基本情况</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bCs/>
          <w:color w:val="000000" w:themeColor="text1"/>
          <w:sz w:val="32"/>
          <w:szCs w:val="32"/>
        </w:rPr>
      </w:pPr>
      <w:r>
        <w:rPr>
          <w:rFonts w:ascii="Times New Roman" w:hAnsi="Times New Roman" w:eastAsia="方正楷体_GBK" w:cs="Times New Roman"/>
          <w:bCs/>
          <w:color w:val="000000" w:themeColor="text1"/>
          <w:sz w:val="32"/>
          <w:szCs w:val="32"/>
        </w:rPr>
        <w:t>（一）职能职责</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kern w:val="2"/>
          <w:sz w:val="32"/>
          <w:szCs w:val="32"/>
        </w:rPr>
        <w:t>一是执行党和国家的各项方针、政策、法令、法规，在区委、区政府领导下完成各项任务。二是负责街道经济发展规划、经济社会统计，为辖区经济发展提供服务。三是负责辖区内信访、社会治安综合治理，防范和处理邪教，依照有关规定管理外来流动人员。四是做好辖区市容环卫、环境保护、物业管理等相关工作。五是按照职责范围做好民政、教育、卫生、计生、老龄事业发展、文化、体育、社会救助、残疾人事业、劳动就业、社会保障等工作。六是负责辖区安全生产综合监管、应急管理、消防管理，配合有关部门做好防汛、防火、抢险和防灾救灾工作。七是维护老年人、妇女、青少年、儿童和残疾人的合法权益，尊重少数民族的风俗习惯和保障少数民族的权益。八是指导和帮助社区居委会工作，开展社区文化、科普、体育、教育工作，促进居委会的建设。九是向市、区人民政府反映居民群众的意见和要求，办理人民群众的来信来访等事项。十是承办区委、区政府交办的其他事项。</w:t>
      </w:r>
    </w:p>
    <w:p>
      <w:pPr>
        <w:pStyle w:val="6"/>
        <w:numPr>
          <w:ilvl w:val="0"/>
          <w:numId w:val="1"/>
        </w:numPr>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bCs/>
          <w:color w:val="000000" w:themeColor="text1"/>
          <w:sz w:val="32"/>
          <w:szCs w:val="32"/>
        </w:rPr>
      </w:pPr>
      <w:r>
        <w:rPr>
          <w:rFonts w:ascii="Times New Roman" w:hAnsi="Times New Roman" w:eastAsia="方正楷体_GBK" w:cs="Times New Roman"/>
          <w:bCs/>
          <w:color w:val="000000" w:themeColor="text1"/>
          <w:sz w:val="32"/>
          <w:szCs w:val="32"/>
        </w:rPr>
        <w:t>机构设置</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000000" w:themeColor="text1"/>
          <w:sz w:val="32"/>
        </w:rPr>
      </w:pPr>
      <w:r>
        <w:rPr>
          <w:rFonts w:ascii="Times New Roman" w:hAnsi="Times New Roman" w:eastAsia="方正仿宋_GBK" w:cs="Times New Roman"/>
          <w:color w:val="000000" w:themeColor="text1"/>
          <w:sz w:val="32"/>
        </w:rPr>
        <w:t>弹子石街道办事处内设9个职能科室（党政办公室（人大办公室）、党建工作办公室、经济发展办公室（统计办公室）、民政和社会事务办公室（卫生健康办公室）、平安建设办公室、规划建设管理环保办公室（物业管理办公室）、财政办公室、应急管理办公室、综合行政执法办公室）、</w:t>
      </w:r>
      <w:r>
        <w:rPr>
          <w:rFonts w:hint="eastAsia" w:ascii="Times New Roman" w:hAnsi="Times New Roman" w:eastAsia="方正仿宋_GBK" w:cs="Times New Roman"/>
          <w:color w:val="000000" w:themeColor="text1"/>
          <w:sz w:val="32"/>
          <w:highlight w:val="none"/>
        </w:rPr>
        <w:t>1个参公事业单位（城管执法大队）、</w:t>
      </w:r>
      <w:r>
        <w:rPr>
          <w:rFonts w:ascii="Times New Roman" w:hAnsi="Times New Roman" w:eastAsia="方正仿宋_GBK" w:cs="Times New Roman"/>
          <w:color w:val="000000" w:themeColor="text1"/>
          <w:sz w:val="32"/>
        </w:rPr>
        <w:t>6个事业单位（社区事务服务中心、社区文化服务中心、劳动就业和社会保障服务所、退役军人服务站、综合行政执法大队、物业管理服务中心），下辖9个社区居民委员会（王家沱社区、大佛寺社区、东山坪社区、惠工村社区、群慧村社区、富力社区、弹新街社区、裕华街社区、石桥社区）。本街道编制人数66人（行政24人、工勤1人、参公18人、事业23人）,实有在职人数5</w:t>
      </w:r>
      <w:r>
        <w:rPr>
          <w:rFonts w:hint="eastAsia" w:ascii="Times New Roman" w:hAnsi="Times New Roman" w:eastAsia="方正仿宋_GBK" w:cs="Times New Roman"/>
          <w:color w:val="000000" w:themeColor="text1"/>
          <w:sz w:val="32"/>
        </w:rPr>
        <w:t>8</w:t>
      </w:r>
      <w:r>
        <w:rPr>
          <w:rFonts w:ascii="Times New Roman" w:hAnsi="Times New Roman" w:eastAsia="方正仿宋_GBK" w:cs="Times New Roman"/>
          <w:color w:val="000000" w:themeColor="text1"/>
          <w:sz w:val="32"/>
        </w:rPr>
        <w:t>人，离退休3</w:t>
      </w:r>
      <w:r>
        <w:rPr>
          <w:rFonts w:hint="eastAsia" w:ascii="Times New Roman" w:hAnsi="Times New Roman" w:eastAsia="方正仿宋_GBK" w:cs="Times New Roman"/>
          <w:color w:val="000000" w:themeColor="text1"/>
          <w:sz w:val="32"/>
        </w:rPr>
        <w:t>1</w:t>
      </w:r>
      <w:r>
        <w:rPr>
          <w:rFonts w:ascii="Times New Roman" w:hAnsi="Times New Roman" w:eastAsia="方正仿宋_GBK" w:cs="Times New Roman"/>
          <w:color w:val="000000" w:themeColor="text1"/>
          <w:sz w:val="32"/>
        </w:rPr>
        <w:t>人；四部分在职人员</w:t>
      </w:r>
      <w:r>
        <w:rPr>
          <w:rFonts w:hint="eastAsia" w:ascii="Times New Roman" w:hAnsi="Times New Roman" w:eastAsia="方正仿宋_GBK" w:cs="Times New Roman"/>
          <w:color w:val="000000" w:themeColor="text1"/>
          <w:sz w:val="32"/>
        </w:rPr>
        <w:t>9</w:t>
      </w:r>
      <w:r>
        <w:rPr>
          <w:rFonts w:ascii="Times New Roman" w:hAnsi="Times New Roman" w:eastAsia="方正仿宋_GBK" w:cs="Times New Roman"/>
          <w:color w:val="000000" w:themeColor="text1"/>
          <w:sz w:val="32"/>
        </w:rPr>
        <w:t>人、退休</w:t>
      </w:r>
      <w:r>
        <w:rPr>
          <w:rFonts w:hint="eastAsia" w:ascii="Times New Roman" w:hAnsi="Times New Roman" w:eastAsia="方正仿宋_GBK" w:cs="Times New Roman"/>
          <w:color w:val="000000" w:themeColor="text1"/>
          <w:sz w:val="32"/>
        </w:rPr>
        <w:t>21</w:t>
      </w:r>
      <w:r>
        <w:rPr>
          <w:rFonts w:ascii="Times New Roman" w:hAnsi="Times New Roman" w:eastAsia="方正仿宋_GBK" w:cs="Times New Roman"/>
          <w:color w:val="000000" w:themeColor="text1"/>
          <w:sz w:val="32"/>
        </w:rPr>
        <w:t>人；社区居民委员会64人。</w:t>
      </w:r>
    </w:p>
    <w:p>
      <w:pPr>
        <w:pStyle w:val="6"/>
        <w:shd w:val="clear" w:color="auto" w:fill="FFFFFF"/>
        <w:spacing w:before="0" w:beforeAutospacing="0" w:after="0" w:afterAutospacing="0" w:line="594" w:lineRule="exact"/>
        <w:ind w:firstLine="640" w:firstLineChars="200"/>
        <w:jc w:val="both"/>
        <w:outlineLvl w:val="1"/>
        <w:rPr>
          <w:rFonts w:ascii="Times New Roman" w:hAnsi="Times New Roman" w:eastAsia="方正楷体_GBK" w:cs="Times New Roman"/>
          <w:bCs/>
          <w:color w:val="000000" w:themeColor="text1"/>
          <w:sz w:val="32"/>
          <w:szCs w:val="32"/>
        </w:rPr>
      </w:pPr>
      <w:r>
        <w:rPr>
          <w:rFonts w:ascii="Times New Roman" w:hAnsi="Times New Roman" w:eastAsia="方正楷体_GBK" w:cs="Times New Roman"/>
          <w:bCs/>
          <w:color w:val="000000" w:themeColor="text1"/>
          <w:sz w:val="32"/>
          <w:szCs w:val="32"/>
        </w:rPr>
        <w:t>（三）单位构成</w:t>
      </w:r>
    </w:p>
    <w:p>
      <w:pPr>
        <w:pStyle w:val="6"/>
        <w:shd w:val="clear" w:color="auto" w:fill="FFFFFF"/>
        <w:spacing w:before="0" w:beforeAutospacing="0" w:after="0" w:afterAutospacing="0" w:line="594" w:lineRule="exact"/>
        <w:ind w:firstLine="640" w:firstLineChars="200"/>
        <w:jc w:val="both"/>
        <w:outlineLvl w:val="1"/>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本单位无下级预算单位。</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黑体_GBK" w:cs="Times New Roman"/>
          <w:b w:val="0"/>
          <w:color w:val="000000" w:themeColor="text1"/>
        </w:rPr>
      </w:pPr>
      <w:r>
        <w:rPr>
          <w:rStyle w:val="9"/>
          <w:rFonts w:ascii="Times New Roman" w:hAnsi="Times New Roman" w:eastAsia="方正黑体_GBK" w:cs="Times New Roman"/>
          <w:b w:val="0"/>
          <w:color w:val="000000" w:themeColor="text1"/>
          <w:sz w:val="32"/>
          <w:szCs w:val="32"/>
        </w:rPr>
        <w:t>二、部门决算情况说明</w:t>
      </w:r>
    </w:p>
    <w:p>
      <w:pPr>
        <w:pStyle w:val="6"/>
        <w:shd w:val="clear" w:color="auto" w:fill="FFFFFF"/>
        <w:spacing w:before="0" w:beforeAutospacing="0" w:after="0" w:afterAutospacing="0" w:line="594" w:lineRule="exact"/>
        <w:ind w:firstLine="640" w:firstLineChars="200"/>
        <w:jc w:val="both"/>
        <w:outlineLvl w:val="0"/>
        <w:rPr>
          <w:rFonts w:ascii="Times New Roman" w:hAnsi="Times New Roman" w:eastAsia="方正楷体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（一）收入支出决算总体情况说明</w:t>
      </w:r>
    </w:p>
    <w:p>
      <w:pPr>
        <w:snapToGrid w:val="0"/>
        <w:spacing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1.总体情况</w:t>
      </w:r>
    </w:p>
    <w:p>
      <w:pPr>
        <w:snapToGrid w:val="0"/>
        <w:spacing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color w:val="000000" w:themeColor="text1"/>
          <w:sz w:val="32"/>
          <w:szCs w:val="32"/>
        </w:rPr>
        <w:t>本单位</w:t>
      </w:r>
      <w:r>
        <w:rPr>
          <w:rFonts w:ascii="Times New Roman" w:hAnsi="Times New Roman" w:eastAsia="方正仿宋_GBK" w:cs="Times New Roman"/>
          <w:color w:val="000000" w:themeColor="text1"/>
          <w:sz w:val="32"/>
          <w:szCs w:val="32"/>
        </w:rPr>
        <w:t>2020年度收入总计5721.08万元，支出总计5721.08万元。收支较上年决算数增加1201.75万元，增长26.6%，主要原因是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w:t>
      </w:r>
    </w:p>
    <w:p>
      <w:pPr>
        <w:snapToGrid w:val="0"/>
        <w:spacing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2.收入情况</w:t>
      </w:r>
    </w:p>
    <w:p>
      <w:pPr>
        <w:snapToGrid w:val="0"/>
        <w:spacing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color w:val="000000" w:themeColor="text1"/>
          <w:sz w:val="32"/>
          <w:szCs w:val="32"/>
        </w:rPr>
        <w:t>本单位2020年度收入合计5710.82万元，较上年决算数增加1209.83</w:t>
      </w:r>
      <w:r>
        <w:rPr>
          <w:rFonts w:ascii="Times New Roman" w:hAnsi="Times New Roman" w:eastAsia="方正仿宋_GBK" w:cs="Times New Roman"/>
          <w:color w:val="000000" w:themeColor="text1"/>
          <w:sz w:val="32"/>
          <w:szCs w:val="32"/>
        </w:rPr>
        <w:t>万元，增长26.9%，主要原因是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其中：财政拨款收入5710.82万元，占100%。此外，年初结转和结余盘活存量资金10.26万元。</w:t>
      </w:r>
    </w:p>
    <w:p>
      <w:pPr>
        <w:snapToGrid w:val="0"/>
        <w:spacing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3.支出情况</w:t>
      </w:r>
    </w:p>
    <w:p>
      <w:pPr>
        <w:snapToGrid w:val="0"/>
        <w:spacing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color w:val="000000" w:themeColor="text1"/>
          <w:sz w:val="32"/>
          <w:szCs w:val="32"/>
        </w:rPr>
        <w:t>本单位2020年度支出合计5721.08万元，较上年决算数增加1201.75万元，增长26.6%，</w:t>
      </w:r>
      <w:r>
        <w:rPr>
          <w:rFonts w:ascii="Times New Roman" w:hAnsi="Times New Roman" w:eastAsia="方正仿宋_GBK" w:cs="Times New Roman"/>
          <w:color w:val="000000" w:themeColor="text1"/>
          <w:sz w:val="32"/>
          <w:szCs w:val="32"/>
        </w:rPr>
        <w:t>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其中：基本支出1444.65万元，占25.3%；项目支出4276.42万元，占74.7%。</w:t>
      </w:r>
    </w:p>
    <w:p>
      <w:pPr>
        <w:pStyle w:val="6"/>
        <w:shd w:val="clear" w:color="auto" w:fill="FFFFFF"/>
        <w:spacing w:before="0" w:beforeAutospacing="0" w:after="0" w:afterAutospacing="0"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4.结转结余情况</w:t>
      </w:r>
      <w:bookmarkStart w:id="0" w:name="_GoBack"/>
      <w:bookmarkEnd w:id="0"/>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rPr>
        <w:t>本单位2020年度年末结转和结余</w:t>
      </w:r>
      <w:r>
        <w:rPr>
          <w:rFonts w:ascii="Times New Roman" w:hAnsi="Times New Roman" w:eastAsia="方正仿宋_GBK" w:cs="Times New Roman"/>
          <w:color w:val="000000" w:themeColor="text1"/>
          <w:sz w:val="32"/>
          <w:szCs w:val="32"/>
          <w:highlight w:val="none"/>
        </w:rPr>
        <w:t>0万元</w:t>
      </w:r>
      <w:r>
        <w:rPr>
          <w:rFonts w:hint="eastAsia" w:ascii="Times New Roman" w:hAnsi="Times New Roman" w:eastAsia="方正仿宋_GBK" w:cs="Times New Roman"/>
          <w:color w:val="000000" w:themeColor="text1"/>
          <w:sz w:val="32"/>
          <w:szCs w:val="32"/>
          <w:highlight w:val="none"/>
          <w:lang w:eastAsia="zh-CN"/>
        </w:rPr>
        <w:t>，</w:t>
      </w:r>
      <w:r>
        <w:rPr>
          <w:rFonts w:hint="eastAsia" w:ascii="Times New Roman" w:hAnsi="Times New Roman" w:eastAsia="方正仿宋_GBK" w:cs="Times New Roman"/>
          <w:color w:val="000000" w:themeColor="text1"/>
          <w:sz w:val="32"/>
          <w:szCs w:val="32"/>
          <w:highlight w:val="none"/>
          <w:lang w:val="en-US" w:eastAsia="zh-CN"/>
        </w:rPr>
        <w:t>与上年决算数持平，主要原因是</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各项经费已按照年初预算和调整预算安排，妥善推进预算经费执行进度，已完成预算资金的全部执行。</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楷体_GBK" w:cs="Times New Roman"/>
          <w:b w:val="0"/>
          <w:bCs w:val="0"/>
          <w:color w:val="000000" w:themeColor="text1"/>
        </w:rPr>
      </w:pPr>
      <w:r>
        <w:rPr>
          <w:rStyle w:val="9"/>
          <w:rFonts w:ascii="Times New Roman" w:hAnsi="Times New Roman" w:eastAsia="方正楷体_GBK" w:cs="Times New Roman"/>
          <w:b w:val="0"/>
          <w:bCs w:val="0"/>
          <w:color w:val="000000" w:themeColor="text1"/>
          <w:sz w:val="32"/>
          <w:szCs w:val="32"/>
        </w:rPr>
        <w:t>（二）财政拨款收入支出决算总体情况说明</w:t>
      </w:r>
    </w:p>
    <w:p>
      <w:pPr>
        <w:snapToGrid w:val="0"/>
        <w:spacing w:line="594" w:lineRule="exact"/>
        <w:ind w:firstLine="640" w:firstLineChars="2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z w:val="32"/>
          <w:szCs w:val="32"/>
        </w:rPr>
        <w:t>本单位2020年度财政拨款收入总计</w:t>
      </w:r>
      <w:r>
        <w:rPr>
          <w:rFonts w:ascii="Times New Roman" w:hAnsi="Times New Roman" w:eastAsia="方正仿宋_GBK" w:cs="Times New Roman"/>
          <w:bCs/>
          <w:color w:val="000000" w:themeColor="text1"/>
          <w:sz w:val="32"/>
          <w:szCs w:val="32"/>
        </w:rPr>
        <w:t>5721.08</w:t>
      </w:r>
      <w:r>
        <w:rPr>
          <w:rFonts w:ascii="Times New Roman" w:hAnsi="Times New Roman" w:eastAsia="方正仿宋_GBK" w:cs="Times New Roman"/>
          <w:color w:val="000000" w:themeColor="text1"/>
          <w:sz w:val="32"/>
          <w:szCs w:val="32"/>
        </w:rPr>
        <w:t>万元，与2019年相比，财政拨款收入总计增加1201.75万元，增长26.6%。主要原因是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财政拨款支出总计</w:t>
      </w:r>
      <w:r>
        <w:rPr>
          <w:rFonts w:ascii="Times New Roman" w:hAnsi="Times New Roman" w:eastAsia="方正仿宋_GBK" w:cs="Times New Roman"/>
          <w:bCs/>
          <w:color w:val="000000" w:themeColor="text1"/>
          <w:sz w:val="32"/>
          <w:szCs w:val="32"/>
        </w:rPr>
        <w:t>5721.08</w:t>
      </w:r>
      <w:r>
        <w:rPr>
          <w:rFonts w:ascii="Times New Roman" w:hAnsi="Times New Roman" w:eastAsia="方正仿宋_GBK" w:cs="Times New Roman"/>
          <w:color w:val="000000" w:themeColor="text1"/>
          <w:sz w:val="32"/>
          <w:szCs w:val="32"/>
        </w:rPr>
        <w:t>万元，与2019年相比，财政拨款支出总计增加1201.75万元，增长26.6%。主要原因是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楷体_GBK" w:cs="Times New Roman"/>
          <w:b w:val="0"/>
          <w:bCs w:val="0"/>
          <w:color w:val="000000" w:themeColor="text1"/>
        </w:rPr>
      </w:pPr>
      <w:r>
        <w:rPr>
          <w:rStyle w:val="9"/>
          <w:rFonts w:ascii="Times New Roman" w:hAnsi="Times New Roman" w:eastAsia="方正楷体_GBK" w:cs="Times New Roman"/>
          <w:b w:val="0"/>
          <w:bCs w:val="0"/>
          <w:color w:val="000000" w:themeColor="text1"/>
          <w:sz w:val="32"/>
          <w:szCs w:val="32"/>
        </w:rPr>
        <w:t>（三）一般公共预算财政拨款支出决算情况说明</w:t>
      </w:r>
    </w:p>
    <w:p>
      <w:pPr>
        <w:snapToGrid w:val="0"/>
        <w:spacing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1.收入情况</w:t>
      </w:r>
    </w:p>
    <w:p>
      <w:pPr>
        <w:snapToGrid w:val="0"/>
        <w:spacing w:line="594" w:lineRule="exact"/>
        <w:ind w:firstLine="640" w:firstLineChars="200"/>
        <w:jc w:val="both"/>
        <w:rPr>
          <w:rFonts w:ascii="Times New Roman" w:hAnsi="Times New Roman" w:eastAsia="方正仿宋_GBK" w:cs="Times New Roman"/>
          <w:color w:val="000000" w:themeColor="text1"/>
        </w:rPr>
      </w:pPr>
      <w:r>
        <w:rPr>
          <w:rFonts w:ascii="Times New Roman" w:hAnsi="Times New Roman" w:eastAsia="方正仿宋_GBK" w:cs="Times New Roman"/>
          <w:bCs/>
          <w:color w:val="000000" w:themeColor="text1"/>
          <w:sz w:val="32"/>
          <w:szCs w:val="32"/>
        </w:rPr>
        <w:t>本单位2020年度一般公共预算财政拨款收入5302.16万元，较上年决算数增加875.95</w:t>
      </w:r>
      <w:r>
        <w:rPr>
          <w:rFonts w:ascii="Times New Roman" w:hAnsi="Times New Roman" w:eastAsia="方正仿宋_GBK" w:cs="Times New Roman"/>
          <w:color w:val="000000" w:themeColor="text1"/>
          <w:sz w:val="32"/>
          <w:szCs w:val="32"/>
        </w:rPr>
        <w:t>万元，增长 19.8%。主要原因是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较年初预算数增加1362.95万元，增长34.6%。主要原因是追加下达了社区治理经费131.89万元，老旧居住区整治工程费378.76万元，清扫保洁绿化专项322.4万元，防汛专项经费24万元，抗疫专项经费33万元，垃圾分类专项经费68.62万元，船舶专项经费20万元，社会化管理经费191.36万元，党建经费54.56万元，参战参试补助20.35万元，民政政策性专项等经费118.01万元。此外，</w:t>
      </w:r>
      <w:r>
        <w:rPr>
          <w:rFonts w:ascii="Times New Roman" w:hAnsi="Times New Roman" w:eastAsia="方正仿宋_GBK" w:cs="Times New Roman"/>
          <w:sz w:val="32"/>
          <w:szCs w:val="32"/>
        </w:rPr>
        <w:t>年初财政拨款结转和结余</w:t>
      </w:r>
      <w:r>
        <w:rPr>
          <w:rFonts w:ascii="Times New Roman" w:hAnsi="Times New Roman" w:eastAsia="方正仿宋_GBK" w:cs="Times New Roman"/>
          <w:color w:val="000000" w:themeColor="text1"/>
          <w:sz w:val="32"/>
          <w:szCs w:val="32"/>
        </w:rPr>
        <w:t>盘活存量资金10.26万元。</w:t>
      </w:r>
    </w:p>
    <w:p>
      <w:pPr>
        <w:snapToGrid w:val="0"/>
        <w:spacing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2.支出情况</w:t>
      </w:r>
    </w:p>
    <w:p>
      <w:pPr>
        <w:snapToGrid w:val="0"/>
        <w:spacing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color w:val="000000" w:themeColor="text1"/>
          <w:sz w:val="32"/>
          <w:szCs w:val="32"/>
        </w:rPr>
        <w:t>本单位2020年度</w:t>
      </w:r>
      <w:r>
        <w:rPr>
          <w:rFonts w:ascii="Times New Roman" w:hAnsi="Times New Roman" w:eastAsia="方正仿宋_GBK" w:cs="Times New Roman"/>
          <w:color w:val="000000" w:themeColor="text1"/>
          <w:sz w:val="32"/>
          <w:szCs w:val="32"/>
        </w:rPr>
        <w:t>一般公共预算财政拨款支出5312.42万元，较上年决算数增加867.87万元，增长19.5%。主要原因是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社区治理经费，老旧居住区整治工程经费，防汛专项经费，抗疫专项经费，垃圾分类专项经费，船舶专项经费，清扫保洁绿化专项经费，三社联动试点工作经费，社区养老服务经费，社工服务经费，民政政策性专项经费，社会化管理经费等。较年初预算数增加1373.21万元，增长34.9%。主要原因是追加下达了社区治理经费131.89万元，老旧居住区整治工程费378.76万元，清扫保洁绿化专项322.4万元，防汛专项经费24万元，抗疫专项经费33万元，垃圾分类专项经费68.62万元，船舶专项经费20万元，社会化管理经费191.36万元，党建经费54.56万元，参战参试补助20.35万元，民政政策性专项等经费128.27万元。</w:t>
      </w:r>
    </w:p>
    <w:p>
      <w:pPr>
        <w:pStyle w:val="6"/>
        <w:shd w:val="clear" w:color="auto" w:fill="FFFFFF"/>
        <w:spacing w:before="0" w:beforeAutospacing="0" w:after="0" w:afterAutospacing="0"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3.结转结余情况</w:t>
      </w:r>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rPr>
        <w:t>本单位</w:t>
      </w:r>
      <w:r>
        <w:rPr>
          <w:rFonts w:ascii="Times New Roman" w:hAnsi="Times New Roman" w:eastAsia="方正仿宋_GBK" w:cs="Times New Roman"/>
          <w:sz w:val="32"/>
          <w:szCs w:val="32"/>
          <w:highlight w:val="none"/>
        </w:rPr>
        <w:t>2020年度年末一般公共预算财政拨款结转和结余</w:t>
      </w:r>
      <w:r>
        <w:rPr>
          <w:rFonts w:ascii="Times New Roman" w:hAnsi="Times New Roman" w:eastAsia="方正仿宋_GBK" w:cs="Times New Roman"/>
          <w:bCs/>
          <w:color w:val="000000" w:themeColor="text1"/>
          <w:sz w:val="32"/>
          <w:szCs w:val="32"/>
          <w:highlight w:val="none"/>
        </w:rPr>
        <w:t>0万元</w:t>
      </w:r>
      <w:r>
        <w:rPr>
          <w:rFonts w:hint="eastAsia" w:ascii="Times New Roman" w:hAnsi="Times New Roman" w:eastAsia="方正仿宋_GBK" w:cs="Times New Roman"/>
          <w:bCs/>
          <w:color w:val="000000" w:themeColor="text1"/>
          <w:sz w:val="32"/>
          <w:szCs w:val="32"/>
          <w:highlight w:val="none"/>
          <w:lang w:eastAsia="zh-CN"/>
        </w:rPr>
        <w:t>，</w:t>
      </w:r>
      <w:r>
        <w:rPr>
          <w:rFonts w:hint="eastAsia" w:ascii="Times New Roman" w:hAnsi="Times New Roman" w:eastAsia="方正仿宋_GBK" w:cs="Times New Roman"/>
          <w:bCs/>
          <w:color w:val="000000" w:themeColor="text1"/>
          <w:sz w:val="32"/>
          <w:szCs w:val="32"/>
          <w:highlight w:val="none"/>
          <w:lang w:val="en-US" w:eastAsia="zh-CN"/>
        </w:rPr>
        <w:t>与上年决算数持平，主要原因是</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各项经费已按照年初预算和调整预算安排，妥善推进预算经费执行进度，已完成预算资金的全部执行。</w:t>
      </w:r>
    </w:p>
    <w:p>
      <w:pPr>
        <w:pStyle w:val="6"/>
        <w:widowControl w:val="0"/>
        <w:shd w:val="clear" w:color="auto" w:fill="FFFFFF"/>
        <w:spacing w:before="0" w:beforeAutospacing="0" w:after="0" w:afterAutospacing="0" w:line="594" w:lineRule="exact"/>
        <w:ind w:firstLine="643" w:firstLineChars="200"/>
        <w:jc w:val="both"/>
        <w:rPr>
          <w:rFonts w:hint="eastAsia"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4.比较情况</w:t>
      </w:r>
    </w:p>
    <w:p>
      <w:pPr>
        <w:pStyle w:val="6"/>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本单位2020年度一般公共预算财政拨款支出主要用于以下几个方面：</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（1）一般公共服务支出1560.62万元，占29.4%，较年初预算数增加111.15万元，增长7.7%，主要原因是追加下达了党建经费、人大经费、信访维稳专项经费、第七次人口普查工作经费、第四次经济普查两员补助经费等。</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（2）科学技术支出3万元，占0.1%，较年初预算数增加3万元，</w:t>
      </w:r>
      <w:r>
        <w:rPr>
          <w:rFonts w:hint="eastAsia" w:ascii="Times New Roman" w:hAnsi="Times New Roman" w:eastAsia="方正仿宋_GBK" w:cs="Times New Roman"/>
          <w:color w:val="000000" w:themeColor="text1"/>
          <w:sz w:val="32"/>
          <w:szCs w:val="32"/>
        </w:rPr>
        <w:t>增长100%，</w:t>
      </w:r>
      <w:r>
        <w:rPr>
          <w:rFonts w:ascii="Times New Roman" w:hAnsi="Times New Roman" w:eastAsia="方正仿宋_GBK" w:cs="Times New Roman"/>
          <w:color w:val="000000" w:themeColor="text1"/>
          <w:sz w:val="32"/>
          <w:szCs w:val="32"/>
        </w:rPr>
        <w:t>主要原因是追加下达了科普大学教学点工作补助经费。</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（3）文化旅游体育与传媒支出76.85万元，占1.4%，较年初预算数增加37.29万元，增长94.3%，主要原因是追加下达了公共文化免费开放补助、政府购买演出服务补助、 新时代文明实践中心建设试点项目等经费。</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（4）社会保障与就业支出1894.38万元，占35.7%，较年初预算数增加332.5万元，增长21.3%，主要原因是追加下达了民政政策性专项经费、参战参试补助经费、社会化管理经费、基层社区建设经费等。</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（5）卫生健康支出105.28万元，占2.0%，较年初预算数增加36.23万元，增长52.5%，主要原因是追加下达了抗疫专项经费等。</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（6）城乡社区支出1161.69万元，占21.9%，较年初预算数增加391.47万元，增长50.8%，主要原因是追加下达了垃圾分类专项经费、清扫保洁绿化专项经费等。</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（7）农林水支出24万元，占0.5%，较年初预算数增加24万元，</w:t>
      </w:r>
      <w:r>
        <w:rPr>
          <w:rFonts w:hint="eastAsia" w:ascii="Times New Roman" w:hAnsi="Times New Roman" w:eastAsia="方正仿宋_GBK" w:cs="Times New Roman"/>
          <w:color w:val="000000" w:themeColor="text1"/>
          <w:sz w:val="32"/>
          <w:szCs w:val="32"/>
        </w:rPr>
        <w:t>增长100%，</w:t>
      </w:r>
      <w:r>
        <w:rPr>
          <w:rFonts w:ascii="Times New Roman" w:hAnsi="Times New Roman" w:eastAsia="方正仿宋_GBK" w:cs="Times New Roman"/>
          <w:color w:val="000000" w:themeColor="text1"/>
          <w:sz w:val="32"/>
          <w:szCs w:val="32"/>
        </w:rPr>
        <w:t>主要原因是追加下达了防汛专项经费。</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（8）交通运输支出20万元，占0.4%，较年初预算数增加20万元，</w:t>
      </w:r>
      <w:r>
        <w:rPr>
          <w:rFonts w:hint="eastAsia" w:ascii="Times New Roman" w:hAnsi="Times New Roman" w:eastAsia="方正仿宋_GBK" w:cs="Times New Roman"/>
          <w:color w:val="000000" w:themeColor="text1"/>
          <w:sz w:val="32"/>
          <w:szCs w:val="32"/>
        </w:rPr>
        <w:t>增长100%，</w:t>
      </w:r>
      <w:r>
        <w:rPr>
          <w:rFonts w:ascii="Times New Roman" w:hAnsi="Times New Roman" w:eastAsia="方正仿宋_GBK" w:cs="Times New Roman"/>
          <w:color w:val="000000" w:themeColor="text1"/>
          <w:sz w:val="32"/>
          <w:szCs w:val="32"/>
        </w:rPr>
        <w:t>主要原因是追加下达了“两江四岸”停泊船舶专项治理经费。</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（9）住房保障支出451.93万元，占8.5%，较年初预算数增加402.9万元，增长821.7%，主要原因是追加下达了住房补贴、老旧居住区整治工程费等。</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（10）灾害防治及应急管理支出14.66万元，占0.3%，较年初预算数增加14.66万元，</w:t>
      </w:r>
      <w:r>
        <w:rPr>
          <w:rFonts w:hint="eastAsia" w:ascii="Times New Roman" w:hAnsi="Times New Roman" w:eastAsia="方正仿宋_GBK" w:cs="Times New Roman"/>
          <w:color w:val="000000" w:themeColor="text1"/>
          <w:sz w:val="32"/>
          <w:szCs w:val="32"/>
        </w:rPr>
        <w:t>增长100%，</w:t>
      </w:r>
      <w:r>
        <w:rPr>
          <w:rFonts w:ascii="Times New Roman" w:hAnsi="Times New Roman" w:eastAsia="方正仿宋_GBK" w:cs="Times New Roman"/>
          <w:color w:val="000000" w:themeColor="text1"/>
          <w:sz w:val="32"/>
          <w:szCs w:val="32"/>
        </w:rPr>
        <w:t>主要原因是追加下达了“三无” 无水高层居住建筑室内消火栓通水整改经费、中央自然灾害救灾经费。</w:t>
      </w:r>
    </w:p>
    <w:p>
      <w:pPr>
        <w:pStyle w:val="6"/>
        <w:shd w:val="clear" w:color="auto" w:fill="FFFFFF"/>
        <w:spacing w:before="0" w:beforeAutospacing="0" w:after="0" w:afterAutospacing="0" w:line="594" w:lineRule="exact"/>
        <w:ind w:firstLine="640" w:firstLineChars="200"/>
        <w:jc w:val="both"/>
        <w:outlineLvl w:val="0"/>
        <w:rPr>
          <w:rFonts w:ascii="Times New Roman" w:hAnsi="Times New Roman" w:eastAsia="方正楷体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（四）一般公共预算财政拨款基本支出决算情况说明</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本单位2020年度一般公共财政拨款基本支出1444.65万元。其中：人员经费1059.18万元，较上年决算数减少 80.78万元，下降 7.1%，主要原因是2019年</w:t>
      </w:r>
      <w:r>
        <w:rPr>
          <w:rFonts w:hint="eastAsia" w:ascii="Times New Roman" w:hAnsi="Times New Roman" w:eastAsia="方正仿宋_GBK" w:cs="Times New Roman"/>
          <w:color w:val="000000" w:themeColor="text1"/>
          <w:sz w:val="32"/>
          <w:szCs w:val="32"/>
        </w:rPr>
        <w:t>进行了住房</w:t>
      </w:r>
      <w:r>
        <w:rPr>
          <w:rFonts w:ascii="Times New Roman" w:hAnsi="Times New Roman" w:eastAsia="方正仿宋_GBK" w:cs="Times New Roman"/>
          <w:color w:val="000000" w:themeColor="text1"/>
          <w:sz w:val="32"/>
          <w:szCs w:val="32"/>
        </w:rPr>
        <w:t>公积金</w:t>
      </w:r>
      <w:r>
        <w:rPr>
          <w:rFonts w:hint="eastAsia" w:ascii="Times New Roman" w:hAnsi="Times New Roman" w:eastAsia="方正仿宋_GBK" w:cs="Times New Roman"/>
          <w:color w:val="000000" w:themeColor="text1"/>
          <w:sz w:val="32"/>
          <w:szCs w:val="32"/>
        </w:rPr>
        <w:t>补缴</w:t>
      </w:r>
      <w:r>
        <w:rPr>
          <w:rFonts w:ascii="Times New Roman" w:hAnsi="Times New Roman" w:eastAsia="方正仿宋_GBK" w:cs="Times New Roman"/>
          <w:color w:val="000000" w:themeColor="text1"/>
          <w:sz w:val="32"/>
          <w:szCs w:val="32"/>
        </w:rPr>
        <w:t>，导致基数变大。人员经费用途主要包括基本工资、津贴补贴、奖金、社会保障缴费、绩效工资、住房公积金、医疗费、其他工资福利支出、离休费、生活补助、医疗费补助等。公用经费385.47万元，较上年决算数增加183.33万元，增长90.7%，主要原因是部分商品价格上涨，办公设备购置及购买办公耗材等费用增加。公用经费用途主要包括办公费、印刷费、水费、电费、邮电费、差旅费、维修（护）费、会议费、培训费、公务接待费、劳务费、公务用车运行维护费、其他交通费用等。</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楷体_GBK" w:cs="Times New Roman"/>
          <w:b w:val="0"/>
          <w:bCs w:val="0"/>
          <w:color w:val="000000" w:themeColor="text1"/>
        </w:rPr>
      </w:pPr>
      <w:r>
        <w:rPr>
          <w:rStyle w:val="9"/>
          <w:rFonts w:ascii="Times New Roman" w:hAnsi="Times New Roman" w:eastAsia="方正楷体_GBK" w:cs="Times New Roman"/>
          <w:b w:val="0"/>
          <w:bCs w:val="0"/>
          <w:color w:val="000000" w:themeColor="text1"/>
          <w:sz w:val="32"/>
          <w:szCs w:val="32"/>
        </w:rPr>
        <w:t>（五）政府性基金预算收支决算情况说明</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本单位2020年度政府性基金预算财政拨款年初结转结余0万元，年末结转结余0万元。本年收入408.66万元，较上年决算数增加333.88万元，增长446.5%，主要原因是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出较多，主要包括追加安排了抗疫特别国债66万元，</w:t>
      </w:r>
      <w:r>
        <w:rPr>
          <w:rFonts w:ascii="Times New Roman" w:hAnsi="Times New Roman" w:eastAsia="仿宋_GB2312" w:cs="Times New Roman"/>
          <w:sz w:val="32"/>
          <w:szCs w:val="32"/>
        </w:rPr>
        <w:t>三社联动试点工作经费80万元</w:t>
      </w:r>
      <w:r>
        <w:rPr>
          <w:rFonts w:ascii="Times New Roman" w:hAnsi="Times New Roman" w:eastAsia="方正仿宋_GBK" w:cs="Times New Roman"/>
          <w:color w:val="000000" w:themeColor="text1"/>
          <w:sz w:val="32"/>
          <w:szCs w:val="32"/>
        </w:rPr>
        <w:t>，孤儿圆梦助学经费3万元，社工服务经费50万元，社区养老服务经费100万元，助餐服务补助5万元，民政以奖代补重精经费7.8万元，养老服务站建设补助等经费22.08万元。本年支出408.66万元，较上年决算数增加333.88万元，增长446.5%，主要原因是</w:t>
      </w:r>
      <w:r>
        <w:rPr>
          <w:rFonts w:ascii="Times New Roman" w:hAnsi="Times New Roman" w:eastAsia="方正仿宋_GBK" w:cs="Times New Roman"/>
          <w:bCs/>
          <w:color w:val="000000" w:themeColor="text1"/>
          <w:sz w:val="32"/>
          <w:szCs w:val="32"/>
        </w:rPr>
        <w:t>追加安排项目支</w:t>
      </w:r>
      <w:r>
        <w:rPr>
          <w:rFonts w:ascii="Times New Roman" w:hAnsi="Times New Roman" w:eastAsia="方正仿宋_GBK" w:cs="Times New Roman"/>
          <w:color w:val="000000" w:themeColor="text1"/>
          <w:sz w:val="32"/>
          <w:szCs w:val="32"/>
        </w:rPr>
        <w:t>出较多，主要包括追加安排了抗疫特别国债66万元，</w:t>
      </w:r>
      <w:r>
        <w:rPr>
          <w:rFonts w:ascii="Times New Roman" w:hAnsi="Times New Roman" w:eastAsia="仿宋_GB2312" w:cs="Times New Roman"/>
          <w:sz w:val="32"/>
          <w:szCs w:val="32"/>
        </w:rPr>
        <w:t>三社联动试点工作经费80万元</w:t>
      </w:r>
      <w:r>
        <w:rPr>
          <w:rFonts w:ascii="Times New Roman" w:hAnsi="Times New Roman" w:eastAsia="方正仿宋_GBK" w:cs="Times New Roman"/>
          <w:color w:val="000000" w:themeColor="text1"/>
          <w:sz w:val="32"/>
          <w:szCs w:val="32"/>
        </w:rPr>
        <w:t>，孤儿圆梦助学经费3万元，社工服务经费50万元，社区养老服务经费100万元，助餐服务补助5万元，民政以奖代补重精经费7.8万元，养老服务站建设补助等经费22.08万元。</w:t>
      </w:r>
    </w:p>
    <w:p>
      <w:pPr>
        <w:pStyle w:val="6"/>
        <w:shd w:val="clear" w:color="auto" w:fill="FFFFFF"/>
        <w:spacing w:before="0" w:beforeAutospacing="0" w:after="0" w:afterAutospacing="0" w:line="594" w:lineRule="exact"/>
        <w:ind w:firstLine="640" w:firstLineChars="200"/>
        <w:jc w:val="both"/>
        <w:outlineLvl w:val="0"/>
        <w:rPr>
          <w:rStyle w:val="9"/>
          <w:rFonts w:ascii="方正楷体_GBK" w:hAnsi="方正楷体_GBK" w:eastAsia="方正楷体_GBK" w:cs="方正楷体_GBK"/>
          <w:b w:val="0"/>
          <w:bCs w:val="0"/>
          <w:color w:val="000000" w:themeColor="text1"/>
        </w:rPr>
      </w:pPr>
      <w:r>
        <w:rPr>
          <w:rStyle w:val="9"/>
          <w:rFonts w:hint="eastAsia" w:ascii="方正楷体_GBK" w:hAnsi="方正楷体_GBK" w:eastAsia="方正楷体_GBK" w:cs="方正楷体_GBK"/>
          <w:b w:val="0"/>
          <w:bCs w:val="0"/>
          <w:color w:val="000000" w:themeColor="text1"/>
          <w:sz w:val="32"/>
          <w:szCs w:val="32"/>
        </w:rPr>
        <w:t>（六）国有资本经营预算财政拨款支出决算情况说明</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bCs/>
          <w:color w:val="000000" w:themeColor="text1"/>
          <w:sz w:val="32"/>
          <w:szCs w:val="32"/>
        </w:rPr>
      </w:pPr>
      <w:r>
        <w:rPr>
          <w:rFonts w:ascii="Times New Roman" w:hAnsi="Times New Roman" w:eastAsia="方正仿宋_GBK" w:cs="Times New Roman"/>
          <w:bCs/>
          <w:color w:val="000000" w:themeColor="text1"/>
          <w:sz w:val="32"/>
          <w:szCs w:val="32"/>
        </w:rPr>
        <w:t>本单位2020年度无国有资本经营预算财政拨款支出。</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黑体_GBK" w:cs="Times New Roman"/>
          <w:color w:val="000000" w:themeColor="text1"/>
        </w:rPr>
      </w:pPr>
      <w:r>
        <w:rPr>
          <w:rStyle w:val="9"/>
          <w:rFonts w:ascii="Times New Roman" w:hAnsi="Times New Roman" w:eastAsia="方正黑体_GBK" w:cs="Times New Roman"/>
          <w:b w:val="0"/>
          <w:color w:val="000000" w:themeColor="text1"/>
          <w:sz w:val="32"/>
          <w:szCs w:val="32"/>
        </w:rPr>
        <w:t>三、“三公”经费情况说明</w:t>
      </w:r>
    </w:p>
    <w:p>
      <w:pPr>
        <w:pStyle w:val="6"/>
        <w:shd w:val="clear" w:color="auto" w:fill="FFFFFF"/>
        <w:spacing w:before="0" w:beforeAutospacing="0" w:after="0" w:afterAutospacing="0" w:line="594" w:lineRule="exact"/>
        <w:ind w:firstLine="640" w:firstLineChars="200"/>
        <w:jc w:val="both"/>
        <w:outlineLvl w:val="1"/>
        <w:rPr>
          <w:rFonts w:ascii="Times New Roman" w:hAnsi="Times New Roman" w:eastAsia="方正楷体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（一）“三公”经费支出总体情况说明</w:t>
      </w:r>
    </w:p>
    <w:p>
      <w:pPr>
        <w:pStyle w:val="6"/>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2020年度本单位“三公”经费支出共计11.48万元，较年初预算数减少 3.82万元，下降25.0 %，主要原因是: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较上年支出数减少 0.03万元，下降 0.3%，主要原因是：一是认真贯彻落实中央八项规定精神，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大幅下降。三是进一步规范因公出国（境）活动，今年未安排人员出国出访。</w:t>
      </w:r>
    </w:p>
    <w:p>
      <w:pPr>
        <w:pStyle w:val="6"/>
        <w:shd w:val="clear" w:color="auto" w:fill="FFFFFF"/>
        <w:spacing w:before="0" w:beforeAutospacing="0" w:after="0" w:afterAutospacing="0" w:line="594" w:lineRule="exact"/>
        <w:ind w:firstLine="640" w:firstLineChars="200"/>
        <w:jc w:val="both"/>
        <w:outlineLvl w:val="1"/>
        <w:rPr>
          <w:rFonts w:ascii="Times New Roman" w:hAnsi="Times New Roman" w:eastAsia="方正楷体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（二）“三公”经费分项支出情况</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2020年度本单位因公出国（境）费用0万元，本单位2020年度未发生因公出国（境）支出。费用支出较年初预算数增加0万元，</w:t>
      </w:r>
      <w:r>
        <w:rPr>
          <w:rFonts w:ascii="Times New Roman" w:hAnsi="Times New Roman" w:eastAsia="方正仿宋_GBK" w:cs="Times New Roman"/>
          <w:bCs/>
          <w:color w:val="000000" w:themeColor="text1"/>
          <w:sz w:val="32"/>
          <w:szCs w:val="32"/>
        </w:rPr>
        <w:t>与年初预算数相比，基本持平</w:t>
      </w:r>
      <w:r>
        <w:rPr>
          <w:rFonts w:ascii="Times New Roman" w:hAnsi="Times New Roman" w:eastAsia="方正仿宋_GBK" w:cs="Times New Roman"/>
          <w:color w:val="000000" w:themeColor="text1"/>
          <w:sz w:val="32"/>
          <w:szCs w:val="32"/>
        </w:rPr>
        <w:t>，主要原因是</w:t>
      </w:r>
      <w:r>
        <w:rPr>
          <w:rFonts w:ascii="Times New Roman" w:hAnsi="Times New Roman" w:eastAsia="方正仿宋_GBK" w:cs="Times New Roman"/>
          <w:color w:val="000000" w:themeColor="text1"/>
          <w:sz w:val="32"/>
          <w:szCs w:val="32"/>
          <w:shd w:val="clear" w:color="auto" w:fill="FFFFFF"/>
        </w:rPr>
        <w:t>本单位2020年度</w:t>
      </w:r>
      <w:r>
        <w:rPr>
          <w:rFonts w:ascii="Times New Roman" w:hAnsi="Times New Roman" w:eastAsia="方正仿宋_GBK" w:cs="Times New Roman"/>
          <w:color w:val="000000" w:themeColor="text1"/>
          <w:sz w:val="32"/>
          <w:szCs w:val="32"/>
        </w:rPr>
        <w:t>未安排人员出国</w:t>
      </w:r>
      <w:r>
        <w:rPr>
          <w:rFonts w:ascii="Times New Roman" w:hAnsi="Times New Roman" w:eastAsia="方正仿宋_GBK" w:cs="Times New Roman"/>
          <w:color w:val="000000" w:themeColor="text1"/>
          <w:sz w:val="32"/>
          <w:szCs w:val="32"/>
          <w:shd w:val="clear" w:color="auto" w:fill="FFFFFF"/>
        </w:rPr>
        <w:t>（境）</w:t>
      </w:r>
      <w:r>
        <w:rPr>
          <w:rFonts w:ascii="Times New Roman" w:hAnsi="Times New Roman" w:eastAsia="方正仿宋_GBK" w:cs="Times New Roman"/>
          <w:color w:val="000000" w:themeColor="text1"/>
          <w:sz w:val="32"/>
          <w:szCs w:val="32"/>
        </w:rPr>
        <w:t>出访。较上年支出数减少 1.75万元，</w:t>
      </w:r>
      <w:r>
        <w:rPr>
          <w:rFonts w:hint="eastAsia" w:ascii="Times New Roman" w:hAnsi="Times New Roman" w:eastAsia="方正仿宋_GBK" w:cs="Times New Roman"/>
          <w:color w:val="000000" w:themeColor="text1"/>
          <w:sz w:val="32"/>
          <w:szCs w:val="32"/>
        </w:rPr>
        <w:t>下降100%，</w:t>
      </w:r>
      <w:r>
        <w:rPr>
          <w:rFonts w:ascii="Times New Roman" w:hAnsi="Times New Roman" w:eastAsia="方正仿宋_GBK" w:cs="Times New Roman"/>
          <w:color w:val="000000" w:themeColor="text1"/>
          <w:sz w:val="32"/>
          <w:szCs w:val="32"/>
        </w:rPr>
        <w:t>主要原因是</w:t>
      </w:r>
      <w:r>
        <w:rPr>
          <w:rFonts w:ascii="Times New Roman" w:hAnsi="Times New Roman" w:eastAsia="方正仿宋_GBK" w:cs="Times New Roman"/>
          <w:color w:val="000000" w:themeColor="text1"/>
          <w:sz w:val="32"/>
          <w:szCs w:val="32"/>
          <w:shd w:val="clear" w:color="auto" w:fill="FFFFFF"/>
        </w:rPr>
        <w:t>本单位2020年度</w:t>
      </w:r>
      <w:r>
        <w:rPr>
          <w:rFonts w:ascii="Times New Roman" w:hAnsi="Times New Roman" w:eastAsia="方正仿宋_GBK" w:cs="Times New Roman"/>
          <w:color w:val="000000" w:themeColor="text1"/>
          <w:sz w:val="32"/>
          <w:szCs w:val="32"/>
        </w:rPr>
        <w:t>未安排人员出国</w:t>
      </w:r>
      <w:r>
        <w:rPr>
          <w:rFonts w:ascii="Times New Roman" w:hAnsi="Times New Roman" w:eastAsia="方正仿宋_GBK" w:cs="Times New Roman"/>
          <w:color w:val="000000" w:themeColor="text1"/>
          <w:sz w:val="32"/>
          <w:szCs w:val="32"/>
          <w:shd w:val="clear" w:color="auto" w:fill="FFFFFF"/>
        </w:rPr>
        <w:t>（境）</w:t>
      </w:r>
      <w:r>
        <w:rPr>
          <w:rFonts w:ascii="Times New Roman" w:hAnsi="Times New Roman" w:eastAsia="方正仿宋_GBK" w:cs="Times New Roman"/>
          <w:color w:val="000000" w:themeColor="text1"/>
          <w:sz w:val="32"/>
          <w:szCs w:val="32"/>
        </w:rPr>
        <w:t>出访。</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公务车购置费0万元，本单位2020年度未发生公务车购置支出。费用支出较年初预算数增加0万元，</w:t>
      </w:r>
      <w:r>
        <w:rPr>
          <w:rFonts w:ascii="Times New Roman" w:hAnsi="Times New Roman" w:eastAsia="方正仿宋_GBK" w:cs="Times New Roman"/>
          <w:bCs/>
          <w:color w:val="000000" w:themeColor="text1"/>
          <w:sz w:val="32"/>
          <w:szCs w:val="32"/>
        </w:rPr>
        <w:t>与年初预算数相比，基本持平，</w:t>
      </w:r>
      <w:r>
        <w:rPr>
          <w:rFonts w:ascii="Times New Roman" w:hAnsi="Times New Roman" w:eastAsia="方正仿宋_GBK" w:cs="Times New Roman"/>
          <w:color w:val="000000" w:themeColor="text1"/>
          <w:sz w:val="32"/>
          <w:szCs w:val="32"/>
        </w:rPr>
        <w:t>主要原因是本单位2020年度未安排公务车购置支出。较上年支出数增加0万元，</w:t>
      </w:r>
      <w:r>
        <w:rPr>
          <w:rFonts w:ascii="Times New Roman" w:hAnsi="Times New Roman" w:eastAsia="方正仿宋_GBK" w:cs="Times New Roman"/>
          <w:bCs/>
          <w:color w:val="000000" w:themeColor="text1"/>
          <w:sz w:val="32"/>
          <w:szCs w:val="32"/>
        </w:rPr>
        <w:t>与上年决算数相比，基本持平</w:t>
      </w:r>
      <w:r>
        <w:rPr>
          <w:rFonts w:ascii="Times New Roman" w:hAnsi="Times New Roman" w:eastAsia="方正仿宋_GBK" w:cs="Times New Roman"/>
          <w:color w:val="000000" w:themeColor="text1"/>
          <w:sz w:val="32"/>
          <w:szCs w:val="32"/>
          <w:shd w:val="clear" w:color="auto" w:fill="FFFFFF"/>
        </w:rPr>
        <w:t>，</w:t>
      </w:r>
      <w:r>
        <w:rPr>
          <w:rFonts w:ascii="Times New Roman" w:hAnsi="Times New Roman" w:eastAsia="方正仿宋_GBK" w:cs="Times New Roman"/>
          <w:color w:val="000000" w:themeColor="text1"/>
          <w:sz w:val="32"/>
          <w:szCs w:val="32"/>
        </w:rPr>
        <w:t>主要原因是本单位2020年度未安排公务车购置支出。</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公务车运行维护费11.48万元，主要用于机要文件交换、市内因公出行、财政业务检查等工作所需车辆的燃料费、维修费、过桥过路费、保险费等。费用支出较年初预算数减少 0.02万元，下降0.2%，主要原因是</w:t>
      </w:r>
      <w:r>
        <w:rPr>
          <w:rFonts w:ascii="Times New Roman" w:hAnsi="Times New Roman" w:eastAsia="方正仿宋_GBK" w:cs="Times New Roman"/>
          <w:color w:val="000000" w:themeColor="text1"/>
          <w:sz w:val="32"/>
          <w:szCs w:val="32"/>
          <w:shd w:val="clear" w:color="auto" w:fill="FFFFFF"/>
        </w:rPr>
        <w:t>严格落实公车使用规定，严禁公车私用，公车运行维护成本下降</w:t>
      </w:r>
      <w:r>
        <w:rPr>
          <w:rFonts w:ascii="Times New Roman" w:hAnsi="Times New Roman" w:eastAsia="方正仿宋_GBK" w:cs="Times New Roman"/>
          <w:color w:val="000000" w:themeColor="text1"/>
          <w:sz w:val="32"/>
          <w:szCs w:val="32"/>
        </w:rPr>
        <w:t>。较上年支出数增加1.89万元，增长19.7%，主要原因是2020年本单位支付了老旧公务用车维修费用。</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公务接待费0万元，本单位2020年度未发生公务接待支出。费用支出较年初预算数减少 3.8万元，</w:t>
      </w:r>
      <w:r>
        <w:rPr>
          <w:rFonts w:hint="eastAsia" w:ascii="Times New Roman" w:hAnsi="Times New Roman" w:eastAsia="方正仿宋_GBK" w:cs="Times New Roman"/>
          <w:color w:val="000000" w:themeColor="text1"/>
          <w:sz w:val="32"/>
          <w:szCs w:val="32"/>
        </w:rPr>
        <w:t>下降100%，</w:t>
      </w:r>
      <w:r>
        <w:rPr>
          <w:rFonts w:ascii="Times New Roman" w:hAnsi="Times New Roman" w:eastAsia="方正仿宋_GBK" w:cs="Times New Roman"/>
          <w:color w:val="000000" w:themeColor="text1"/>
          <w:sz w:val="32"/>
          <w:szCs w:val="32"/>
        </w:rPr>
        <w:t>主要原因是本单位2020年度未安排公务接待支出。较上年支出数减少 0.17万元，</w:t>
      </w:r>
      <w:r>
        <w:rPr>
          <w:rFonts w:hint="eastAsia" w:ascii="Times New Roman" w:hAnsi="Times New Roman" w:eastAsia="方正仿宋_GBK" w:cs="Times New Roman"/>
          <w:color w:val="000000" w:themeColor="text1"/>
          <w:sz w:val="32"/>
          <w:szCs w:val="32"/>
        </w:rPr>
        <w:t>下降100%，</w:t>
      </w:r>
      <w:r>
        <w:rPr>
          <w:rFonts w:ascii="Times New Roman" w:hAnsi="Times New Roman" w:eastAsia="方正仿宋_GBK" w:cs="Times New Roman"/>
          <w:color w:val="000000" w:themeColor="text1"/>
          <w:sz w:val="32"/>
          <w:szCs w:val="32"/>
        </w:rPr>
        <w:t>主要原因是本单位2020年度未安排公务接待支出。</w:t>
      </w:r>
    </w:p>
    <w:p>
      <w:pPr>
        <w:pStyle w:val="6"/>
        <w:shd w:val="clear" w:color="auto" w:fill="FFFFFF"/>
        <w:spacing w:before="0" w:beforeAutospacing="0" w:after="0" w:afterAutospacing="0" w:line="594" w:lineRule="exact"/>
        <w:ind w:firstLine="640" w:firstLineChars="200"/>
        <w:jc w:val="both"/>
        <w:outlineLvl w:val="1"/>
        <w:rPr>
          <w:rFonts w:ascii="Times New Roman" w:hAnsi="Times New Roman" w:eastAsia="方正楷体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（三）“三公”经费实物量情况</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年度本单位因公出国（境）共计0个团组，0人；公务用车购置0辆，公务车保有量为4辆；国内公务接待0批次0人，其中：国内外事接待0批次，0人；国（境）外公务接待0批次，0人。2020年本单位人均接待费0元，车均购置费0万元，车均维护费2.87万元。</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cs="Times New Roman"/>
          <w:color w:val="000000" w:themeColor="text1"/>
        </w:rPr>
      </w:pPr>
      <w:r>
        <w:rPr>
          <w:rStyle w:val="9"/>
          <w:rFonts w:ascii="Times New Roman" w:hAnsi="Times New Roman" w:eastAsia="方正黑体_GBK" w:cs="Times New Roman"/>
          <w:b w:val="0"/>
          <w:color w:val="000000" w:themeColor="text1"/>
          <w:sz w:val="32"/>
          <w:szCs w:val="32"/>
        </w:rPr>
        <w:t>四、其他需要说明的事项</w:t>
      </w:r>
    </w:p>
    <w:p>
      <w:pPr>
        <w:pStyle w:val="6"/>
        <w:shd w:val="clear" w:color="auto" w:fill="FFFFFF"/>
        <w:spacing w:before="0" w:beforeAutospacing="0" w:after="0" w:afterAutospacing="0" w:line="594" w:lineRule="exact"/>
        <w:ind w:firstLine="640" w:firstLineChars="200"/>
        <w:jc w:val="both"/>
        <w:rPr>
          <w:rStyle w:val="9"/>
          <w:rFonts w:ascii="Times New Roman" w:hAnsi="Times New Roman" w:eastAsia="方正楷体_GBK" w:cs="Times New Roman"/>
          <w:b w:val="0"/>
          <w:bCs w:val="0"/>
          <w:color w:val="000000" w:themeColor="text1"/>
          <w:sz w:val="32"/>
          <w:szCs w:val="32"/>
        </w:rPr>
      </w:pPr>
      <w:r>
        <w:rPr>
          <w:rStyle w:val="9"/>
          <w:rFonts w:ascii="Times New Roman" w:hAnsi="Times New Roman" w:eastAsia="方正楷体_GBK" w:cs="Times New Roman"/>
          <w:b w:val="0"/>
          <w:bCs w:val="0"/>
          <w:color w:val="000000" w:themeColor="text1"/>
          <w:sz w:val="32"/>
          <w:szCs w:val="32"/>
        </w:rPr>
        <w:t>（一）机关运行经费情况说明</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2020年度本单位机关运行经费支出385.47万元，机关运行经费主要用于开支办公费、水费、电费、邮电费、差旅费、劳务费、公务用车运行维护费、其他交通费用等。机关运行经费较上年决算数增加183.33万元，增长 90.7%，主要原因是</w:t>
      </w:r>
      <w:r>
        <w:rPr>
          <w:rFonts w:ascii="Times New Roman" w:hAnsi="Times New Roman" w:eastAsia="方正仿宋_GBK" w:cs="Times New Roman"/>
          <w:sz w:val="32"/>
          <w:szCs w:val="32"/>
        </w:rPr>
        <w:t>本年度公用经费增加，</w:t>
      </w:r>
      <w:r>
        <w:rPr>
          <w:rFonts w:ascii="Times New Roman" w:hAnsi="Times New Roman" w:eastAsia="方正仿宋_GBK" w:cs="Times New Roman"/>
          <w:color w:val="000000" w:themeColor="text1"/>
          <w:sz w:val="32"/>
          <w:szCs w:val="32"/>
        </w:rPr>
        <w:t>部分商品价格上涨，办公设备购置及购买办公耗材等费用增加。</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其中：本年度会议费支出1.19万元，较上年决算数增加0.57万元，增长 91.9%，主要原因是本单位2020年进行了全国第七次人口普查，根据上级文件要求增加相关会议支出。本年度培训费支出1.56万元，较上年决算数减少 2.53万元，下降61.9%，主要原因是为贯彻落实中央八项规定厉行节约精神，严格按照疫情防控相关规定，本单位2020年减少了大型培训活动支出。</w:t>
      </w:r>
    </w:p>
    <w:p>
      <w:pPr>
        <w:widowControl w:val="0"/>
        <w:spacing w:line="594" w:lineRule="exact"/>
        <w:ind w:left="480" w:leftChars="200"/>
        <w:jc w:val="both"/>
        <w:rPr>
          <w:rStyle w:val="9"/>
          <w:rFonts w:ascii="Times New Roman" w:hAnsi="Times New Roman" w:eastAsia="方正楷体_GBK" w:cs="Times New Roman"/>
          <w:b w:val="0"/>
          <w:bCs w:val="0"/>
          <w:color w:val="000000" w:themeColor="text1"/>
          <w:sz w:val="32"/>
          <w:szCs w:val="32"/>
        </w:rPr>
      </w:pPr>
      <w:r>
        <w:rPr>
          <w:rStyle w:val="9"/>
          <w:rFonts w:ascii="Times New Roman" w:hAnsi="Times New Roman" w:eastAsia="方正楷体_GBK" w:cs="Times New Roman"/>
          <w:b w:val="0"/>
          <w:bCs w:val="0"/>
          <w:color w:val="000000" w:themeColor="text1"/>
          <w:sz w:val="32"/>
          <w:szCs w:val="32"/>
        </w:rPr>
        <w:t>（二）国有资产占用情况说明</w:t>
      </w:r>
    </w:p>
    <w:p>
      <w:pPr>
        <w:widowControl w:val="0"/>
        <w:spacing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截至2020年12月31日，本单位共有车辆4辆，其中，副部（省）级及以上领导用车0辆、主要领导干部用车0辆、机要通信用车3辆、应急保障用车1辆、执法执勤用车0辆，特种专业技术用车0辆，离退休干部用车0辆，其他用车0辆。单价50万元（含）以上通用设备0台（套），单价100万元（含）以上专用设备0台（套）。</w:t>
      </w:r>
    </w:p>
    <w:p>
      <w:pPr>
        <w:pStyle w:val="6"/>
        <w:numPr>
          <w:ilvl w:val="0"/>
          <w:numId w:val="1"/>
        </w:numPr>
        <w:shd w:val="clear" w:color="auto" w:fill="FFFFFF"/>
        <w:spacing w:before="0" w:beforeAutospacing="0" w:after="0" w:afterAutospacing="0" w:line="594" w:lineRule="exact"/>
        <w:ind w:firstLine="640" w:firstLineChars="200"/>
        <w:jc w:val="both"/>
        <w:rPr>
          <w:rStyle w:val="9"/>
          <w:rFonts w:ascii="Times New Roman" w:hAnsi="Times New Roman" w:eastAsia="方正楷体_GBK" w:cs="Times New Roman"/>
          <w:b w:val="0"/>
          <w:bCs w:val="0"/>
          <w:color w:val="000000" w:themeColor="text1"/>
          <w:sz w:val="32"/>
          <w:szCs w:val="32"/>
        </w:rPr>
      </w:pPr>
      <w:r>
        <w:rPr>
          <w:rStyle w:val="9"/>
          <w:rFonts w:ascii="Times New Roman" w:hAnsi="Times New Roman" w:eastAsia="方正楷体_GBK" w:cs="Times New Roman"/>
          <w:b w:val="0"/>
          <w:bCs w:val="0"/>
          <w:color w:val="000000" w:themeColor="text1"/>
          <w:sz w:val="32"/>
          <w:szCs w:val="32"/>
        </w:rPr>
        <w:t>政府采购支出情况说明</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年度本单位政府采购支出总额431.24万元，其中：政府采购货物支出128.69万元、政府采购工程支出0万元、政府采购服务支出302.55万元。授予中小企业合同金额377.24万元，占政府采购支出总额的87.5%，其中：授予小微企业合同金额377.24万元，占政府采购支出总额的87.5%。主要用于采购更新</w:t>
      </w:r>
      <w:r>
        <w:rPr>
          <w:rFonts w:ascii="Times New Roman" w:hAnsi="Times New Roman" w:eastAsia="方正仿宋_GBK" w:cs="Times New Roman"/>
          <w:color w:val="000000" w:themeColor="text1"/>
          <w:sz w:val="32"/>
          <w:szCs w:val="32"/>
          <w:shd w:val="clear" w:color="auto" w:fill="FFFFFF"/>
        </w:rPr>
        <w:t>办公设备及采购食材配送服务、垃圾分类服务、清扫保洁服务等</w:t>
      </w:r>
      <w:r>
        <w:rPr>
          <w:rFonts w:ascii="Times New Roman" w:hAnsi="Times New Roman" w:eastAsia="方正仿宋_GBK" w:cs="Times New Roman"/>
          <w:color w:val="000000" w:themeColor="text1"/>
          <w:sz w:val="32"/>
          <w:szCs w:val="32"/>
        </w:rPr>
        <w:t>。</w:t>
      </w: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黑体_GBK" w:cs="Times New Roman"/>
          <w:b w:val="0"/>
          <w:bCs w:val="0"/>
          <w:color w:val="000000" w:themeColor="text1"/>
        </w:rPr>
      </w:pPr>
      <w:r>
        <w:rPr>
          <w:rStyle w:val="9"/>
          <w:rFonts w:ascii="Times New Roman" w:hAnsi="Times New Roman" w:eastAsia="方正黑体_GBK" w:cs="Times New Roman"/>
          <w:b w:val="0"/>
          <w:bCs w:val="0"/>
          <w:color w:val="000000" w:themeColor="text1"/>
          <w:sz w:val="32"/>
          <w:szCs w:val="32"/>
        </w:rPr>
        <w:t>五、预算绩效管理情况说明</w:t>
      </w:r>
    </w:p>
    <w:p>
      <w:pPr>
        <w:pStyle w:val="13"/>
        <w:tabs>
          <w:tab w:val="center" w:pos="4153"/>
          <w:tab w:val="left" w:pos="7275"/>
        </w:tabs>
        <w:spacing w:line="594" w:lineRule="exact"/>
        <w:ind w:firstLine="640"/>
        <w:rPr>
          <w:rFonts w:ascii="Times New Roman" w:hAnsi="Times New Roman" w:eastAsia="方正楷体_GBK"/>
          <w:bCs/>
          <w:color w:val="000000" w:themeColor="text1"/>
          <w:kern w:val="0"/>
          <w:sz w:val="32"/>
          <w:szCs w:val="32"/>
        </w:rPr>
      </w:pPr>
      <w:r>
        <w:rPr>
          <w:rFonts w:ascii="Times New Roman" w:hAnsi="Times New Roman" w:eastAsia="方正楷体_GBK"/>
          <w:bCs/>
          <w:color w:val="000000" w:themeColor="text1"/>
          <w:kern w:val="0"/>
          <w:sz w:val="32"/>
          <w:szCs w:val="32"/>
        </w:rPr>
        <w:t>（一）预算绩效管理工作开展情况</w:t>
      </w:r>
    </w:p>
    <w:p>
      <w:pPr>
        <w:pStyle w:val="13"/>
        <w:tabs>
          <w:tab w:val="center" w:pos="4153"/>
          <w:tab w:val="left" w:pos="7275"/>
        </w:tabs>
        <w:spacing w:line="594" w:lineRule="exact"/>
        <w:ind w:firstLine="64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根据预算绩效管理要求，本单位对33个项目开展了绩效自评，其中，以填报目标自评表形式开展自评33项，涉及资金4272.42万元；以委托第三方形式开展绩效自评0项，涉及资金0万元，从评价情况来看，各个项目支出均按照相关立项依据立项，项目支出专款专用，按项目实施进度计划执行，基本完成项目当年绩效目标。</w:t>
      </w:r>
    </w:p>
    <w:p>
      <w:pPr>
        <w:pStyle w:val="13"/>
        <w:tabs>
          <w:tab w:val="center" w:pos="4153"/>
          <w:tab w:val="left" w:pos="7275"/>
        </w:tabs>
        <w:spacing w:line="594" w:lineRule="exact"/>
        <w:ind w:firstLine="640"/>
        <w:rPr>
          <w:rFonts w:ascii="Times New Roman" w:hAnsi="Times New Roman" w:eastAsia="方正楷体_GBK"/>
          <w:bCs/>
          <w:color w:val="000000" w:themeColor="text1"/>
          <w:kern w:val="0"/>
          <w:sz w:val="32"/>
          <w:szCs w:val="32"/>
        </w:rPr>
      </w:pPr>
      <w:r>
        <w:rPr>
          <w:rFonts w:ascii="Times New Roman" w:hAnsi="Times New Roman" w:eastAsia="方正楷体_GBK"/>
          <w:bCs/>
          <w:color w:val="000000" w:themeColor="text1"/>
          <w:kern w:val="0"/>
          <w:sz w:val="32"/>
          <w:szCs w:val="32"/>
        </w:rPr>
        <w:t>（二）绩效自评结果</w:t>
      </w:r>
    </w:p>
    <w:p>
      <w:pPr>
        <w:pStyle w:val="13"/>
        <w:tabs>
          <w:tab w:val="center" w:pos="4153"/>
          <w:tab w:val="left" w:pos="7275"/>
        </w:tabs>
        <w:spacing w:line="594" w:lineRule="exact"/>
        <w:ind w:firstLine="643"/>
        <w:rPr>
          <w:rFonts w:ascii="Times New Roman" w:hAnsi="Times New Roman" w:eastAsia="方正仿宋_GBK"/>
          <w:b/>
          <w:color w:val="000000" w:themeColor="text1"/>
          <w:kern w:val="0"/>
          <w:sz w:val="32"/>
          <w:szCs w:val="32"/>
        </w:rPr>
      </w:pPr>
      <w:r>
        <w:rPr>
          <w:rFonts w:ascii="Times New Roman" w:hAnsi="Times New Roman" w:eastAsia="方正仿宋_GBK"/>
          <w:b/>
          <w:color w:val="000000" w:themeColor="text1"/>
          <w:kern w:val="0"/>
          <w:sz w:val="32"/>
          <w:szCs w:val="32"/>
        </w:rPr>
        <w:t>1.绩效自评表</w:t>
      </w:r>
    </w:p>
    <w:p>
      <w:pPr>
        <w:spacing w:line="594" w:lineRule="exact"/>
        <w:ind w:firstLine="640" w:firstLineChars="200"/>
        <w:jc w:val="both"/>
        <w:rPr>
          <w:rFonts w:ascii="Times New Roman" w:hAnsi="Times New Roman" w:eastAsia="方正仿宋_GBK" w:cs="Times New Roman"/>
          <w:color w:val="000000" w:themeColor="text1"/>
          <w:sz w:val="32"/>
          <w:szCs w:val="32"/>
          <w:shd w:val="clear" w:color="auto" w:fill="FFFFFF"/>
        </w:rPr>
      </w:pPr>
      <w:r>
        <w:rPr>
          <w:rFonts w:ascii="Times New Roman" w:hAnsi="Times New Roman" w:eastAsia="方正仿宋_GBK" w:cs="Times New Roman"/>
          <w:color w:val="000000" w:themeColor="text1"/>
          <w:sz w:val="32"/>
          <w:szCs w:val="32"/>
        </w:rPr>
        <w:t>村居工作经费</w:t>
      </w:r>
      <w:r>
        <w:rPr>
          <w:rFonts w:ascii="Times New Roman" w:hAnsi="Times New Roman" w:eastAsia="方正仿宋_GBK" w:cs="Times New Roman"/>
          <w:color w:val="000000" w:themeColor="text1"/>
          <w:sz w:val="32"/>
          <w:szCs w:val="32"/>
          <w:shd w:val="clear" w:color="auto" w:fill="FFFFFF"/>
        </w:rPr>
        <w:t>项目绩效目标自评综述：根据年初设定的绩效目标，该项目自评得分为100分，项目全年预算数为547.87万元，执行数为547.87万元，完成预算的</w:t>
      </w:r>
      <w:r>
        <w:rPr>
          <w:rFonts w:hint="eastAsia" w:ascii="Times New Roman" w:hAnsi="Times New Roman" w:eastAsia="方正仿宋_GBK" w:cs="Times New Roman"/>
          <w:color w:val="000000" w:themeColor="text1"/>
          <w:sz w:val="32"/>
          <w:szCs w:val="32"/>
          <w:shd w:val="clear" w:color="auto" w:fill="FFFFFF"/>
        </w:rPr>
        <w:t>100</w:t>
      </w:r>
      <w:r>
        <w:rPr>
          <w:rFonts w:ascii="Times New Roman" w:hAnsi="Times New Roman" w:eastAsia="方正仿宋_GBK" w:cs="Times New Roman"/>
          <w:color w:val="000000" w:themeColor="text1"/>
          <w:sz w:val="32"/>
          <w:szCs w:val="32"/>
          <w:shd w:val="clear" w:color="auto" w:fill="FFFFFF"/>
        </w:rPr>
        <w:t>%。主要产出和效果：一是落实群众性自治组织四项清单数达到102项，入户调查人次达到2160人次，保障社区正常运转数达到9个，日常巡查覆盖率达到</w:t>
      </w:r>
      <w:r>
        <w:rPr>
          <w:rFonts w:hint="eastAsia" w:ascii="Times New Roman" w:hAnsi="Times New Roman" w:eastAsia="方正仿宋_GBK" w:cs="Times New Roman"/>
          <w:color w:val="000000" w:themeColor="text1"/>
          <w:sz w:val="32"/>
          <w:szCs w:val="32"/>
          <w:shd w:val="clear" w:color="auto" w:fill="FFFFFF"/>
        </w:rPr>
        <w:t>100</w:t>
      </w:r>
      <w:r>
        <w:rPr>
          <w:rFonts w:ascii="Times New Roman" w:hAnsi="Times New Roman" w:eastAsia="方正仿宋_GBK" w:cs="Times New Roman"/>
          <w:color w:val="000000" w:themeColor="text1"/>
          <w:sz w:val="32"/>
          <w:szCs w:val="32"/>
          <w:shd w:val="clear" w:color="auto" w:fill="FFFFFF"/>
        </w:rPr>
        <w:t>%，群众诉求通过三生事分流工作法解决率达到</w:t>
      </w:r>
      <w:r>
        <w:rPr>
          <w:rFonts w:hint="eastAsia" w:ascii="Times New Roman" w:hAnsi="Times New Roman" w:eastAsia="方正仿宋_GBK" w:cs="Times New Roman"/>
          <w:color w:val="000000" w:themeColor="text1"/>
          <w:sz w:val="32"/>
          <w:szCs w:val="32"/>
          <w:shd w:val="clear" w:color="auto" w:fill="FFFFFF"/>
        </w:rPr>
        <w:t>100</w:t>
      </w:r>
      <w:r>
        <w:rPr>
          <w:rFonts w:ascii="Times New Roman" w:hAnsi="Times New Roman" w:eastAsia="方正仿宋_GBK" w:cs="Times New Roman"/>
          <w:color w:val="000000" w:themeColor="text1"/>
          <w:sz w:val="32"/>
          <w:szCs w:val="32"/>
          <w:shd w:val="clear" w:color="auto" w:fill="FFFFFF"/>
        </w:rPr>
        <w:t>%；二是服务辖区居民人数达到45114人，低保新户入户率及老户回访率达到</w:t>
      </w:r>
      <w:r>
        <w:rPr>
          <w:rFonts w:hint="eastAsia" w:ascii="Times New Roman" w:hAnsi="Times New Roman" w:eastAsia="方正仿宋_GBK" w:cs="Times New Roman"/>
          <w:color w:val="000000" w:themeColor="text1"/>
          <w:sz w:val="32"/>
          <w:szCs w:val="32"/>
          <w:shd w:val="clear" w:color="auto" w:fill="FFFFFF"/>
        </w:rPr>
        <w:t>100</w:t>
      </w:r>
      <w:r>
        <w:rPr>
          <w:rFonts w:ascii="Times New Roman" w:hAnsi="Times New Roman" w:eastAsia="方正仿宋_GBK" w:cs="Times New Roman"/>
          <w:color w:val="000000" w:themeColor="text1"/>
          <w:sz w:val="32"/>
          <w:szCs w:val="32"/>
          <w:shd w:val="clear" w:color="auto" w:fill="FFFFFF"/>
        </w:rPr>
        <w:t>%；三是办事群众满意率达到95.0%等。发现的问题及原因：部分社区工作人员业务水平和服务群众水平有待提高。下一步改进措施：进一步加强社区工作保障，提高社区干部队伍水平，提高社区工作者服务群众的水平，增强基层办事能力，提高社区工作者办事效率及服务质量，进一步提升群众满意率。</w:t>
      </w:r>
    </w:p>
    <w:p>
      <w:pPr>
        <w:pStyle w:val="15"/>
        <w:tabs>
          <w:tab w:val="center" w:pos="4153"/>
          <w:tab w:val="left" w:pos="7275"/>
        </w:tabs>
        <w:spacing w:line="594" w:lineRule="exact"/>
        <w:ind w:firstLine="640"/>
        <w:rPr>
          <w:rFonts w:ascii="Times New Roman" w:hAnsi="Times New Roman" w:eastAsia="方正仿宋_GBK" w:cs="Times New Roman"/>
          <w:b/>
          <w:color w:val="000000" w:themeColor="text1"/>
          <w:kern w:val="0"/>
          <w:sz w:val="32"/>
          <w:szCs w:val="32"/>
        </w:rPr>
      </w:pPr>
      <w:r>
        <w:rPr>
          <w:rFonts w:ascii="Times New Roman" w:hAnsi="Times New Roman" w:eastAsia="方正仿宋_GBK" w:cs="Times New Roman"/>
          <w:color w:val="000000" w:themeColor="text1"/>
          <w:kern w:val="0"/>
          <w:sz w:val="32"/>
          <w:szCs w:val="32"/>
        </w:rPr>
        <w:t>绩效目标自评具体情况见下表：</w:t>
      </w:r>
    </w:p>
    <w:tbl>
      <w:tblPr>
        <w:tblStyle w:val="7"/>
        <w:tblW w:w="0" w:type="auto"/>
        <w:tblInd w:w="108" w:type="dxa"/>
        <w:tblLayout w:type="autofit"/>
        <w:tblCellMar>
          <w:top w:w="0" w:type="dxa"/>
          <w:left w:w="108" w:type="dxa"/>
          <w:bottom w:w="0" w:type="dxa"/>
          <w:right w:w="108" w:type="dxa"/>
        </w:tblCellMar>
      </w:tblPr>
      <w:tblGrid>
        <w:gridCol w:w="609"/>
        <w:gridCol w:w="1064"/>
        <w:gridCol w:w="473"/>
        <w:gridCol w:w="525"/>
        <w:gridCol w:w="980"/>
        <w:gridCol w:w="559"/>
        <w:gridCol w:w="919"/>
        <w:gridCol w:w="890"/>
        <w:gridCol w:w="762"/>
        <w:gridCol w:w="762"/>
        <w:gridCol w:w="957"/>
      </w:tblGrid>
      <w:tr>
        <w:tblPrEx>
          <w:tblCellMar>
            <w:top w:w="0" w:type="dxa"/>
            <w:left w:w="108" w:type="dxa"/>
            <w:bottom w:w="0" w:type="dxa"/>
            <w:right w:w="108" w:type="dxa"/>
          </w:tblCellMar>
        </w:tblPrEx>
        <w:trPr>
          <w:trHeight w:val="601" w:hRule="atLeast"/>
        </w:trPr>
        <w:tc>
          <w:tcPr>
            <w:tcW w:w="8500" w:type="dxa"/>
            <w:gridSpan w:val="11"/>
            <w:tcBorders>
              <w:top w:val="nil"/>
              <w:left w:val="nil"/>
              <w:bottom w:val="nil"/>
              <w:right w:val="nil"/>
            </w:tcBorders>
            <w:shd w:val="clear" w:color="auto" w:fill="auto"/>
            <w:vAlign w:val="center"/>
          </w:tcPr>
          <w:p>
            <w:pPr>
              <w:autoSpaceDN w:val="0"/>
              <w:jc w:val="center"/>
              <w:rPr>
                <w:rFonts w:ascii="Times New Roman" w:hAnsi="Times New Roman" w:eastAsia="方正小标宋_GBK" w:cs="Times New Roman"/>
                <w:color w:val="000000" w:themeColor="text1"/>
                <w:sz w:val="36"/>
                <w:szCs w:val="36"/>
              </w:rPr>
            </w:pPr>
            <w:r>
              <w:rPr>
                <w:rFonts w:ascii="Times New Roman" w:hAnsi="Times New Roman" w:eastAsia="方正小标宋_GBK" w:cs="Times New Roman"/>
                <w:color w:val="000000" w:themeColor="text1"/>
                <w:sz w:val="36"/>
                <w:szCs w:val="36"/>
              </w:rPr>
              <w:t>2020年度项目绩效目标自评表</w:t>
            </w:r>
          </w:p>
        </w:tc>
      </w:tr>
      <w:tr>
        <w:tblPrEx>
          <w:tblCellMar>
            <w:top w:w="0" w:type="dxa"/>
            <w:left w:w="108" w:type="dxa"/>
            <w:bottom w:w="0" w:type="dxa"/>
            <w:right w:w="108" w:type="dxa"/>
          </w:tblCellMar>
        </w:tblPrEx>
        <w:trPr>
          <w:trHeight w:val="82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项目名称</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tabs>
                <w:tab w:val="center" w:pos="602"/>
              </w:tabs>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村居工作经费</w:t>
            </w:r>
          </w:p>
        </w:tc>
        <w:tc>
          <w:tcPr>
            <w:tcW w:w="0" w:type="auto"/>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2020B1059</w:t>
            </w:r>
          </w:p>
        </w:tc>
        <w:tc>
          <w:tcPr>
            <w:tcW w:w="0" w:type="auto"/>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自评总分</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（分）</w:t>
            </w:r>
          </w:p>
        </w:tc>
        <w:tc>
          <w:tcPr>
            <w:tcW w:w="3671"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100</w:t>
            </w:r>
          </w:p>
        </w:tc>
      </w:tr>
      <w:tr>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主管部门</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重庆市南岸区人民政府弹子石街道办事处(机关)</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财政处室</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社保科</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项目</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联系人</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项婕</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联系电话</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62520041</w:t>
            </w:r>
          </w:p>
        </w:tc>
      </w:tr>
      <w:tr>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项目资金（万元）</w:t>
            </w: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全年执行数</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执行率</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执行率</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权重</w:t>
            </w:r>
          </w:p>
        </w:tc>
        <w:tc>
          <w:tcPr>
            <w:tcW w:w="958" w:type="dxa"/>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执行率得分</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（分）</w:t>
            </w:r>
          </w:p>
        </w:tc>
      </w:tr>
      <w:tr>
        <w:tblPrEx>
          <w:tblCellMar>
            <w:top w:w="0" w:type="dxa"/>
            <w:left w:w="108" w:type="dxa"/>
            <w:bottom w:w="0" w:type="dxa"/>
            <w:right w:w="108" w:type="dxa"/>
          </w:tblCellMar>
        </w:tblPrEx>
        <w:trPr>
          <w:cantSplit/>
          <w:trHeight w:val="601"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年度总金额</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547.87</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547.87</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547.87</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r>
              <w:rPr>
                <w:rFonts w:ascii="Times New Roman" w:hAnsi="Times New Roman" w:eastAsia="方正仿宋_GBK" w:cs="Times New Roman"/>
                <w:color w:val="000000" w:themeColor="text1"/>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w:t>
            </w:r>
          </w:p>
        </w:tc>
        <w:tc>
          <w:tcPr>
            <w:tcW w:w="958" w:type="dxa"/>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w:t>
            </w:r>
          </w:p>
        </w:tc>
      </w:tr>
      <w:tr>
        <w:tblPrEx>
          <w:tblCellMar>
            <w:top w:w="0" w:type="dxa"/>
            <w:left w:w="108" w:type="dxa"/>
            <w:bottom w:w="0" w:type="dxa"/>
            <w:right w:w="108" w:type="dxa"/>
          </w:tblCellMar>
        </w:tblPrEx>
        <w:trPr>
          <w:cantSplit/>
          <w:trHeight w:val="601"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其中：区级支出</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547.87</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547.87</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547.87</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r>
              <w:rPr>
                <w:rFonts w:ascii="Times New Roman" w:hAnsi="Times New Roman" w:eastAsia="方正仿宋_GBK" w:cs="Times New Roman"/>
                <w:color w:val="000000" w:themeColor="text1"/>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w:t>
            </w:r>
          </w:p>
        </w:tc>
        <w:tc>
          <w:tcPr>
            <w:tcW w:w="958" w:type="dxa"/>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w:t>
            </w:r>
          </w:p>
        </w:tc>
      </w:tr>
      <w:tr>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当年绩效目标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年初绩效目标</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全年（调整）绩效目标</w:t>
            </w:r>
          </w:p>
        </w:tc>
        <w:tc>
          <w:tcPr>
            <w:tcW w:w="2802"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全年目标实际完成情况</w:t>
            </w:r>
          </w:p>
        </w:tc>
      </w:tr>
      <w:tr>
        <w:tblPrEx>
          <w:tblCellMar>
            <w:top w:w="0" w:type="dxa"/>
            <w:left w:w="108" w:type="dxa"/>
            <w:bottom w:w="0" w:type="dxa"/>
            <w:right w:w="108" w:type="dxa"/>
          </w:tblCellMar>
        </w:tblPrEx>
        <w:trPr>
          <w:cantSplit/>
          <w:trHeight w:val="4545"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做好辖区居民服务工作，充当街道与居民群众的桥梁、纽带，推动辖区社会经济发展和社会安定。2.社区各支部不断加强党的建设，组织开展支部活动、培养发展党员。3.做好流动人口服务管理工作、收集信息、排查隐患。4.形成社区环境整治长效机制。5.完成区委、政府及各部门的各项目标考核。</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做好辖区居民服务工作，充当街道与居民群众的桥梁、纽带，推动辖区社会经济发展和社会安定。2.社区各支部不断加强党的建设，组织开展支部活动、培养发展党员。3.做好流动人口服务管理工作、收集信息、排查隐患。4.形成社区环境整治长效机制。5.完成区委、政府及各部门的各项目标考核。</w:t>
            </w:r>
          </w:p>
        </w:tc>
        <w:tc>
          <w:tcPr>
            <w:tcW w:w="2802"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2020年完成了辖区居民服务工作，推动了辖区社会经济发展和社会安定；社区各支部不断加强党的建设，组织开展了支部活动、培养发展了党员；做好了流动人口服务管理工作、收集信息、排查隐患；形成了社区环境整治长效机制；完成了区委、政府及各部门的各项目标考核。</w:t>
            </w:r>
          </w:p>
        </w:tc>
      </w:tr>
      <w:tr>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textDirection w:val="tbRlV"/>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绩效指标</w:t>
            </w: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指标名称</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计量</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单位</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性质</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年初</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调整</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全年</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完成值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得分系数</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指标权重</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（分）</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指标得分</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（分）</w:t>
            </w:r>
          </w:p>
        </w:tc>
        <w:tc>
          <w:tcPr>
            <w:tcW w:w="958" w:type="dxa"/>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是否核心</w:t>
            </w:r>
          </w:p>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指标</w:t>
            </w:r>
          </w:p>
        </w:tc>
      </w:tr>
      <w:tr>
        <w:tblPrEx>
          <w:tblCellMar>
            <w:top w:w="0" w:type="dxa"/>
            <w:left w:w="108" w:type="dxa"/>
            <w:bottom w:w="0" w:type="dxa"/>
            <w:right w:w="108" w:type="dxa"/>
          </w:tblCellMar>
        </w:tblPrEx>
        <w:trPr>
          <w:cantSplit/>
          <w:trHeight w:val="1064"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落实群众性自治组织四项清单数</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项</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ind w:firstLine="180" w:firstLineChars="100"/>
              <w:jc w:val="both"/>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102</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102</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入户调查人次</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人次</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ind w:firstLine="180" w:firstLineChars="100"/>
              <w:jc w:val="both"/>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2160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2160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保障社区正常运转数</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个</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9</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9</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日常巡查覆盖率</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ind w:firstLine="180" w:firstLineChars="100"/>
              <w:jc w:val="both"/>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群众诉求通过三生事分流工作法解决率</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ind w:firstLine="180" w:firstLineChars="100"/>
              <w:jc w:val="both"/>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8</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服务辖区居民人数</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人</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42680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45114</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15</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15</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低保新户入户率及老户回访率</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ind w:firstLine="180" w:firstLineChars="100"/>
              <w:jc w:val="both"/>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15</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15</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办事群众满意率</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95.0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95.0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hint="eastAsia" w:ascii="Times New Roman" w:hAnsi="Times New Roman" w:eastAsia="方正仿宋_GBK" w:cs="Times New Roman"/>
                <w:color w:val="000000" w:themeColor="text1"/>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20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20</w:t>
            </w: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否</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jc w:val="both"/>
              <w:rPr>
                <w:rFonts w:ascii="Times New Roman" w:hAnsi="Times New Roman" w:eastAsia="方正仿宋_GBK" w:cs="Times New Roman"/>
                <w:color w:val="000000" w:themeColor="text1"/>
                <w:sz w:val="18"/>
                <w:szCs w:val="18"/>
              </w:rPr>
            </w:pPr>
          </w:p>
        </w:tc>
        <w:tc>
          <w:tcPr>
            <w:tcW w:w="0" w:type="auto"/>
            <w:tcBorders>
              <w:top w:val="nil"/>
              <w:left w:val="nil"/>
              <w:bottom w:val="single" w:color="auto" w:sz="4" w:space="0"/>
              <w:right w:val="nil"/>
            </w:tcBorders>
            <w:shd w:val="clear" w:color="auto" w:fill="auto"/>
            <w:vAlign w:val="center"/>
          </w:tcPr>
          <w:p>
            <w:pPr>
              <w:autoSpaceDN w:val="0"/>
              <w:jc w:val="both"/>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c>
          <w:tcPr>
            <w:tcW w:w="95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themeColor="text1"/>
                <w:sz w:val="18"/>
                <w:szCs w:val="18"/>
              </w:rPr>
            </w:pPr>
          </w:p>
        </w:tc>
      </w:tr>
      <w:tr>
        <w:tblPrEx>
          <w:tblCellMar>
            <w:top w:w="0" w:type="dxa"/>
            <w:left w:w="108" w:type="dxa"/>
            <w:bottom w:w="0" w:type="dxa"/>
            <w:right w:w="108" w:type="dxa"/>
          </w:tblCellMar>
        </w:tblPrEx>
        <w:trPr>
          <w:trHeight w:val="7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both"/>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说明</w:t>
            </w:r>
          </w:p>
        </w:tc>
        <w:tc>
          <w:tcPr>
            <w:tcW w:w="7894" w:type="dxa"/>
            <w:gridSpan w:val="10"/>
            <w:tcBorders>
              <w:top w:val="single" w:color="auto" w:sz="4" w:space="0"/>
              <w:left w:val="nil"/>
              <w:bottom w:val="single" w:color="auto" w:sz="4" w:space="0"/>
              <w:right w:val="single" w:color="auto" w:sz="4" w:space="0"/>
            </w:tcBorders>
            <w:shd w:val="clear" w:color="auto" w:fill="auto"/>
            <w:vAlign w:val="center"/>
          </w:tcPr>
          <w:p>
            <w:pPr>
              <w:autoSpaceDN w:val="0"/>
              <w:jc w:val="both"/>
              <w:rPr>
                <w:rFonts w:ascii="Times New Roman" w:hAnsi="Times New Roman" w:eastAsia="方正仿宋_GBK" w:cs="Times New Roman"/>
                <w:color w:val="000000" w:themeColor="text1"/>
                <w:sz w:val="18"/>
                <w:szCs w:val="18"/>
              </w:rPr>
            </w:pPr>
            <w:r>
              <w:rPr>
                <w:rFonts w:ascii="Times New Roman" w:hAnsi="Times New Roman" w:eastAsia="方正仿宋_GBK" w:cs="Times New Roman"/>
                <w:color w:val="000000" w:themeColor="text1"/>
                <w:sz w:val="18"/>
                <w:szCs w:val="18"/>
              </w:rPr>
              <w:t>　</w:t>
            </w:r>
          </w:p>
        </w:tc>
      </w:tr>
    </w:tbl>
    <w:p>
      <w:pPr>
        <w:pStyle w:val="13"/>
        <w:tabs>
          <w:tab w:val="center" w:pos="4153"/>
          <w:tab w:val="left" w:pos="7275"/>
        </w:tabs>
        <w:spacing w:line="600" w:lineRule="exact"/>
        <w:ind w:firstLine="0" w:firstLineChars="0"/>
        <w:rPr>
          <w:rFonts w:ascii="Times New Roman" w:hAnsi="Times New Roman" w:eastAsia="方正仿宋_GBK"/>
          <w:b/>
          <w:kern w:val="0"/>
          <w:sz w:val="32"/>
          <w:szCs w:val="32"/>
        </w:rPr>
      </w:pPr>
    </w:p>
    <w:p>
      <w:pPr>
        <w:pStyle w:val="6"/>
        <w:shd w:val="clear" w:color="auto" w:fill="FFFFFF"/>
        <w:spacing w:before="0" w:beforeAutospacing="0" w:after="0" w:afterAutospacing="0" w:line="594" w:lineRule="exact"/>
        <w:ind w:firstLine="640" w:firstLineChars="200"/>
        <w:jc w:val="both"/>
        <w:outlineLvl w:val="0"/>
        <w:rPr>
          <w:rStyle w:val="9"/>
          <w:rFonts w:ascii="Times New Roman" w:hAnsi="Times New Roman" w:eastAsia="方正黑体_GBK" w:cs="Times New Roman"/>
        </w:rPr>
      </w:pPr>
      <w:r>
        <w:rPr>
          <w:rStyle w:val="9"/>
          <w:rFonts w:ascii="Times New Roman" w:hAnsi="Times New Roman" w:eastAsia="方正黑体_GBK" w:cs="Times New Roman"/>
          <w:b w:val="0"/>
          <w:sz w:val="32"/>
          <w:szCs w:val="32"/>
        </w:rPr>
        <w:t>六、专业名词解释</w:t>
      </w:r>
    </w:p>
    <w:p>
      <w:pPr>
        <w:pStyle w:val="6"/>
        <w:shd w:val="clear" w:color="auto" w:fill="FFFFFF"/>
        <w:spacing w:before="0" w:beforeAutospacing="0" w:after="0" w:afterAutospacing="0" w:line="594" w:lineRule="exact"/>
        <w:ind w:firstLine="640" w:firstLineChars="200"/>
        <w:jc w:val="both"/>
        <w:rPr>
          <w:rFonts w:hint="eastAsia" w:ascii="Times New Roman" w:hAnsi="Times New Roman" w:eastAsia="方正楷体_GBK" w:cs="Times New Roman"/>
          <w:sz w:val="32"/>
          <w:szCs w:val="32"/>
        </w:rPr>
      </w:pPr>
      <w:r>
        <w:rPr>
          <w:rStyle w:val="9"/>
          <w:rFonts w:ascii="Times New Roman" w:hAnsi="Times New Roman" w:eastAsia="方正楷体_GBK" w:cs="Times New Roman"/>
          <w:b w:val="0"/>
          <w:bCs w:val="0"/>
          <w:sz w:val="32"/>
          <w:szCs w:val="32"/>
        </w:rPr>
        <w:t>（一）财政拨款收入</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（二）事业收入</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（三）经营收入</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（四）其他收入</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（五）用事业基金弥补收支差额</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（六）年初结转和结余</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指单位上年结转本年使用的基本支出结转、项目支出结转和结余、经营结余。</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（七）结余分配</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指单位按照国家有关规定，缴纳所得税、提取专用基金、转入事业基金等当年结余的分配情况。</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（八）年末结转和结余</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指单位结转下年的基本支出结转、项目支出结转和结余、经营结余。</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（九）基本支出</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（十）项目支出</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指在基本支出之外为完成特定行政任务和事业发展目标所发生的支出。</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（十一）经营支出</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指事业单位在专业业务活动及其辅助活动之外开展非独立核算经营活动发生的支出。</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（十二）“三公”经费</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（十三）机关运行经费</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（十四）工资福利支出（支出经济分类科目类级）</w:t>
      </w:r>
    </w:p>
    <w:p>
      <w:pPr>
        <w:pStyle w:val="6"/>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6"/>
        <w:widowControl w:val="0"/>
        <w:shd w:val="clear" w:color="auto" w:fill="FFFFFF"/>
        <w:spacing w:before="0" w:beforeAutospacing="0" w:after="0" w:afterAutospacing="0" w:line="594" w:lineRule="exact"/>
        <w:ind w:firstLine="640" w:firstLineChars="200"/>
        <w:jc w:val="both"/>
        <w:rPr>
          <w:rFonts w:hint="eastAsia" w:ascii="Times New Roman" w:hAnsi="Times New Roman" w:eastAsia="方正楷体_GBK" w:cs="Times New Roman"/>
          <w:sz w:val="32"/>
          <w:szCs w:val="32"/>
        </w:rPr>
      </w:pPr>
      <w:r>
        <w:rPr>
          <w:rStyle w:val="9"/>
          <w:rFonts w:ascii="Times New Roman" w:hAnsi="Times New Roman" w:eastAsia="方正楷体_GBK" w:cs="Times New Roman"/>
          <w:b w:val="0"/>
          <w:bCs w:val="0"/>
          <w:sz w:val="32"/>
          <w:szCs w:val="32"/>
        </w:rPr>
        <w:t>（十五）商品和服务支出（支出经济分类科目类级）</w:t>
      </w:r>
    </w:p>
    <w:p>
      <w:pPr>
        <w:pStyle w:val="6"/>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（十六）对个人和家庭的补助（支出经济分类科目类级）</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反映用于对个人和家庭的补助支出。</w:t>
      </w:r>
    </w:p>
    <w:p>
      <w:pPr>
        <w:pStyle w:val="6"/>
        <w:shd w:val="clear" w:color="auto" w:fill="FFFFFF"/>
        <w:spacing w:before="0" w:beforeAutospacing="0" w:after="0" w:afterAutospacing="0" w:line="594" w:lineRule="exact"/>
        <w:ind w:firstLine="640" w:firstLineChars="200"/>
        <w:jc w:val="both"/>
        <w:rPr>
          <w:rStyle w:val="9"/>
          <w:rFonts w:hint="eastAsia" w:ascii="Times New Roman" w:hAnsi="Times New Roman" w:eastAsia="方正楷体_GBK" w:cs="Times New Roman"/>
          <w:b w:val="0"/>
          <w:bCs w:val="0"/>
          <w:sz w:val="32"/>
          <w:szCs w:val="32"/>
        </w:rPr>
      </w:pPr>
      <w:r>
        <w:rPr>
          <w:rStyle w:val="9"/>
          <w:rFonts w:ascii="Times New Roman" w:hAnsi="Times New Roman" w:eastAsia="方正楷体_GBK" w:cs="Times New Roman"/>
          <w:b w:val="0"/>
          <w:bCs w:val="0"/>
          <w:sz w:val="32"/>
          <w:szCs w:val="32"/>
        </w:rPr>
        <w:t>（十七）其他资本性支出（支出经济分类科目类级）</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0" w:firstLineChars="200"/>
        <w:jc w:val="both"/>
        <w:outlineLvl w:val="0"/>
        <w:rPr>
          <w:rFonts w:ascii="Times New Roman" w:hAnsi="Times New Roman" w:eastAsia="方正黑体_GBK" w:cs="Times New Roman"/>
          <w:b/>
          <w:sz w:val="32"/>
          <w:szCs w:val="32"/>
        </w:rPr>
      </w:pPr>
      <w:r>
        <w:rPr>
          <w:rStyle w:val="9"/>
          <w:rFonts w:ascii="Times New Roman" w:hAnsi="Times New Roman" w:eastAsia="方正黑体_GBK" w:cs="Times New Roman"/>
          <w:b w:val="0"/>
          <w:sz w:val="32"/>
          <w:szCs w:val="32"/>
        </w:rPr>
        <w:t>七、决算公开联系方式及信息反馈渠道</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本单位决算公开信息反馈和联系方式：62520041。</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sdtPr>
    <w:sdtContent>
      <w:p>
        <w:pPr>
          <w:pStyle w:val="4"/>
          <w:jc w:val="center"/>
        </w:pPr>
      </w:p>
      <w:p>
        <w:pPr>
          <w:pStyle w:val="4"/>
          <w:jc w:val="center"/>
        </w:pPr>
        <w:r>
          <w:rPr>
            <w:rFonts w:hint="eastAsia"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22</w:t>
        </w:r>
        <w:r>
          <w:rPr>
            <w:rFonts w:ascii="Times New Roman" w:hAnsi="Times New Roman" w:cs="Times New Roman"/>
            <w:sz w:val="21"/>
            <w:szCs w:val="21"/>
          </w:rPr>
          <w:fldChar w:fldCharType="end"/>
        </w:r>
        <w:r>
          <w:rPr>
            <w:rFonts w:hint="eastAsia" w:ascii="Times New Roman" w:hAnsi="Times New Roman" w:cs="Times New Roman"/>
            <w:sz w:val="21"/>
            <w:szCs w:val="21"/>
          </w:rPr>
          <w:t>-</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8D3F8"/>
    <w:multiLevelType w:val="singleLevel"/>
    <w:tmpl w:val="15C8D3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9A41FA"/>
    <w:rsid w:val="000478A4"/>
    <w:rsid w:val="00065022"/>
    <w:rsid w:val="00115962"/>
    <w:rsid w:val="00221A09"/>
    <w:rsid w:val="00285753"/>
    <w:rsid w:val="0030438F"/>
    <w:rsid w:val="00316F52"/>
    <w:rsid w:val="00317DE3"/>
    <w:rsid w:val="00323DC8"/>
    <w:rsid w:val="003269CF"/>
    <w:rsid w:val="003463D8"/>
    <w:rsid w:val="003B4F99"/>
    <w:rsid w:val="00420E29"/>
    <w:rsid w:val="0063459A"/>
    <w:rsid w:val="006B3A67"/>
    <w:rsid w:val="006F08AE"/>
    <w:rsid w:val="007172FF"/>
    <w:rsid w:val="00724552"/>
    <w:rsid w:val="007813B9"/>
    <w:rsid w:val="0087676C"/>
    <w:rsid w:val="008B634F"/>
    <w:rsid w:val="009049D8"/>
    <w:rsid w:val="0097289B"/>
    <w:rsid w:val="009A41FA"/>
    <w:rsid w:val="009D65BE"/>
    <w:rsid w:val="00B61C9F"/>
    <w:rsid w:val="00BC263C"/>
    <w:rsid w:val="00C947A8"/>
    <w:rsid w:val="00D33E16"/>
    <w:rsid w:val="00D73116"/>
    <w:rsid w:val="00E07898"/>
    <w:rsid w:val="00F364CA"/>
    <w:rsid w:val="011D1814"/>
    <w:rsid w:val="01390BCC"/>
    <w:rsid w:val="01633E9B"/>
    <w:rsid w:val="017573D7"/>
    <w:rsid w:val="01C81F50"/>
    <w:rsid w:val="022C24DE"/>
    <w:rsid w:val="02377801"/>
    <w:rsid w:val="02CF7A3A"/>
    <w:rsid w:val="03084CFA"/>
    <w:rsid w:val="036C30D9"/>
    <w:rsid w:val="03B03D9B"/>
    <w:rsid w:val="03BE185C"/>
    <w:rsid w:val="03C84489"/>
    <w:rsid w:val="03D97606"/>
    <w:rsid w:val="04561A95"/>
    <w:rsid w:val="04861AD2"/>
    <w:rsid w:val="04BD7D66"/>
    <w:rsid w:val="04C80BE4"/>
    <w:rsid w:val="0575419C"/>
    <w:rsid w:val="05EC445F"/>
    <w:rsid w:val="05EF3F4F"/>
    <w:rsid w:val="060C4B01"/>
    <w:rsid w:val="060D7E0F"/>
    <w:rsid w:val="064E6EC7"/>
    <w:rsid w:val="06565D7C"/>
    <w:rsid w:val="067A7CBC"/>
    <w:rsid w:val="06B37672"/>
    <w:rsid w:val="06C158EB"/>
    <w:rsid w:val="06C23411"/>
    <w:rsid w:val="06CE625A"/>
    <w:rsid w:val="075F6EB2"/>
    <w:rsid w:val="07AD40C1"/>
    <w:rsid w:val="07D0677A"/>
    <w:rsid w:val="08295563"/>
    <w:rsid w:val="085F360E"/>
    <w:rsid w:val="087150EF"/>
    <w:rsid w:val="087E7CAB"/>
    <w:rsid w:val="089111DC"/>
    <w:rsid w:val="089B03BE"/>
    <w:rsid w:val="08CF7D69"/>
    <w:rsid w:val="08E73603"/>
    <w:rsid w:val="09A3577C"/>
    <w:rsid w:val="0A7B4003"/>
    <w:rsid w:val="0AB3379D"/>
    <w:rsid w:val="0AF1198F"/>
    <w:rsid w:val="0B064214"/>
    <w:rsid w:val="0B065FC2"/>
    <w:rsid w:val="0B260413"/>
    <w:rsid w:val="0B422D73"/>
    <w:rsid w:val="0B867103"/>
    <w:rsid w:val="0BB579E9"/>
    <w:rsid w:val="0BF34DED"/>
    <w:rsid w:val="0C4072B2"/>
    <w:rsid w:val="0C474AE5"/>
    <w:rsid w:val="0C475836"/>
    <w:rsid w:val="0C7C2FE0"/>
    <w:rsid w:val="0CAA0BCF"/>
    <w:rsid w:val="0CB11F5E"/>
    <w:rsid w:val="0CC223BD"/>
    <w:rsid w:val="0CFF716D"/>
    <w:rsid w:val="0D004C93"/>
    <w:rsid w:val="0D4343A9"/>
    <w:rsid w:val="0D7F02AE"/>
    <w:rsid w:val="0DB02216"/>
    <w:rsid w:val="0DD57ECE"/>
    <w:rsid w:val="0DDD6D83"/>
    <w:rsid w:val="0DE251D6"/>
    <w:rsid w:val="0E39220B"/>
    <w:rsid w:val="0E6B438E"/>
    <w:rsid w:val="0EDB7766"/>
    <w:rsid w:val="0EEF4FBF"/>
    <w:rsid w:val="0F4B48EC"/>
    <w:rsid w:val="0F563291"/>
    <w:rsid w:val="0F7A0D2D"/>
    <w:rsid w:val="0F7F6343"/>
    <w:rsid w:val="0FA47B58"/>
    <w:rsid w:val="0FB81855"/>
    <w:rsid w:val="100A5EEF"/>
    <w:rsid w:val="102B64CB"/>
    <w:rsid w:val="102D5D9F"/>
    <w:rsid w:val="10345EF6"/>
    <w:rsid w:val="10702130"/>
    <w:rsid w:val="108C6F6A"/>
    <w:rsid w:val="10A342B4"/>
    <w:rsid w:val="10AA73F0"/>
    <w:rsid w:val="10E420E0"/>
    <w:rsid w:val="110273FB"/>
    <w:rsid w:val="112F5B47"/>
    <w:rsid w:val="11513D10"/>
    <w:rsid w:val="119B4F8B"/>
    <w:rsid w:val="11AC53EA"/>
    <w:rsid w:val="11BD75F7"/>
    <w:rsid w:val="11FF551A"/>
    <w:rsid w:val="124B075F"/>
    <w:rsid w:val="12502219"/>
    <w:rsid w:val="12635AA8"/>
    <w:rsid w:val="127952CC"/>
    <w:rsid w:val="12902616"/>
    <w:rsid w:val="13196AAF"/>
    <w:rsid w:val="13394A5B"/>
    <w:rsid w:val="1340403C"/>
    <w:rsid w:val="13637D2A"/>
    <w:rsid w:val="13855EF2"/>
    <w:rsid w:val="13C95DDF"/>
    <w:rsid w:val="13EC7D20"/>
    <w:rsid w:val="13FA68E0"/>
    <w:rsid w:val="145204CA"/>
    <w:rsid w:val="1457163D"/>
    <w:rsid w:val="147D6BCA"/>
    <w:rsid w:val="14FE41AE"/>
    <w:rsid w:val="15477903"/>
    <w:rsid w:val="15510782"/>
    <w:rsid w:val="15EE5FD1"/>
    <w:rsid w:val="161812A0"/>
    <w:rsid w:val="16445BF1"/>
    <w:rsid w:val="16493207"/>
    <w:rsid w:val="165878EE"/>
    <w:rsid w:val="16A9014A"/>
    <w:rsid w:val="16D57191"/>
    <w:rsid w:val="16F5338F"/>
    <w:rsid w:val="177249E0"/>
    <w:rsid w:val="17E05DED"/>
    <w:rsid w:val="1850222C"/>
    <w:rsid w:val="18616F2E"/>
    <w:rsid w:val="190B73A9"/>
    <w:rsid w:val="190D2C12"/>
    <w:rsid w:val="193F08F1"/>
    <w:rsid w:val="194505FE"/>
    <w:rsid w:val="19B27315"/>
    <w:rsid w:val="19C77265"/>
    <w:rsid w:val="19E219A9"/>
    <w:rsid w:val="19E35721"/>
    <w:rsid w:val="1A3D3083"/>
    <w:rsid w:val="1A471FD0"/>
    <w:rsid w:val="1A8769F4"/>
    <w:rsid w:val="1A907657"/>
    <w:rsid w:val="1AB07CF9"/>
    <w:rsid w:val="1AC11A27"/>
    <w:rsid w:val="1AE17EB2"/>
    <w:rsid w:val="1B0E3FBF"/>
    <w:rsid w:val="1B18764C"/>
    <w:rsid w:val="1B3F107D"/>
    <w:rsid w:val="1B50328A"/>
    <w:rsid w:val="1B8D3B96"/>
    <w:rsid w:val="1BA50EE0"/>
    <w:rsid w:val="1BB72DB6"/>
    <w:rsid w:val="1BC21595"/>
    <w:rsid w:val="1BD87507"/>
    <w:rsid w:val="1BDD4B1E"/>
    <w:rsid w:val="1BE32D33"/>
    <w:rsid w:val="1C0A168B"/>
    <w:rsid w:val="1C672639"/>
    <w:rsid w:val="1C802A40"/>
    <w:rsid w:val="1C940F54"/>
    <w:rsid w:val="1C99656B"/>
    <w:rsid w:val="1D322C47"/>
    <w:rsid w:val="1D3764AF"/>
    <w:rsid w:val="1D6E17A5"/>
    <w:rsid w:val="1DB23A5F"/>
    <w:rsid w:val="1DD32114"/>
    <w:rsid w:val="1DE64E0F"/>
    <w:rsid w:val="1DEF0B38"/>
    <w:rsid w:val="1DFD11E4"/>
    <w:rsid w:val="1E32090B"/>
    <w:rsid w:val="1E360515"/>
    <w:rsid w:val="1E4744D0"/>
    <w:rsid w:val="1E4946EC"/>
    <w:rsid w:val="1E6C03DB"/>
    <w:rsid w:val="1E7414DC"/>
    <w:rsid w:val="1E7D4396"/>
    <w:rsid w:val="1E8A0861"/>
    <w:rsid w:val="1EA638ED"/>
    <w:rsid w:val="1EDB10BC"/>
    <w:rsid w:val="1EEB7551"/>
    <w:rsid w:val="1F066139"/>
    <w:rsid w:val="1F19201E"/>
    <w:rsid w:val="1F4E7AE0"/>
    <w:rsid w:val="1F751511"/>
    <w:rsid w:val="1FBC0EEE"/>
    <w:rsid w:val="20315438"/>
    <w:rsid w:val="204F1D62"/>
    <w:rsid w:val="205729C5"/>
    <w:rsid w:val="205B24B5"/>
    <w:rsid w:val="20BB73F7"/>
    <w:rsid w:val="210B3EDB"/>
    <w:rsid w:val="211F1734"/>
    <w:rsid w:val="212E3DFF"/>
    <w:rsid w:val="213B5E42"/>
    <w:rsid w:val="213F1DD6"/>
    <w:rsid w:val="214967B1"/>
    <w:rsid w:val="216C50EC"/>
    <w:rsid w:val="2181419D"/>
    <w:rsid w:val="21935C7E"/>
    <w:rsid w:val="219C4B33"/>
    <w:rsid w:val="21AF0D0A"/>
    <w:rsid w:val="21B52099"/>
    <w:rsid w:val="21DD6EFA"/>
    <w:rsid w:val="21EF0569"/>
    <w:rsid w:val="2205092A"/>
    <w:rsid w:val="2210107D"/>
    <w:rsid w:val="222B4109"/>
    <w:rsid w:val="224551CB"/>
    <w:rsid w:val="2254540E"/>
    <w:rsid w:val="22883309"/>
    <w:rsid w:val="22B67E76"/>
    <w:rsid w:val="233E10F9"/>
    <w:rsid w:val="23CB5BA3"/>
    <w:rsid w:val="23F92711"/>
    <w:rsid w:val="243358F8"/>
    <w:rsid w:val="24572F93"/>
    <w:rsid w:val="24A87C93"/>
    <w:rsid w:val="24E707BB"/>
    <w:rsid w:val="24ED201A"/>
    <w:rsid w:val="25E44CFA"/>
    <w:rsid w:val="25E940BF"/>
    <w:rsid w:val="25F56F08"/>
    <w:rsid w:val="2604714B"/>
    <w:rsid w:val="26345C82"/>
    <w:rsid w:val="268F0CE6"/>
    <w:rsid w:val="26D3007C"/>
    <w:rsid w:val="26F90003"/>
    <w:rsid w:val="26FD42C6"/>
    <w:rsid w:val="276F6846"/>
    <w:rsid w:val="27B8643F"/>
    <w:rsid w:val="27E47234"/>
    <w:rsid w:val="27E94301"/>
    <w:rsid w:val="280E605F"/>
    <w:rsid w:val="28546167"/>
    <w:rsid w:val="28D325FB"/>
    <w:rsid w:val="292E4C0A"/>
    <w:rsid w:val="293E0BC6"/>
    <w:rsid w:val="295108F9"/>
    <w:rsid w:val="2A0B5848"/>
    <w:rsid w:val="2A202079"/>
    <w:rsid w:val="2A3873C3"/>
    <w:rsid w:val="2A922F77"/>
    <w:rsid w:val="2B88437A"/>
    <w:rsid w:val="2BC2788C"/>
    <w:rsid w:val="2BD15D21"/>
    <w:rsid w:val="2BD61589"/>
    <w:rsid w:val="2C047EA4"/>
    <w:rsid w:val="2C736DD8"/>
    <w:rsid w:val="2C9F7BCD"/>
    <w:rsid w:val="2CAB6572"/>
    <w:rsid w:val="2CE61358"/>
    <w:rsid w:val="2D53595D"/>
    <w:rsid w:val="2D5664DE"/>
    <w:rsid w:val="2DBB3D24"/>
    <w:rsid w:val="2DC21DC5"/>
    <w:rsid w:val="2DE34362"/>
    <w:rsid w:val="2E1F2D74"/>
    <w:rsid w:val="2E4F2F2D"/>
    <w:rsid w:val="2E7300E2"/>
    <w:rsid w:val="2E734E6D"/>
    <w:rsid w:val="2EC1207D"/>
    <w:rsid w:val="2F884949"/>
    <w:rsid w:val="305B0E01"/>
    <w:rsid w:val="309537C1"/>
    <w:rsid w:val="30DF2C8E"/>
    <w:rsid w:val="311346E6"/>
    <w:rsid w:val="311741D6"/>
    <w:rsid w:val="31264419"/>
    <w:rsid w:val="31E360C6"/>
    <w:rsid w:val="31F75DB5"/>
    <w:rsid w:val="32056724"/>
    <w:rsid w:val="3207249C"/>
    <w:rsid w:val="3227669B"/>
    <w:rsid w:val="323D5EBE"/>
    <w:rsid w:val="32474B04"/>
    <w:rsid w:val="329B4D38"/>
    <w:rsid w:val="32CC417D"/>
    <w:rsid w:val="3305533D"/>
    <w:rsid w:val="332901F1"/>
    <w:rsid w:val="33416F84"/>
    <w:rsid w:val="33501C21"/>
    <w:rsid w:val="3383387C"/>
    <w:rsid w:val="33884F17"/>
    <w:rsid w:val="33D068BE"/>
    <w:rsid w:val="344E6AEA"/>
    <w:rsid w:val="34817852"/>
    <w:rsid w:val="34D67F04"/>
    <w:rsid w:val="350C25D6"/>
    <w:rsid w:val="354041AE"/>
    <w:rsid w:val="355157DD"/>
    <w:rsid w:val="355754E9"/>
    <w:rsid w:val="35885C76"/>
    <w:rsid w:val="35B50461"/>
    <w:rsid w:val="35E548A3"/>
    <w:rsid w:val="35FF348B"/>
    <w:rsid w:val="36054F45"/>
    <w:rsid w:val="36511F38"/>
    <w:rsid w:val="36E0506A"/>
    <w:rsid w:val="37103BA1"/>
    <w:rsid w:val="371C0798"/>
    <w:rsid w:val="375D66BB"/>
    <w:rsid w:val="37CA01F4"/>
    <w:rsid w:val="38211DDE"/>
    <w:rsid w:val="38284F1B"/>
    <w:rsid w:val="38804D57"/>
    <w:rsid w:val="38AC78FA"/>
    <w:rsid w:val="38C34C43"/>
    <w:rsid w:val="39BA4298"/>
    <w:rsid w:val="39D32C64"/>
    <w:rsid w:val="39E76710"/>
    <w:rsid w:val="39EC2CBF"/>
    <w:rsid w:val="3A0F6392"/>
    <w:rsid w:val="3A127C30"/>
    <w:rsid w:val="3A175247"/>
    <w:rsid w:val="3A255BB6"/>
    <w:rsid w:val="3A3F1455"/>
    <w:rsid w:val="3A663AD8"/>
    <w:rsid w:val="3A9F7DB8"/>
    <w:rsid w:val="3AA94156"/>
    <w:rsid w:val="3AC058DE"/>
    <w:rsid w:val="3ACA4067"/>
    <w:rsid w:val="3AD924FC"/>
    <w:rsid w:val="3ADB2718"/>
    <w:rsid w:val="3B070E17"/>
    <w:rsid w:val="3B0A0908"/>
    <w:rsid w:val="3B253993"/>
    <w:rsid w:val="3B293484"/>
    <w:rsid w:val="3B4E2EEA"/>
    <w:rsid w:val="3B514788"/>
    <w:rsid w:val="3B5953EB"/>
    <w:rsid w:val="3B9603ED"/>
    <w:rsid w:val="3BDC04F6"/>
    <w:rsid w:val="3BED44B1"/>
    <w:rsid w:val="3BEE1FD7"/>
    <w:rsid w:val="3C0E61D6"/>
    <w:rsid w:val="3C2C7844"/>
    <w:rsid w:val="3C447E49"/>
    <w:rsid w:val="3CA2460E"/>
    <w:rsid w:val="3CB74ABF"/>
    <w:rsid w:val="3CD70CBD"/>
    <w:rsid w:val="3CE37662"/>
    <w:rsid w:val="3CF63839"/>
    <w:rsid w:val="3D3305EA"/>
    <w:rsid w:val="3D3E2AEA"/>
    <w:rsid w:val="3D7B5AED"/>
    <w:rsid w:val="3DDB658B"/>
    <w:rsid w:val="3DE713D4"/>
    <w:rsid w:val="3E0E1638"/>
    <w:rsid w:val="3E1C107E"/>
    <w:rsid w:val="3E54217C"/>
    <w:rsid w:val="3E582180"/>
    <w:rsid w:val="3E5A1BA6"/>
    <w:rsid w:val="3E8F7089"/>
    <w:rsid w:val="3ED561D7"/>
    <w:rsid w:val="3F1104B7"/>
    <w:rsid w:val="3F80563C"/>
    <w:rsid w:val="3F980BD8"/>
    <w:rsid w:val="3FA07A8C"/>
    <w:rsid w:val="3FA532F5"/>
    <w:rsid w:val="3FAC4683"/>
    <w:rsid w:val="402C1320"/>
    <w:rsid w:val="403F72A5"/>
    <w:rsid w:val="407E7DCE"/>
    <w:rsid w:val="40E1210B"/>
    <w:rsid w:val="40F9318F"/>
    <w:rsid w:val="41032081"/>
    <w:rsid w:val="415C79E3"/>
    <w:rsid w:val="415D42EA"/>
    <w:rsid w:val="41C9151C"/>
    <w:rsid w:val="4230334A"/>
    <w:rsid w:val="423367EC"/>
    <w:rsid w:val="424262B6"/>
    <w:rsid w:val="425A6618"/>
    <w:rsid w:val="42641245"/>
    <w:rsid w:val="428D254A"/>
    <w:rsid w:val="42986E2B"/>
    <w:rsid w:val="42C442EE"/>
    <w:rsid w:val="4340580E"/>
    <w:rsid w:val="4346094B"/>
    <w:rsid w:val="435C3CCA"/>
    <w:rsid w:val="43713C1A"/>
    <w:rsid w:val="43A23DD3"/>
    <w:rsid w:val="43A55671"/>
    <w:rsid w:val="43DD12AF"/>
    <w:rsid w:val="44AC2A30"/>
    <w:rsid w:val="44E139C8"/>
    <w:rsid w:val="451505D5"/>
    <w:rsid w:val="456B4699"/>
    <w:rsid w:val="45B918A8"/>
    <w:rsid w:val="45C81AEB"/>
    <w:rsid w:val="461D6CEC"/>
    <w:rsid w:val="462C207A"/>
    <w:rsid w:val="466B2BA2"/>
    <w:rsid w:val="46A165C4"/>
    <w:rsid w:val="46BB51AC"/>
    <w:rsid w:val="47305A5A"/>
    <w:rsid w:val="477C493B"/>
    <w:rsid w:val="47BB1907"/>
    <w:rsid w:val="47CF0F0F"/>
    <w:rsid w:val="48084421"/>
    <w:rsid w:val="481E3C44"/>
    <w:rsid w:val="48335942"/>
    <w:rsid w:val="489857A5"/>
    <w:rsid w:val="48C753E1"/>
    <w:rsid w:val="48E409EA"/>
    <w:rsid w:val="48F50E49"/>
    <w:rsid w:val="496658A3"/>
    <w:rsid w:val="4968786D"/>
    <w:rsid w:val="498F4DFA"/>
    <w:rsid w:val="49951CE4"/>
    <w:rsid w:val="4A01737A"/>
    <w:rsid w:val="4A05330E"/>
    <w:rsid w:val="4A183041"/>
    <w:rsid w:val="4A2D63C1"/>
    <w:rsid w:val="4A69564B"/>
    <w:rsid w:val="4A743FEF"/>
    <w:rsid w:val="4AD93E52"/>
    <w:rsid w:val="4B11183E"/>
    <w:rsid w:val="4B315A3D"/>
    <w:rsid w:val="4B8244EA"/>
    <w:rsid w:val="4B8B15F1"/>
    <w:rsid w:val="4BC93EC7"/>
    <w:rsid w:val="4BCF3BD3"/>
    <w:rsid w:val="4BCF5981"/>
    <w:rsid w:val="4C184B4A"/>
    <w:rsid w:val="4C2973D6"/>
    <w:rsid w:val="4C820C46"/>
    <w:rsid w:val="4C8C5620"/>
    <w:rsid w:val="4D5325E2"/>
    <w:rsid w:val="4D534390"/>
    <w:rsid w:val="4D7560B4"/>
    <w:rsid w:val="4DAB5F7A"/>
    <w:rsid w:val="4DBF37D4"/>
    <w:rsid w:val="4E1753BE"/>
    <w:rsid w:val="4E2F0959"/>
    <w:rsid w:val="4E326885"/>
    <w:rsid w:val="4E4361B3"/>
    <w:rsid w:val="4E5D74FF"/>
    <w:rsid w:val="4E9902F7"/>
    <w:rsid w:val="4EA86CB1"/>
    <w:rsid w:val="4ED92673"/>
    <w:rsid w:val="4F710AFD"/>
    <w:rsid w:val="4F7B559C"/>
    <w:rsid w:val="4F7D6324"/>
    <w:rsid w:val="4FD74E04"/>
    <w:rsid w:val="50446212"/>
    <w:rsid w:val="50454464"/>
    <w:rsid w:val="50811214"/>
    <w:rsid w:val="50BE5FC4"/>
    <w:rsid w:val="50D852D8"/>
    <w:rsid w:val="512C2F2E"/>
    <w:rsid w:val="513722C7"/>
    <w:rsid w:val="516C5A20"/>
    <w:rsid w:val="519C6C3E"/>
    <w:rsid w:val="519D207E"/>
    <w:rsid w:val="51B11329"/>
    <w:rsid w:val="51B7313F"/>
    <w:rsid w:val="521F0CE5"/>
    <w:rsid w:val="527E5A0B"/>
    <w:rsid w:val="52A86F2C"/>
    <w:rsid w:val="52B23907"/>
    <w:rsid w:val="52B94C95"/>
    <w:rsid w:val="52D13764"/>
    <w:rsid w:val="530F48B5"/>
    <w:rsid w:val="532540D9"/>
    <w:rsid w:val="5334431C"/>
    <w:rsid w:val="53400F13"/>
    <w:rsid w:val="536F7A4A"/>
    <w:rsid w:val="53B92A73"/>
    <w:rsid w:val="53BF452D"/>
    <w:rsid w:val="53E15A94"/>
    <w:rsid w:val="53F73CC7"/>
    <w:rsid w:val="543547EF"/>
    <w:rsid w:val="54B020C8"/>
    <w:rsid w:val="54EF499E"/>
    <w:rsid w:val="54F557BF"/>
    <w:rsid w:val="551E6ED4"/>
    <w:rsid w:val="552C2EC0"/>
    <w:rsid w:val="552C79A0"/>
    <w:rsid w:val="555B2034"/>
    <w:rsid w:val="5588094F"/>
    <w:rsid w:val="558D35EE"/>
    <w:rsid w:val="55AF412E"/>
    <w:rsid w:val="55B94FAC"/>
    <w:rsid w:val="55C23E61"/>
    <w:rsid w:val="55D818D6"/>
    <w:rsid w:val="55DD0C9B"/>
    <w:rsid w:val="562B5EAA"/>
    <w:rsid w:val="56383610"/>
    <w:rsid w:val="565108CF"/>
    <w:rsid w:val="568630E0"/>
    <w:rsid w:val="56867584"/>
    <w:rsid w:val="56CE6835"/>
    <w:rsid w:val="57323268"/>
    <w:rsid w:val="5748081E"/>
    <w:rsid w:val="57E04A72"/>
    <w:rsid w:val="57E52089"/>
    <w:rsid w:val="5813309A"/>
    <w:rsid w:val="581A7F84"/>
    <w:rsid w:val="58417C07"/>
    <w:rsid w:val="58586CFE"/>
    <w:rsid w:val="586631C9"/>
    <w:rsid w:val="588144B9"/>
    <w:rsid w:val="5896411A"/>
    <w:rsid w:val="58DA7713"/>
    <w:rsid w:val="58EA204C"/>
    <w:rsid w:val="59172716"/>
    <w:rsid w:val="59505C28"/>
    <w:rsid w:val="59725B9E"/>
    <w:rsid w:val="598F04FE"/>
    <w:rsid w:val="59A044B9"/>
    <w:rsid w:val="59F82547"/>
    <w:rsid w:val="59FE44D6"/>
    <w:rsid w:val="5A5F25C6"/>
    <w:rsid w:val="5ACD39D4"/>
    <w:rsid w:val="5B264E92"/>
    <w:rsid w:val="5B6D0D13"/>
    <w:rsid w:val="5BE663CF"/>
    <w:rsid w:val="5CC50321"/>
    <w:rsid w:val="5D347D3A"/>
    <w:rsid w:val="5D5850AB"/>
    <w:rsid w:val="5DC20AA6"/>
    <w:rsid w:val="5DCB1D21"/>
    <w:rsid w:val="5E03770C"/>
    <w:rsid w:val="5E68756F"/>
    <w:rsid w:val="5E6A778C"/>
    <w:rsid w:val="5E745F14"/>
    <w:rsid w:val="5E9F5687"/>
    <w:rsid w:val="5EE019DD"/>
    <w:rsid w:val="5F1514A5"/>
    <w:rsid w:val="5F221E14"/>
    <w:rsid w:val="5F4E49B7"/>
    <w:rsid w:val="5F531FCE"/>
    <w:rsid w:val="5F5D3854"/>
    <w:rsid w:val="5F9525E6"/>
    <w:rsid w:val="5FA214BF"/>
    <w:rsid w:val="5FA32F55"/>
    <w:rsid w:val="5FF23595"/>
    <w:rsid w:val="5FFE63DD"/>
    <w:rsid w:val="605B55DE"/>
    <w:rsid w:val="608F2ABA"/>
    <w:rsid w:val="60CD2A71"/>
    <w:rsid w:val="60FD6695"/>
    <w:rsid w:val="61395AB8"/>
    <w:rsid w:val="616B35FF"/>
    <w:rsid w:val="617C580C"/>
    <w:rsid w:val="61A3723C"/>
    <w:rsid w:val="61AD3E67"/>
    <w:rsid w:val="61ED04B8"/>
    <w:rsid w:val="61FB0E26"/>
    <w:rsid w:val="623954AB"/>
    <w:rsid w:val="626F5370"/>
    <w:rsid w:val="6299063F"/>
    <w:rsid w:val="62AF39BF"/>
    <w:rsid w:val="62C56314"/>
    <w:rsid w:val="63DE27AE"/>
    <w:rsid w:val="63FC535C"/>
    <w:rsid w:val="641206A9"/>
    <w:rsid w:val="642C1D13"/>
    <w:rsid w:val="64630F05"/>
    <w:rsid w:val="64872E45"/>
    <w:rsid w:val="649E3CEB"/>
    <w:rsid w:val="64A82DBC"/>
    <w:rsid w:val="64C319A4"/>
    <w:rsid w:val="64D15ECB"/>
    <w:rsid w:val="64D34C7C"/>
    <w:rsid w:val="651E6BDA"/>
    <w:rsid w:val="65787230"/>
    <w:rsid w:val="66304E17"/>
    <w:rsid w:val="664A237C"/>
    <w:rsid w:val="666920D7"/>
    <w:rsid w:val="66893B45"/>
    <w:rsid w:val="66A17AC3"/>
    <w:rsid w:val="66BC5161"/>
    <w:rsid w:val="66BE2423"/>
    <w:rsid w:val="66C0619B"/>
    <w:rsid w:val="66D25ECE"/>
    <w:rsid w:val="66F02244"/>
    <w:rsid w:val="66F9345B"/>
    <w:rsid w:val="674C0CA6"/>
    <w:rsid w:val="681A18DB"/>
    <w:rsid w:val="68686AEA"/>
    <w:rsid w:val="68D13869"/>
    <w:rsid w:val="69201173"/>
    <w:rsid w:val="6922313D"/>
    <w:rsid w:val="692844CB"/>
    <w:rsid w:val="692F7608"/>
    <w:rsid w:val="694F50A0"/>
    <w:rsid w:val="695B03FD"/>
    <w:rsid w:val="69603C65"/>
    <w:rsid w:val="69C441F4"/>
    <w:rsid w:val="6A5A6906"/>
    <w:rsid w:val="6A641533"/>
    <w:rsid w:val="6A6972C7"/>
    <w:rsid w:val="6A721EA2"/>
    <w:rsid w:val="6AAD4C73"/>
    <w:rsid w:val="6AB16F29"/>
    <w:rsid w:val="6BAA7419"/>
    <w:rsid w:val="6C117498"/>
    <w:rsid w:val="6C4258A4"/>
    <w:rsid w:val="6C691387"/>
    <w:rsid w:val="6C8F21FC"/>
    <w:rsid w:val="6CE40709"/>
    <w:rsid w:val="6CFA617E"/>
    <w:rsid w:val="6CFA7C74"/>
    <w:rsid w:val="6D4F64CA"/>
    <w:rsid w:val="6D561607"/>
    <w:rsid w:val="6D745F31"/>
    <w:rsid w:val="6E2E7E8E"/>
    <w:rsid w:val="6ED70525"/>
    <w:rsid w:val="6F6B6EC0"/>
    <w:rsid w:val="6F7C10CD"/>
    <w:rsid w:val="6F800BBD"/>
    <w:rsid w:val="6FDD7DBD"/>
    <w:rsid w:val="6FDE3B35"/>
    <w:rsid w:val="6FF62C2D"/>
    <w:rsid w:val="6FF9096F"/>
    <w:rsid w:val="703D6AAE"/>
    <w:rsid w:val="70495453"/>
    <w:rsid w:val="70C26FB3"/>
    <w:rsid w:val="70E37655"/>
    <w:rsid w:val="71020435"/>
    <w:rsid w:val="711315BD"/>
    <w:rsid w:val="711A6DEF"/>
    <w:rsid w:val="71215531"/>
    <w:rsid w:val="718935E6"/>
    <w:rsid w:val="71C72AD3"/>
    <w:rsid w:val="71CD20B4"/>
    <w:rsid w:val="71EA0570"/>
    <w:rsid w:val="721E46BD"/>
    <w:rsid w:val="72556331"/>
    <w:rsid w:val="72E12332"/>
    <w:rsid w:val="73247AB1"/>
    <w:rsid w:val="733817AF"/>
    <w:rsid w:val="738E13CF"/>
    <w:rsid w:val="73DD4830"/>
    <w:rsid w:val="73FE47A6"/>
    <w:rsid w:val="74275AAB"/>
    <w:rsid w:val="745B39A7"/>
    <w:rsid w:val="74AC4202"/>
    <w:rsid w:val="74D07EF1"/>
    <w:rsid w:val="74E40E24"/>
    <w:rsid w:val="7514067D"/>
    <w:rsid w:val="756845CD"/>
    <w:rsid w:val="75B07D22"/>
    <w:rsid w:val="76085468"/>
    <w:rsid w:val="76404C02"/>
    <w:rsid w:val="76AE24B4"/>
    <w:rsid w:val="76C771A6"/>
    <w:rsid w:val="76E750FC"/>
    <w:rsid w:val="76F854DD"/>
    <w:rsid w:val="77356731"/>
    <w:rsid w:val="77BB4701"/>
    <w:rsid w:val="78372035"/>
    <w:rsid w:val="78A31478"/>
    <w:rsid w:val="78AA5B20"/>
    <w:rsid w:val="78B611AB"/>
    <w:rsid w:val="78DB50B6"/>
    <w:rsid w:val="78FB5758"/>
    <w:rsid w:val="797F0137"/>
    <w:rsid w:val="79EB30D7"/>
    <w:rsid w:val="7A770E0E"/>
    <w:rsid w:val="7A8A28F0"/>
    <w:rsid w:val="7AA15E8B"/>
    <w:rsid w:val="7AA339B1"/>
    <w:rsid w:val="7AED4478"/>
    <w:rsid w:val="7B0E3521"/>
    <w:rsid w:val="7B8A691F"/>
    <w:rsid w:val="7BC57958"/>
    <w:rsid w:val="7BD15F1A"/>
    <w:rsid w:val="7BE14791"/>
    <w:rsid w:val="7C2E19A1"/>
    <w:rsid w:val="7C354ADD"/>
    <w:rsid w:val="7C3B1D48"/>
    <w:rsid w:val="7CC12815"/>
    <w:rsid w:val="7CC85951"/>
    <w:rsid w:val="7CD97B5E"/>
    <w:rsid w:val="7D0821F2"/>
    <w:rsid w:val="7D781125"/>
    <w:rsid w:val="7D821FA4"/>
    <w:rsid w:val="7DA41F1A"/>
    <w:rsid w:val="7DB61C4E"/>
    <w:rsid w:val="7DB87774"/>
    <w:rsid w:val="7DC0487A"/>
    <w:rsid w:val="7DE04C14"/>
    <w:rsid w:val="7E097FCF"/>
    <w:rsid w:val="7E132BFC"/>
    <w:rsid w:val="7F1430D0"/>
    <w:rsid w:val="7FBF128D"/>
    <w:rsid w:val="7FCE196A"/>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sz w:val="18"/>
      <w:szCs w:val="18"/>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styleId="9">
    <w:name w:val="Strong"/>
    <w:basedOn w:val="8"/>
    <w:qFormat/>
    <w:uiPriority w:val="22"/>
    <w:rPr>
      <w:b/>
      <w:bCs/>
    </w:rPr>
  </w:style>
  <w:style w:type="character" w:customStyle="1" w:styleId="10">
    <w:name w:val="页眉 Char"/>
    <w:basedOn w:val="8"/>
    <w:link w:val="5"/>
    <w:semiHidden/>
    <w:qFormat/>
    <w:locked/>
    <w:uiPriority w:val="99"/>
    <w:rPr>
      <w:rFonts w:hint="eastAsia" w:ascii="宋体" w:hAnsi="宋体" w:eastAsia="宋体" w:cs="宋体"/>
      <w:sz w:val="18"/>
      <w:szCs w:val="18"/>
    </w:rPr>
  </w:style>
  <w:style w:type="character" w:customStyle="1" w:styleId="11">
    <w:name w:val="页脚 Char"/>
    <w:basedOn w:val="8"/>
    <w:link w:val="4"/>
    <w:qFormat/>
    <w:locked/>
    <w:uiPriority w:val="99"/>
    <w:rPr>
      <w:rFonts w:hint="eastAsia" w:ascii="宋体" w:hAnsi="宋体" w:eastAsia="宋体" w:cs="宋体"/>
      <w:sz w:val="18"/>
      <w:szCs w:val="18"/>
    </w:rPr>
  </w:style>
  <w:style w:type="character" w:customStyle="1" w:styleId="12">
    <w:name w:val="文档结构图 Char"/>
    <w:basedOn w:val="8"/>
    <w:link w:val="2"/>
    <w:semiHidden/>
    <w:qFormat/>
    <w:locked/>
    <w:uiPriority w:val="99"/>
    <w:rPr>
      <w:rFonts w:hint="eastAsia" w:ascii="宋体" w:hAnsi="宋体" w:eastAsia="宋体" w:cs="宋体"/>
      <w:sz w:val="18"/>
      <w:szCs w:val="18"/>
    </w:rPr>
  </w:style>
  <w:style w:type="paragraph" w:styleId="1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4">
    <w:name w:val="msonormal"/>
    <w:basedOn w:val="1"/>
    <w:semiHidden/>
    <w:qFormat/>
    <w:uiPriority w:val="99"/>
    <w:pPr>
      <w:spacing w:before="100" w:beforeAutospacing="1" w:after="100" w:afterAutospacing="1"/>
    </w:pPr>
  </w:style>
  <w:style w:type="paragraph" w:customStyle="1" w:styleId="15">
    <w:name w:val="msolistparagraph"/>
    <w:basedOn w:val="14"/>
    <w:hidden/>
    <w:qFormat/>
    <w:uiPriority w:val="0"/>
    <w:pPr>
      <w:widowControl w:val="0"/>
      <w:spacing w:beforeAutospacing="0" w:afterAutospacing="0"/>
      <w:ind w:firstLine="420" w:firstLineChars="200"/>
      <w:jc w:val="both"/>
    </w:pPr>
    <w:rPr>
      <w:rFonts w:ascii="Calibri" w:hAnsi="Calibri"/>
      <w:kern w:val="2"/>
      <w:sz w:val="21"/>
      <w:szCs w:val="22"/>
    </w:rPr>
  </w:style>
  <w:style w:type="character" w:customStyle="1" w:styleId="16">
    <w:name w:val="批注框文本 Char"/>
    <w:basedOn w:val="8"/>
    <w:link w:val="3"/>
    <w:semiHidden/>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1653</Words>
  <Characters>9424</Characters>
  <Lines>78</Lines>
  <Paragraphs>22</Paragraphs>
  <TotalTime>4</TotalTime>
  <ScaleCrop>false</ScaleCrop>
  <LinksUpToDate>false</LinksUpToDate>
  <CharactersWithSpaces>11055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糖分君</cp:lastModifiedBy>
  <cp:lastPrinted>2021-11-19T03:29:00Z</cp:lastPrinted>
  <dcterms:modified xsi:type="dcterms:W3CDTF">2021-11-19T08:47:25Z</dcterms:modified>
  <dc:title>公开报告模板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5B93405823FF4B4D8A05BE05250DDBB3</vt:lpwstr>
  </property>
</Properties>
</file>