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9DA99">
      <w:pPr>
        <w:pStyle w:val="23"/>
        <w:spacing w:line="56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lang w:val="en-US" w:eastAsia="zh-CN"/>
        </w:rPr>
        <w:t>重庆市</w:t>
      </w:r>
      <w:r>
        <w:rPr>
          <w:rFonts w:hint="eastAsia" w:ascii="方正小标宋_GBK" w:eastAsia="方正小标宋_GBK"/>
          <w:sz w:val="44"/>
          <w:szCs w:val="44"/>
          <w:highlight w:val="none"/>
        </w:rPr>
        <w:t>南岸区卫生健康委员会</w:t>
      </w:r>
    </w:p>
    <w:p w14:paraId="4DF9BB23">
      <w:pPr>
        <w:spacing w:line="594" w:lineRule="exact"/>
        <w:ind w:firstLine="440" w:firstLineChars="100"/>
        <w:rPr>
          <w:rFonts w:eastAsia="方正小标宋_GBK"/>
          <w:sz w:val="44"/>
          <w:szCs w:val="44"/>
          <w:highlight w:val="none"/>
        </w:rPr>
      </w:pPr>
      <w:r>
        <w:rPr>
          <w:rFonts w:hint="eastAsia" w:ascii="方正小标宋_GBK" w:eastAsia="方正小标宋_GBK"/>
          <w:sz w:val="44"/>
          <w:szCs w:val="44"/>
          <w:highlight w:val="none"/>
        </w:rPr>
        <w:t>关于</w:t>
      </w:r>
      <w:r>
        <w:rPr>
          <w:rFonts w:eastAsia="方正小标宋_GBK"/>
          <w:sz w:val="44"/>
          <w:szCs w:val="44"/>
          <w:highlight w:val="none"/>
        </w:rPr>
        <w:t>202</w:t>
      </w:r>
      <w:r>
        <w:rPr>
          <w:rFonts w:hint="eastAsia" w:eastAsia="方正小标宋_GBK"/>
          <w:sz w:val="44"/>
          <w:szCs w:val="44"/>
          <w:highlight w:val="none"/>
          <w:lang w:val="en-US" w:eastAsia="zh-CN"/>
        </w:rPr>
        <w:t>4</w:t>
      </w:r>
      <w:r>
        <w:rPr>
          <w:rFonts w:eastAsia="方正小标宋_GBK"/>
          <w:sz w:val="44"/>
          <w:szCs w:val="44"/>
          <w:highlight w:val="none"/>
        </w:rPr>
        <w:t>年度法治政府建设情况</w:t>
      </w:r>
      <w:r>
        <w:rPr>
          <w:rFonts w:hint="eastAsia" w:eastAsia="方正小标宋_GBK"/>
          <w:sz w:val="44"/>
          <w:szCs w:val="44"/>
          <w:highlight w:val="none"/>
        </w:rPr>
        <w:t>的</w:t>
      </w:r>
      <w:r>
        <w:rPr>
          <w:rFonts w:eastAsia="方正小标宋_GBK"/>
          <w:sz w:val="44"/>
          <w:szCs w:val="44"/>
          <w:highlight w:val="none"/>
        </w:rPr>
        <w:t>报告</w:t>
      </w:r>
    </w:p>
    <w:p w14:paraId="0CA475ED">
      <w:pPr>
        <w:autoSpaceDE w:val="0"/>
        <w:autoSpaceDN w:val="0"/>
        <w:adjustRightInd w:val="0"/>
        <w:spacing w:line="560" w:lineRule="exact"/>
        <w:jc w:val="left"/>
        <w:rPr>
          <w:rFonts w:ascii="方正仿宋_GBK" w:eastAsia="方正仿宋_GBK"/>
          <w:sz w:val="32"/>
          <w:szCs w:val="32"/>
          <w:highlight w:val="none"/>
        </w:rPr>
      </w:pPr>
    </w:p>
    <w:p w14:paraId="4A5CA773">
      <w:pPr>
        <w:pStyle w:val="13"/>
        <w:widowControl/>
        <w:spacing w:before="0" w:beforeAutospacing="0" w:after="0" w:afterAutospacing="0" w:line="594" w:lineRule="exact"/>
        <w:ind w:firstLine="739" w:firstLineChars="231"/>
        <w:rPr>
          <w:rFonts w:eastAsia="方正仿宋_GBK"/>
          <w:sz w:val="32"/>
          <w:szCs w:val="32"/>
          <w:highlight w:val="none"/>
        </w:rPr>
      </w:pPr>
      <w:r>
        <w:rPr>
          <w:rFonts w:eastAsia="方正仿宋_GBK"/>
          <w:sz w:val="32"/>
          <w:szCs w:val="32"/>
          <w:highlight w:val="none"/>
        </w:rPr>
        <w:t>202</w:t>
      </w:r>
      <w:r>
        <w:rPr>
          <w:rFonts w:hint="eastAsia" w:eastAsia="方正仿宋_GBK"/>
          <w:sz w:val="32"/>
          <w:szCs w:val="32"/>
          <w:highlight w:val="none"/>
          <w:lang w:val="en-US" w:eastAsia="zh-CN"/>
        </w:rPr>
        <w:t>4</w:t>
      </w:r>
      <w:r>
        <w:rPr>
          <w:rFonts w:eastAsia="方正仿宋_GBK"/>
          <w:sz w:val="32"/>
          <w:szCs w:val="32"/>
          <w:highlight w:val="none"/>
        </w:rPr>
        <w:t>年，南岸区卫生健康委以习近平新时代中国特色社会主义思想为指导，深入学习贯彻习近平法治思想，严格落实</w:t>
      </w:r>
      <w:r>
        <w:rPr>
          <w:rFonts w:eastAsia="方正仿宋_GBK"/>
          <w:kern w:val="2"/>
          <w:sz w:val="32"/>
          <w:szCs w:val="32"/>
          <w:highlight w:val="none"/>
        </w:rPr>
        <w:t>全面依法治区工作要求</w:t>
      </w:r>
      <w:r>
        <w:rPr>
          <w:rFonts w:eastAsia="方正仿宋_GBK"/>
          <w:sz w:val="32"/>
          <w:szCs w:val="32"/>
          <w:highlight w:val="none"/>
        </w:rPr>
        <w:t>，把法治建设作为部门履职尽责的重要抓手，作为维护人民健康权益的重要举措，积极推进法治政府建设，取得明显成效。现将有关情况汇报如下：</w:t>
      </w:r>
    </w:p>
    <w:p w14:paraId="24F84202">
      <w:pPr>
        <w:pStyle w:val="13"/>
        <w:widowControl/>
        <w:spacing w:before="0" w:beforeAutospacing="0" w:after="0" w:afterAutospacing="0" w:line="594" w:lineRule="exact"/>
        <w:ind w:firstLine="640" w:firstLineChars="200"/>
        <w:rPr>
          <w:rFonts w:eastAsia="方正黑体_GBK"/>
          <w:kern w:val="2"/>
          <w:sz w:val="32"/>
          <w:szCs w:val="32"/>
          <w:highlight w:val="none"/>
        </w:rPr>
      </w:pPr>
      <w:r>
        <w:rPr>
          <w:rFonts w:eastAsia="方正黑体_GBK"/>
          <w:kern w:val="2"/>
          <w:sz w:val="32"/>
          <w:szCs w:val="32"/>
          <w:highlight w:val="none"/>
        </w:rPr>
        <w:t>一、202</w:t>
      </w:r>
      <w:r>
        <w:rPr>
          <w:rFonts w:hint="eastAsia" w:eastAsia="方正黑体_GBK"/>
          <w:kern w:val="2"/>
          <w:sz w:val="32"/>
          <w:szCs w:val="32"/>
          <w:highlight w:val="none"/>
          <w:lang w:val="en-US" w:eastAsia="zh-CN"/>
        </w:rPr>
        <w:t>4</w:t>
      </w:r>
      <w:r>
        <w:rPr>
          <w:rFonts w:eastAsia="方正黑体_GBK"/>
          <w:kern w:val="2"/>
          <w:sz w:val="32"/>
          <w:szCs w:val="32"/>
          <w:highlight w:val="none"/>
        </w:rPr>
        <w:t>年推进法治政府建设的主要举措和成效</w:t>
      </w:r>
    </w:p>
    <w:p w14:paraId="7DF04DBA">
      <w:pPr>
        <w:pStyle w:val="13"/>
        <w:widowControl/>
        <w:spacing w:before="0" w:beforeAutospacing="0" w:after="0" w:afterAutospacing="0" w:line="594" w:lineRule="exact"/>
        <w:ind w:firstLine="640" w:firstLineChars="200"/>
        <w:rPr>
          <w:rFonts w:eastAsia="方正楷体_GBK"/>
          <w:kern w:val="2"/>
          <w:sz w:val="32"/>
          <w:szCs w:val="32"/>
          <w:highlight w:val="none"/>
        </w:rPr>
      </w:pPr>
      <w:r>
        <w:rPr>
          <w:rFonts w:eastAsia="方正楷体_GBK"/>
          <w:kern w:val="2"/>
          <w:sz w:val="32"/>
          <w:szCs w:val="32"/>
          <w:highlight w:val="none"/>
        </w:rPr>
        <w:t>（一）依法履行政府职能能力有效提升</w:t>
      </w:r>
    </w:p>
    <w:p w14:paraId="7BDB8F2C">
      <w:pPr>
        <w:pStyle w:val="13"/>
        <w:widowControl/>
        <w:spacing w:before="0" w:beforeAutospacing="0" w:after="0" w:afterAutospacing="0" w:line="594" w:lineRule="exact"/>
        <w:ind w:firstLine="643" w:firstLineChars="200"/>
        <w:rPr>
          <w:rFonts w:hint="eastAsia" w:eastAsia="方正仿宋_GBK"/>
          <w:b w:val="0"/>
          <w:bCs w:val="0"/>
          <w:color w:val="auto"/>
          <w:sz w:val="32"/>
          <w:szCs w:val="32"/>
          <w:highlight w:val="none"/>
        </w:rPr>
      </w:pPr>
      <w:r>
        <w:rPr>
          <w:rFonts w:hint="eastAsia" w:eastAsia="方正仿宋_GBK"/>
          <w:b/>
          <w:bCs/>
          <w:color w:val="auto"/>
          <w:sz w:val="32"/>
          <w:szCs w:val="32"/>
          <w:highlight w:val="none"/>
          <w:lang w:val="en-US" w:eastAsia="zh-CN"/>
        </w:rPr>
        <w:t>1</w:t>
      </w:r>
      <w:r>
        <w:rPr>
          <w:rFonts w:eastAsia="方正仿宋_GBK"/>
          <w:b/>
          <w:bCs/>
          <w:color w:val="auto"/>
          <w:sz w:val="32"/>
          <w:szCs w:val="32"/>
          <w:highlight w:val="none"/>
        </w:rPr>
        <w:t>.加强政务规范，优化营商环境。</w:t>
      </w:r>
      <w:r>
        <w:rPr>
          <w:rFonts w:hint="eastAsia" w:eastAsia="方正仿宋_GBK"/>
          <w:b w:val="0"/>
          <w:bCs w:val="0"/>
          <w:sz w:val="32"/>
          <w:szCs w:val="32"/>
          <w:highlight w:val="none"/>
        </w:rPr>
        <w:t>严格落实信息公开、一次性告知、首问责任、服务承诺、责任追究等服务制度；统筹线上线下办理流程，提升服务网办率，满足企业和群众的多样化办事需求</w:t>
      </w:r>
      <w:r>
        <w:rPr>
          <w:rFonts w:hint="eastAsia" w:eastAsia="方正仿宋_GBK"/>
          <w:b w:val="0"/>
          <w:bCs w:val="0"/>
          <w:sz w:val="32"/>
          <w:szCs w:val="32"/>
          <w:highlight w:val="none"/>
          <w:lang w:eastAsia="zh-CN"/>
        </w:rPr>
        <w:t>。</w:t>
      </w:r>
      <w:r>
        <w:rPr>
          <w:rFonts w:hint="eastAsia" w:eastAsia="方正仿宋_GBK"/>
          <w:b w:val="0"/>
          <w:bCs w:val="0"/>
          <w:sz w:val="32"/>
          <w:szCs w:val="32"/>
          <w:highlight w:val="none"/>
        </w:rPr>
        <w:t>贯彻落实行政许可标准要求，进一步提升重庆市</w:t>
      </w:r>
      <w:r>
        <w:rPr>
          <w:rFonts w:hint="eastAsia" w:eastAsia="方正仿宋_GBK"/>
          <w:b w:val="0"/>
          <w:bCs w:val="0"/>
          <w:sz w:val="32"/>
          <w:szCs w:val="32"/>
          <w:highlight w:val="none"/>
          <w:lang w:eastAsia="zh-CN"/>
        </w:rPr>
        <w:t>“</w:t>
      </w:r>
      <w:r>
        <w:rPr>
          <w:rFonts w:hint="eastAsia" w:eastAsia="方正仿宋_GBK"/>
          <w:b w:val="0"/>
          <w:bCs w:val="0"/>
          <w:sz w:val="32"/>
          <w:szCs w:val="32"/>
          <w:highlight w:val="none"/>
        </w:rPr>
        <w:t>双公示</w:t>
      </w:r>
      <w:r>
        <w:rPr>
          <w:rFonts w:hint="eastAsia" w:eastAsia="方正仿宋_GBK"/>
          <w:b w:val="0"/>
          <w:bCs w:val="0"/>
          <w:sz w:val="32"/>
          <w:szCs w:val="32"/>
          <w:highlight w:val="none"/>
          <w:lang w:eastAsia="zh-CN"/>
        </w:rPr>
        <w:t>”</w:t>
      </w:r>
      <w:r>
        <w:rPr>
          <w:rFonts w:hint="eastAsia" w:eastAsia="方正仿宋_GBK"/>
          <w:b w:val="0"/>
          <w:bCs w:val="0"/>
          <w:sz w:val="32"/>
          <w:szCs w:val="32"/>
          <w:highlight w:val="none"/>
        </w:rPr>
        <w:t>信息质量，提高信用信息的上报率、合规率和及时率</w:t>
      </w:r>
      <w:r>
        <w:rPr>
          <w:rFonts w:hint="eastAsia" w:eastAsia="方正仿宋_GBK"/>
          <w:b w:val="0"/>
          <w:bCs w:val="0"/>
          <w:sz w:val="32"/>
          <w:szCs w:val="32"/>
          <w:highlight w:val="none"/>
          <w:lang w:eastAsia="zh-CN"/>
        </w:rPr>
        <w:t>。</w:t>
      </w:r>
      <w:r>
        <w:rPr>
          <w:rFonts w:hint="eastAsia" w:eastAsia="方正仿宋_GBK"/>
          <w:b w:val="0"/>
          <w:bCs w:val="0"/>
          <w:sz w:val="32"/>
          <w:szCs w:val="32"/>
          <w:highlight w:val="none"/>
        </w:rPr>
        <w:t>2024年，信用重庆行政许可类数据公示9403条。</w:t>
      </w:r>
    </w:p>
    <w:p w14:paraId="3A2743EA">
      <w:pPr>
        <w:pStyle w:val="13"/>
        <w:widowControl/>
        <w:spacing w:before="0" w:beforeAutospacing="0" w:after="0" w:afterAutospacing="0" w:line="594" w:lineRule="exact"/>
        <w:ind w:firstLine="640" w:firstLineChars="200"/>
        <w:rPr>
          <w:rFonts w:hint="default" w:ascii="Times New Roman" w:hAnsi="Times New Roman" w:eastAsia="方正仿宋_GBK" w:cs="Times New Roman"/>
          <w:kern w:val="2"/>
          <w:sz w:val="32"/>
          <w:szCs w:val="32"/>
          <w:highlight w:val="none"/>
        </w:rPr>
      </w:pPr>
      <w:r>
        <w:rPr>
          <w:rFonts w:hint="default" w:ascii="Times New Roman" w:hAnsi="Times New Roman" w:eastAsia="方正楷体_GBK" w:cs="Times New Roman"/>
          <w:color w:val="auto"/>
          <w:kern w:val="2"/>
          <w:sz w:val="32"/>
          <w:szCs w:val="32"/>
          <w:highlight w:val="none"/>
        </w:rPr>
        <w:t>2.创新监管模式，强化综合治理。</w:t>
      </w:r>
      <w:r>
        <w:rPr>
          <w:rFonts w:hint="default" w:ascii="Times New Roman" w:hAnsi="Times New Roman" w:eastAsia="方正仿宋_GBK" w:cs="Times New Roman"/>
          <w:kern w:val="2"/>
          <w:sz w:val="32"/>
          <w:szCs w:val="32"/>
          <w:highlight w:val="none"/>
        </w:rPr>
        <w:t>在全市率先开展</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智慧卫生监督综合监管系统</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建设试点工作，建成区县</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智慧卫生综合监督平台</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，开展酒店卫生用品、饮用水卫生、医疗废物管理、医用辐射、口腔卫生用具消毒等5个领域的在线电子监测，通过平台实现对异常数据信息进行预警提示。建成全区公共卫生信用监管信息系统，并已实现与</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智慧卫监</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平台的互联融合，初步实现了公共场所信用等级评价及动态调整、信用监管信息公示和信用修复数据自动采集和运行管理功能</w:t>
      </w:r>
      <w:r>
        <w:rPr>
          <w:rFonts w:hint="eastAsia"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逐步实现医疗卫生监管数据采集的实时化、信息分析的智能化和管理应用的常态化。通过数字赋能有效提升卫生健康监管效能。</w:t>
      </w:r>
      <w:r>
        <w:rPr>
          <w:rFonts w:hint="eastAsia" w:eastAsia="方正仿宋_GBK" w:cs="Times New Roman"/>
          <w:kern w:val="2"/>
          <w:sz w:val="32"/>
          <w:szCs w:val="32"/>
          <w:highlight w:val="none"/>
          <w:lang w:val="en-US" w:eastAsia="zh-CN"/>
        </w:rPr>
        <w:t>目前</w:t>
      </w:r>
      <w:r>
        <w:rPr>
          <w:rFonts w:hint="default" w:ascii="Times New Roman" w:hAnsi="Times New Roman" w:eastAsia="方正仿宋_GBK" w:cs="Times New Roman"/>
          <w:kern w:val="2"/>
          <w:sz w:val="32"/>
          <w:szCs w:val="32"/>
          <w:highlight w:val="none"/>
        </w:rPr>
        <w:t>对全区2524家公共场所实施信用等级评级，逐步开展分类监管。</w:t>
      </w:r>
    </w:p>
    <w:p w14:paraId="1F898824">
      <w:pPr>
        <w:pStyle w:val="13"/>
        <w:widowControl/>
        <w:spacing w:before="0" w:beforeAutospacing="0" w:after="0" w:afterAutospacing="0" w:line="594"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color w:val="auto"/>
          <w:kern w:val="2"/>
          <w:sz w:val="32"/>
          <w:szCs w:val="32"/>
          <w:highlight w:val="none"/>
        </w:rPr>
        <w:t>3.强化监督执法，净化医疗卫生市场。</w:t>
      </w:r>
      <w:r>
        <w:rPr>
          <w:rFonts w:hint="default" w:ascii="Times New Roman" w:hAnsi="Times New Roman" w:eastAsia="方正仿宋_GBK" w:cs="Times New Roman"/>
          <w:b/>
          <w:bCs/>
          <w:sz w:val="32"/>
          <w:szCs w:val="32"/>
          <w:highlight w:val="none"/>
        </w:rPr>
        <w:t>一是规范开展卫生监督执法。</w:t>
      </w:r>
      <w:r>
        <w:rPr>
          <w:rFonts w:hint="default" w:ascii="Times New Roman" w:hAnsi="Times New Roman" w:eastAsia="方正仿宋_GBK" w:cs="Times New Roman"/>
          <w:sz w:val="32"/>
          <w:szCs w:val="32"/>
          <w:highlight w:val="none"/>
        </w:rPr>
        <w:t>全年监督生活饮用水卫生、传染病防治、医疗卫生、职业卫生等9个专业相关主体共460</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家，监督覆盖率为100%。全区卫生健康立案查处违法案件174件，实施行政处罚161件，罚没金额143万元，结案147件，法院强制执行5件。医疗机构不良行为记分40家，合计记分158分</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行政执法社会满意度为100%。</w:t>
      </w:r>
      <w:r>
        <w:rPr>
          <w:rFonts w:hint="default" w:ascii="Times New Roman" w:hAnsi="Times New Roman" w:eastAsia="方正仿宋_GBK" w:cs="Times New Roman"/>
          <w:b/>
          <w:bCs/>
          <w:sz w:val="32"/>
          <w:szCs w:val="32"/>
          <w:highlight w:val="none"/>
        </w:rPr>
        <w:t>二是圆满完成国家及市级</w:t>
      </w:r>
      <w:r>
        <w:rPr>
          <w:rFonts w:hint="eastAsia"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双随机</w:t>
      </w:r>
      <w:r>
        <w:rPr>
          <w:rFonts w:hint="eastAsia"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年度抽查任务。</w:t>
      </w:r>
      <w:r>
        <w:rPr>
          <w:rFonts w:hint="default" w:ascii="Times New Roman" w:hAnsi="Times New Roman" w:eastAsia="方正仿宋_GBK" w:cs="Times New Roman"/>
          <w:sz w:val="32"/>
          <w:szCs w:val="32"/>
          <w:highlight w:val="none"/>
        </w:rPr>
        <w:t>完成国家任务559家、市级任务267家，监督完成率和任务完结率均为100%，</w:t>
      </w:r>
      <w:r>
        <w:rPr>
          <w:rFonts w:hint="eastAsia" w:eastAsia="方正仿宋_GBK" w:cs="Times New Roman"/>
          <w:sz w:val="32"/>
          <w:szCs w:val="32"/>
          <w:highlight w:val="none"/>
          <w:lang w:val="en-US" w:eastAsia="zh-CN"/>
        </w:rPr>
        <w:t>社会满意度100%，</w:t>
      </w:r>
      <w:r>
        <w:rPr>
          <w:rFonts w:hint="default" w:ascii="Times New Roman" w:hAnsi="Times New Roman" w:eastAsia="方正仿宋_GBK" w:cs="Times New Roman"/>
          <w:sz w:val="32"/>
          <w:szCs w:val="32"/>
          <w:highlight w:val="none"/>
        </w:rPr>
        <w:t>实施行政处罚48件。按照规定时限将抽查结果通过南岸区政府门户网站、信用重庆网站及时公示，主动接受社会监督。</w:t>
      </w:r>
      <w:r>
        <w:rPr>
          <w:rFonts w:hint="default" w:ascii="Times New Roman" w:hAnsi="Times New Roman" w:eastAsia="方正仿宋_GBK" w:cs="Times New Roman"/>
          <w:b/>
          <w:bCs/>
          <w:sz w:val="32"/>
          <w:szCs w:val="32"/>
          <w:highlight w:val="none"/>
        </w:rPr>
        <w:t>三是扎实开展重点领域专项整治。</w:t>
      </w:r>
      <w:r>
        <w:rPr>
          <w:rFonts w:hint="default" w:ascii="Times New Roman" w:hAnsi="Times New Roman" w:eastAsia="方正仿宋_GBK" w:cs="Times New Roman"/>
          <w:sz w:val="32"/>
          <w:szCs w:val="32"/>
          <w:highlight w:val="none"/>
        </w:rPr>
        <w:t>深入开展口腔诊疗机构依法执业、助产机构母婴保健技术服务、现制现售饮用水卫生、职业卫生技术服务等8类卫生监督蓝盾以及打击无证行医、非法应用人类辅助生殖技术、传染病防治等专项执法行动</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立案查处174件。</w:t>
      </w:r>
      <w:r>
        <w:rPr>
          <w:rFonts w:hint="default" w:ascii="Times New Roman" w:hAnsi="Times New Roman" w:eastAsia="方正仿宋_GBK" w:cs="Times New Roman"/>
          <w:b/>
          <w:bCs/>
          <w:sz w:val="32"/>
          <w:szCs w:val="32"/>
          <w:highlight w:val="none"/>
        </w:rPr>
        <w:t>四是执法办案评优取得新成效。</w:t>
      </w:r>
      <w:r>
        <w:rPr>
          <w:rFonts w:hint="default" w:ascii="Times New Roman" w:hAnsi="Times New Roman" w:eastAsia="方正仿宋_GBK" w:cs="Times New Roman"/>
          <w:sz w:val="32"/>
          <w:szCs w:val="32"/>
          <w:highlight w:val="none"/>
        </w:rPr>
        <w:t>我区查办的全市首例非法开展人类辅</w:t>
      </w:r>
      <w:r>
        <w:rPr>
          <w:rFonts w:hint="default" w:ascii="Times New Roman" w:hAnsi="Times New Roman" w:eastAsia="方正仿宋_GBK" w:cs="Times New Roman"/>
          <w:sz w:val="32"/>
          <w:szCs w:val="32"/>
        </w:rPr>
        <w:t>助生殖技术案等3件卫生健康行政执法案例被市卫生健康委推荐为国家卫生健康优秀典型案例参评。其中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徐某、林某未经批准擅自开展人类辅助生殖技术案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获评2023年度川渝地区卫生健康行政执法典型案例、全市优秀案例和典型案例；</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重庆某科技有限公司某分公司未取得公共场所卫生许可证擅自营业案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获评全市典型案例。我区</w:t>
      </w:r>
      <w:r>
        <w:rPr>
          <w:rFonts w:hint="eastAsia" w:ascii="Times New Roman" w:hAnsi="Times New Roman" w:eastAsia="方正仿宋_GBK" w:cs="Times New Roman"/>
          <w:sz w:val="32"/>
          <w:szCs w:val="32"/>
          <w:lang w:val="en-US" w:eastAsia="zh-CN"/>
        </w:rPr>
        <w:t>1名</w:t>
      </w:r>
      <w:r>
        <w:rPr>
          <w:rFonts w:hint="default" w:ascii="Times New Roman" w:hAnsi="Times New Roman" w:eastAsia="方正仿宋_GBK" w:cs="Times New Roman"/>
          <w:sz w:val="32"/>
          <w:szCs w:val="32"/>
        </w:rPr>
        <w:t>执法人员获评2024年全市卫生健康优秀执法能手。</w:t>
      </w:r>
    </w:p>
    <w:p w14:paraId="60B8FFCC">
      <w:pPr>
        <w:pStyle w:val="13"/>
        <w:widowControl/>
        <w:spacing w:before="0" w:beforeAutospacing="0" w:after="0" w:afterAutospacing="0" w:line="594" w:lineRule="exact"/>
        <w:ind w:firstLine="640" w:firstLineChars="200"/>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（二）规范议事机制强化监督制约</w:t>
      </w:r>
    </w:p>
    <w:p w14:paraId="44324B9C">
      <w:pPr>
        <w:pStyle w:val="13"/>
        <w:widowControl/>
        <w:spacing w:before="0" w:beforeAutospacing="0" w:after="0" w:afterAutospacing="0" w:line="594" w:lineRule="exact"/>
        <w:ind w:firstLine="643" w:firstLineChars="200"/>
        <w:rPr>
          <w:rFonts w:eastAsia="方正仿宋_GBK"/>
          <w:color w:val="auto"/>
          <w:sz w:val="32"/>
          <w:szCs w:val="32"/>
        </w:rPr>
      </w:pPr>
      <w:r>
        <w:rPr>
          <w:rFonts w:eastAsia="方正仿宋_GBK"/>
          <w:b/>
          <w:bCs/>
          <w:sz w:val="32"/>
          <w:szCs w:val="32"/>
        </w:rPr>
        <w:t>1.健全重大行政制度机制。</w:t>
      </w:r>
      <w:r>
        <w:rPr>
          <w:rFonts w:eastAsia="方正仿宋_GBK"/>
          <w:sz w:val="32"/>
          <w:szCs w:val="32"/>
        </w:rPr>
        <w:t>落实重大行政决策社会稳定风险评估工作，严格执行民主集中制，贯彻</w:t>
      </w:r>
      <w:r>
        <w:rPr>
          <w:rFonts w:hint="eastAsia" w:eastAsia="方正仿宋_GBK"/>
          <w:sz w:val="32"/>
          <w:szCs w:val="32"/>
          <w:lang w:eastAsia="zh-CN"/>
        </w:rPr>
        <w:t>“</w:t>
      </w:r>
      <w:r>
        <w:rPr>
          <w:rFonts w:eastAsia="方正仿宋_GBK"/>
          <w:sz w:val="32"/>
          <w:szCs w:val="32"/>
        </w:rPr>
        <w:t>三重一大</w:t>
      </w:r>
      <w:r>
        <w:rPr>
          <w:rFonts w:hint="eastAsia" w:eastAsia="方正仿宋_GBK"/>
          <w:sz w:val="32"/>
          <w:szCs w:val="32"/>
          <w:lang w:eastAsia="zh-CN"/>
        </w:rPr>
        <w:t>”</w:t>
      </w:r>
      <w:r>
        <w:rPr>
          <w:rFonts w:eastAsia="方正仿宋_GBK"/>
          <w:sz w:val="32"/>
          <w:szCs w:val="32"/>
        </w:rPr>
        <w:t>集体决策、一把手</w:t>
      </w:r>
      <w:r>
        <w:rPr>
          <w:rFonts w:hint="eastAsia" w:eastAsia="方正仿宋_GBK"/>
          <w:sz w:val="32"/>
          <w:szCs w:val="32"/>
          <w:lang w:eastAsia="zh-CN"/>
        </w:rPr>
        <w:t>“</w:t>
      </w:r>
      <w:r>
        <w:rPr>
          <w:rFonts w:eastAsia="方正仿宋_GBK"/>
          <w:sz w:val="32"/>
          <w:szCs w:val="32"/>
        </w:rPr>
        <w:t>五不直接分管</w:t>
      </w:r>
      <w:r>
        <w:rPr>
          <w:rFonts w:hint="eastAsia" w:eastAsia="方正仿宋_GBK"/>
          <w:sz w:val="32"/>
          <w:szCs w:val="32"/>
          <w:lang w:eastAsia="zh-CN"/>
        </w:rPr>
        <w:t>”</w:t>
      </w:r>
      <w:r>
        <w:rPr>
          <w:rFonts w:eastAsia="方正仿宋_GBK"/>
          <w:sz w:val="32"/>
          <w:szCs w:val="32"/>
        </w:rPr>
        <w:t>和</w:t>
      </w:r>
      <w:r>
        <w:rPr>
          <w:rFonts w:hint="eastAsia" w:eastAsia="方正仿宋_GBK"/>
          <w:sz w:val="32"/>
          <w:szCs w:val="32"/>
          <w:lang w:eastAsia="zh-CN"/>
        </w:rPr>
        <w:t>“</w:t>
      </w:r>
      <w:r>
        <w:rPr>
          <w:rFonts w:eastAsia="方正仿宋_GBK"/>
          <w:sz w:val="32"/>
          <w:szCs w:val="32"/>
        </w:rPr>
        <w:t>末位表态</w:t>
      </w:r>
      <w:r>
        <w:rPr>
          <w:rFonts w:hint="eastAsia" w:eastAsia="方正仿宋_GBK"/>
          <w:sz w:val="32"/>
          <w:szCs w:val="32"/>
          <w:lang w:eastAsia="zh-CN"/>
        </w:rPr>
        <w:t>”</w:t>
      </w:r>
      <w:r>
        <w:rPr>
          <w:rFonts w:eastAsia="方正仿宋_GBK"/>
          <w:sz w:val="32"/>
          <w:szCs w:val="32"/>
        </w:rPr>
        <w:t>制度，严格按程序决策。</w:t>
      </w:r>
      <w:r>
        <w:rPr>
          <w:rFonts w:eastAsia="方正仿宋_GBK"/>
          <w:color w:val="auto"/>
          <w:sz w:val="32"/>
          <w:szCs w:val="32"/>
        </w:rPr>
        <w:t>202</w:t>
      </w:r>
      <w:r>
        <w:rPr>
          <w:rFonts w:hint="eastAsia" w:eastAsia="方正仿宋_GBK"/>
          <w:color w:val="auto"/>
          <w:sz w:val="32"/>
          <w:szCs w:val="32"/>
          <w:lang w:val="en-US" w:eastAsia="zh-CN"/>
        </w:rPr>
        <w:t>4</w:t>
      </w:r>
      <w:r>
        <w:rPr>
          <w:rFonts w:eastAsia="方正仿宋_GBK"/>
          <w:color w:val="auto"/>
          <w:sz w:val="32"/>
          <w:szCs w:val="32"/>
        </w:rPr>
        <w:t>年共实施决策</w:t>
      </w:r>
      <w:r>
        <w:rPr>
          <w:rFonts w:hint="eastAsia" w:eastAsia="方正仿宋_GBK"/>
          <w:color w:val="auto"/>
          <w:sz w:val="32"/>
          <w:szCs w:val="32"/>
          <w:lang w:eastAsia="zh-CN"/>
        </w:rPr>
        <w:t>“</w:t>
      </w:r>
      <w:r>
        <w:rPr>
          <w:rFonts w:eastAsia="方正仿宋_GBK"/>
          <w:color w:val="auto"/>
          <w:sz w:val="32"/>
          <w:szCs w:val="32"/>
        </w:rPr>
        <w:t>三重一大</w:t>
      </w:r>
      <w:r>
        <w:rPr>
          <w:rFonts w:hint="eastAsia" w:eastAsia="方正仿宋_GBK"/>
          <w:color w:val="auto"/>
          <w:sz w:val="32"/>
          <w:szCs w:val="32"/>
          <w:lang w:eastAsia="zh-CN"/>
        </w:rPr>
        <w:t>”</w:t>
      </w:r>
      <w:r>
        <w:rPr>
          <w:rFonts w:eastAsia="方正仿宋_GBK"/>
          <w:color w:val="auto"/>
          <w:sz w:val="32"/>
          <w:szCs w:val="32"/>
        </w:rPr>
        <w:t>事项</w:t>
      </w:r>
      <w:r>
        <w:rPr>
          <w:rFonts w:hint="eastAsia" w:eastAsia="方正仿宋_GBK"/>
          <w:color w:val="auto"/>
          <w:sz w:val="32"/>
          <w:szCs w:val="32"/>
          <w:lang w:val="en-US" w:eastAsia="zh-CN"/>
        </w:rPr>
        <w:t>119</w:t>
      </w:r>
      <w:r>
        <w:rPr>
          <w:rFonts w:eastAsia="方正仿宋_GBK"/>
          <w:color w:val="auto"/>
          <w:sz w:val="32"/>
          <w:szCs w:val="32"/>
        </w:rPr>
        <w:t>件，内容涵盖年度预算、基建、考核、执法及干部任免等，均按照事前、事中、事后进行监督检查。</w:t>
      </w:r>
    </w:p>
    <w:p w14:paraId="36702895">
      <w:pPr>
        <w:pStyle w:val="13"/>
        <w:widowControl/>
        <w:spacing w:before="0" w:beforeAutospacing="0" w:after="0" w:afterAutospacing="0" w:line="594" w:lineRule="exact"/>
        <w:ind w:firstLine="643" w:firstLineChars="200"/>
        <w:rPr>
          <w:rFonts w:eastAsia="方正仿宋_GBK"/>
          <w:color w:val="auto"/>
          <w:sz w:val="32"/>
          <w:szCs w:val="32"/>
        </w:rPr>
      </w:pPr>
      <w:r>
        <w:rPr>
          <w:rFonts w:eastAsia="方正仿宋_GBK"/>
          <w:b/>
          <w:bCs/>
          <w:sz w:val="32"/>
          <w:szCs w:val="32"/>
        </w:rPr>
        <w:t>2.强化行政权力监督制约。</w:t>
      </w:r>
      <w:r>
        <w:rPr>
          <w:rFonts w:eastAsia="方正仿宋_GBK"/>
          <w:sz w:val="32"/>
          <w:szCs w:val="32"/>
        </w:rPr>
        <w:t>严格落实行政执法监管职责，组织开展行政执法案卷评查，行政执法专项监督等内部层级执法稽查监督活动。认真办理人大代表建议和政协委员提案，</w:t>
      </w:r>
      <w:r>
        <w:rPr>
          <w:rFonts w:eastAsia="方正仿宋_GBK"/>
          <w:color w:val="auto"/>
          <w:sz w:val="32"/>
          <w:szCs w:val="32"/>
        </w:rPr>
        <w:t>202</w:t>
      </w:r>
      <w:r>
        <w:rPr>
          <w:rFonts w:hint="eastAsia" w:eastAsia="方正仿宋_GBK"/>
          <w:color w:val="auto"/>
          <w:sz w:val="32"/>
          <w:szCs w:val="32"/>
          <w:lang w:val="en-US" w:eastAsia="zh-CN"/>
        </w:rPr>
        <w:t>4</w:t>
      </w:r>
      <w:r>
        <w:rPr>
          <w:rFonts w:eastAsia="方正仿宋_GBK"/>
          <w:color w:val="auto"/>
          <w:sz w:val="32"/>
          <w:szCs w:val="32"/>
        </w:rPr>
        <w:t>年共收到</w:t>
      </w:r>
      <w:r>
        <w:rPr>
          <w:rFonts w:hint="eastAsia" w:eastAsia="方正仿宋_GBK"/>
          <w:color w:val="auto"/>
          <w:sz w:val="32"/>
          <w:szCs w:val="32"/>
          <w:lang w:val="en-US" w:eastAsia="zh-CN"/>
        </w:rPr>
        <w:t>南岸</w:t>
      </w:r>
      <w:r>
        <w:rPr>
          <w:rFonts w:hint="eastAsia" w:eastAsia="方正仿宋_GBK"/>
          <w:color w:val="auto"/>
          <w:sz w:val="32"/>
          <w:szCs w:val="32"/>
          <w:lang w:eastAsia="zh-CN"/>
        </w:rPr>
        <w:t>“</w:t>
      </w:r>
      <w:r>
        <w:rPr>
          <w:rFonts w:eastAsia="方正仿宋_GBK"/>
          <w:color w:val="auto"/>
          <w:sz w:val="32"/>
          <w:szCs w:val="32"/>
        </w:rPr>
        <w:t>两会</w:t>
      </w:r>
      <w:r>
        <w:rPr>
          <w:rFonts w:hint="eastAsia" w:eastAsia="方正仿宋_GBK"/>
          <w:color w:val="auto"/>
          <w:sz w:val="32"/>
          <w:szCs w:val="32"/>
          <w:lang w:eastAsia="zh-CN"/>
        </w:rPr>
        <w:t>”</w:t>
      </w:r>
      <w:r>
        <w:rPr>
          <w:rFonts w:eastAsia="方正仿宋_GBK"/>
          <w:color w:val="auto"/>
          <w:sz w:val="32"/>
          <w:szCs w:val="32"/>
        </w:rPr>
        <w:t>建议</w:t>
      </w:r>
      <w:bookmarkStart w:id="0" w:name="_GoBack"/>
      <w:bookmarkEnd w:id="0"/>
      <w:r>
        <w:rPr>
          <w:rFonts w:eastAsia="方正仿宋_GBK"/>
          <w:color w:val="auto"/>
          <w:sz w:val="32"/>
          <w:szCs w:val="32"/>
        </w:rPr>
        <w:t>提案</w:t>
      </w:r>
      <w:r>
        <w:rPr>
          <w:rFonts w:hint="eastAsia" w:eastAsia="方正仿宋_GBK"/>
          <w:color w:val="auto"/>
          <w:sz w:val="32"/>
          <w:szCs w:val="32"/>
          <w:lang w:val="en-US" w:eastAsia="zh-CN"/>
        </w:rPr>
        <w:t>36</w:t>
      </w:r>
      <w:r>
        <w:rPr>
          <w:rFonts w:eastAsia="方正仿宋_GBK"/>
          <w:color w:val="auto"/>
          <w:sz w:val="32"/>
          <w:szCs w:val="32"/>
        </w:rPr>
        <w:t>件，其中人大建议</w:t>
      </w:r>
      <w:r>
        <w:rPr>
          <w:rFonts w:hint="eastAsia" w:eastAsia="方正仿宋_GBK"/>
          <w:color w:val="auto"/>
          <w:sz w:val="32"/>
          <w:szCs w:val="32"/>
          <w:lang w:val="en-US" w:eastAsia="zh-CN"/>
        </w:rPr>
        <w:t>10</w:t>
      </w:r>
      <w:r>
        <w:rPr>
          <w:rFonts w:eastAsia="方正仿宋_GBK"/>
          <w:color w:val="auto"/>
          <w:sz w:val="32"/>
          <w:szCs w:val="32"/>
        </w:rPr>
        <w:t>件、政协提案</w:t>
      </w:r>
      <w:r>
        <w:rPr>
          <w:rFonts w:hint="eastAsia" w:eastAsia="方正仿宋_GBK"/>
          <w:color w:val="auto"/>
          <w:sz w:val="32"/>
          <w:szCs w:val="32"/>
          <w:lang w:val="en-US" w:eastAsia="zh-CN"/>
        </w:rPr>
        <w:t>26</w:t>
      </w:r>
      <w:r>
        <w:rPr>
          <w:rFonts w:eastAsia="方正仿宋_GBK"/>
          <w:color w:val="auto"/>
          <w:sz w:val="32"/>
          <w:szCs w:val="32"/>
        </w:rPr>
        <w:t>件，答复率、面商率和满意率均达到100%。</w:t>
      </w:r>
    </w:p>
    <w:p w14:paraId="566D8467">
      <w:pPr>
        <w:pStyle w:val="13"/>
        <w:widowControl/>
        <w:spacing w:before="0" w:beforeAutospacing="0" w:after="0" w:afterAutospacing="0" w:line="594" w:lineRule="exact"/>
        <w:ind w:firstLine="640" w:firstLineChars="200"/>
        <w:rPr>
          <w:rFonts w:eastAsia="方正楷体_GBK"/>
          <w:kern w:val="2"/>
          <w:sz w:val="32"/>
          <w:szCs w:val="32"/>
        </w:rPr>
      </w:pPr>
      <w:r>
        <w:rPr>
          <w:rFonts w:eastAsia="方正楷体_GBK"/>
          <w:kern w:val="2"/>
          <w:sz w:val="32"/>
          <w:szCs w:val="32"/>
        </w:rPr>
        <w:t>（三）依法有效化解社会矛盾</w:t>
      </w:r>
    </w:p>
    <w:p w14:paraId="002138D2">
      <w:pPr>
        <w:pStyle w:val="13"/>
        <w:widowControl/>
        <w:spacing w:before="0" w:beforeAutospacing="0" w:after="0" w:afterAutospacing="0" w:line="594" w:lineRule="exact"/>
        <w:ind w:firstLine="643" w:firstLineChars="200"/>
        <w:rPr>
          <w:rFonts w:eastAsia="方正仿宋_GBK"/>
          <w:color w:val="FF0000"/>
          <w:sz w:val="32"/>
          <w:szCs w:val="32"/>
        </w:rPr>
      </w:pPr>
      <w:r>
        <w:rPr>
          <w:rFonts w:eastAsia="方正仿宋_GBK"/>
          <w:b/>
          <w:bCs/>
          <w:sz w:val="32"/>
          <w:szCs w:val="32"/>
        </w:rPr>
        <w:t>1.健全医疗纠纷预防化解机制。</w:t>
      </w:r>
      <w:r>
        <w:rPr>
          <w:rFonts w:eastAsia="方正仿宋_GBK"/>
          <w:sz w:val="32"/>
          <w:szCs w:val="32"/>
        </w:rPr>
        <w:t>推进以人民调解为主，院内调解、司法调解、医疗风险分担机制有机结合的医疗纠纷预防与处理制度，切实维护患者的合法权益。</w:t>
      </w:r>
      <w:r>
        <w:rPr>
          <w:rFonts w:hint="eastAsia" w:eastAsia="方正仿宋_GBK"/>
          <w:color w:val="auto"/>
          <w:sz w:val="32"/>
          <w:szCs w:val="32"/>
        </w:rPr>
        <w:t>202</w:t>
      </w:r>
      <w:r>
        <w:rPr>
          <w:rFonts w:hint="eastAsia" w:eastAsia="方正仿宋_GBK"/>
          <w:color w:val="auto"/>
          <w:sz w:val="32"/>
          <w:szCs w:val="32"/>
          <w:lang w:val="en-US" w:eastAsia="zh-CN"/>
        </w:rPr>
        <w:t>4</w:t>
      </w:r>
      <w:r>
        <w:rPr>
          <w:rFonts w:hint="eastAsia" w:eastAsia="方正仿宋_GBK"/>
          <w:color w:val="auto"/>
          <w:sz w:val="32"/>
          <w:szCs w:val="32"/>
        </w:rPr>
        <w:t>年，区卫生健康委共收到医疗投诉</w:t>
      </w:r>
      <w:r>
        <w:rPr>
          <w:rFonts w:hint="eastAsia" w:eastAsia="方正仿宋_GBK"/>
          <w:color w:val="auto"/>
          <w:sz w:val="32"/>
          <w:szCs w:val="32"/>
          <w:lang w:val="en-US" w:eastAsia="zh-CN"/>
        </w:rPr>
        <w:t>358</w:t>
      </w:r>
      <w:r>
        <w:rPr>
          <w:rFonts w:hint="eastAsia" w:eastAsia="方正仿宋_GBK"/>
          <w:color w:val="auto"/>
          <w:sz w:val="32"/>
          <w:szCs w:val="32"/>
        </w:rPr>
        <w:t>件，经处置患者满意的投诉为</w:t>
      </w:r>
      <w:r>
        <w:rPr>
          <w:rFonts w:hint="eastAsia" w:eastAsia="方正仿宋_GBK"/>
          <w:color w:val="auto"/>
          <w:sz w:val="32"/>
          <w:szCs w:val="32"/>
          <w:lang w:val="en-US" w:eastAsia="zh-CN"/>
        </w:rPr>
        <w:t>301</w:t>
      </w:r>
      <w:r>
        <w:rPr>
          <w:rFonts w:hint="eastAsia" w:eastAsia="方正仿宋_GBK"/>
          <w:color w:val="auto"/>
          <w:sz w:val="32"/>
          <w:szCs w:val="32"/>
        </w:rPr>
        <w:t>件，调解满意率为</w:t>
      </w:r>
      <w:r>
        <w:rPr>
          <w:rFonts w:hint="eastAsia" w:eastAsia="方正仿宋_GBK"/>
          <w:color w:val="auto"/>
          <w:sz w:val="32"/>
          <w:szCs w:val="32"/>
          <w:lang w:val="en-US" w:eastAsia="zh-CN"/>
        </w:rPr>
        <w:t>84.08</w:t>
      </w:r>
      <w:r>
        <w:rPr>
          <w:rFonts w:hint="eastAsia" w:eastAsia="方正仿宋_GBK"/>
          <w:color w:val="auto"/>
          <w:sz w:val="32"/>
          <w:szCs w:val="32"/>
        </w:rPr>
        <w:t>%。区医疗纠纷调解委员会受理医疗纠纷调解申请</w:t>
      </w:r>
      <w:r>
        <w:rPr>
          <w:rFonts w:hint="eastAsia" w:eastAsia="方正仿宋_GBK"/>
          <w:color w:val="auto"/>
          <w:sz w:val="32"/>
          <w:szCs w:val="32"/>
          <w:lang w:val="en-US" w:eastAsia="zh-CN"/>
        </w:rPr>
        <w:t>52</w:t>
      </w:r>
      <w:r>
        <w:rPr>
          <w:rFonts w:hint="eastAsia" w:eastAsia="方正仿宋_GBK"/>
          <w:color w:val="auto"/>
          <w:sz w:val="32"/>
          <w:szCs w:val="32"/>
        </w:rPr>
        <w:t>件，经调解后签订调解协议书</w:t>
      </w:r>
      <w:r>
        <w:rPr>
          <w:rFonts w:hint="eastAsia" w:eastAsia="方正仿宋_GBK"/>
          <w:color w:val="auto"/>
          <w:sz w:val="32"/>
          <w:szCs w:val="32"/>
          <w:lang w:val="en-US" w:eastAsia="zh-CN"/>
        </w:rPr>
        <w:t>50</w:t>
      </w:r>
      <w:r>
        <w:rPr>
          <w:rFonts w:hint="eastAsia" w:eastAsia="方正仿宋_GBK"/>
          <w:color w:val="auto"/>
          <w:sz w:val="32"/>
          <w:szCs w:val="32"/>
        </w:rPr>
        <w:t>件，调解成功率为</w:t>
      </w:r>
      <w:r>
        <w:rPr>
          <w:rFonts w:hint="eastAsia" w:eastAsia="方正仿宋_GBK"/>
          <w:color w:val="auto"/>
          <w:sz w:val="32"/>
          <w:szCs w:val="32"/>
          <w:lang w:val="en-US" w:eastAsia="zh-CN"/>
        </w:rPr>
        <w:t>96.15</w:t>
      </w:r>
      <w:r>
        <w:rPr>
          <w:rFonts w:hint="eastAsia" w:eastAsia="方正仿宋_GBK"/>
          <w:color w:val="auto"/>
          <w:sz w:val="32"/>
          <w:szCs w:val="32"/>
        </w:rPr>
        <w:t>%。</w:t>
      </w:r>
    </w:p>
    <w:p w14:paraId="6DE5EFE7">
      <w:pPr>
        <w:pStyle w:val="13"/>
        <w:widowControl/>
        <w:spacing w:before="0" w:beforeAutospacing="0" w:after="0" w:afterAutospacing="0" w:line="594" w:lineRule="exact"/>
        <w:ind w:firstLine="643" w:firstLineChars="200"/>
        <w:rPr>
          <w:rFonts w:eastAsia="方正仿宋_GBK"/>
          <w:color w:val="auto"/>
          <w:sz w:val="32"/>
          <w:szCs w:val="32"/>
        </w:rPr>
      </w:pPr>
      <w:r>
        <w:rPr>
          <w:rFonts w:eastAsia="方正仿宋_GBK"/>
          <w:b/>
          <w:bCs/>
          <w:sz w:val="32"/>
          <w:szCs w:val="32"/>
        </w:rPr>
        <w:t>2.做好行政复议应诉工作。</w:t>
      </w:r>
      <w:r>
        <w:rPr>
          <w:rFonts w:eastAsia="方正仿宋_GBK"/>
          <w:sz w:val="32"/>
          <w:szCs w:val="32"/>
        </w:rPr>
        <w:t>落实行政机关负责人出庭应诉、支持法院受理案件、尊重并执行法院生效裁判等制度，按规定程序和时限移送行政复议申请，</w:t>
      </w:r>
      <w:r>
        <w:rPr>
          <w:rFonts w:eastAsia="方正仿宋_GBK"/>
          <w:color w:val="auto"/>
          <w:sz w:val="32"/>
          <w:szCs w:val="32"/>
        </w:rPr>
        <w:t>全年</w:t>
      </w:r>
      <w:r>
        <w:rPr>
          <w:rFonts w:hint="eastAsia" w:eastAsia="方正仿宋_GBK"/>
          <w:color w:val="auto"/>
          <w:sz w:val="32"/>
          <w:szCs w:val="32"/>
          <w:lang w:val="en-US" w:eastAsia="zh-CN"/>
        </w:rPr>
        <w:t>应诉</w:t>
      </w:r>
      <w:r>
        <w:rPr>
          <w:rFonts w:eastAsia="方正仿宋_GBK"/>
          <w:color w:val="auto"/>
          <w:sz w:val="32"/>
          <w:szCs w:val="32"/>
        </w:rPr>
        <w:t>行政诉讼案件</w:t>
      </w:r>
      <w:r>
        <w:rPr>
          <w:rFonts w:hint="eastAsia" w:eastAsia="方正仿宋_GBK"/>
          <w:color w:val="auto"/>
          <w:sz w:val="32"/>
          <w:szCs w:val="32"/>
          <w:lang w:val="en-US" w:eastAsia="zh-CN"/>
        </w:rPr>
        <w:t>4</w:t>
      </w:r>
      <w:r>
        <w:rPr>
          <w:rFonts w:eastAsia="方正仿宋_GBK"/>
          <w:color w:val="auto"/>
          <w:sz w:val="32"/>
          <w:szCs w:val="32"/>
        </w:rPr>
        <w:t>起</w:t>
      </w:r>
      <w:r>
        <w:rPr>
          <w:rFonts w:hint="eastAsia" w:eastAsia="方正仿宋_GBK"/>
          <w:color w:val="auto"/>
          <w:sz w:val="32"/>
          <w:szCs w:val="32"/>
          <w:lang w:eastAsia="zh-CN"/>
        </w:rPr>
        <w:t>，</w:t>
      </w:r>
      <w:r>
        <w:rPr>
          <w:rFonts w:eastAsia="方正仿宋_GBK"/>
          <w:color w:val="auto"/>
          <w:sz w:val="32"/>
          <w:szCs w:val="32"/>
        </w:rPr>
        <w:t>行政复议案件</w:t>
      </w:r>
      <w:r>
        <w:rPr>
          <w:rFonts w:hint="eastAsia" w:eastAsia="方正仿宋_GBK"/>
          <w:color w:val="auto"/>
          <w:sz w:val="32"/>
          <w:szCs w:val="32"/>
          <w:lang w:val="en-US" w:eastAsia="zh-CN"/>
        </w:rPr>
        <w:t>6</w:t>
      </w:r>
      <w:r>
        <w:rPr>
          <w:rFonts w:eastAsia="方正仿宋_GBK"/>
          <w:color w:val="auto"/>
          <w:sz w:val="32"/>
          <w:szCs w:val="32"/>
        </w:rPr>
        <w:t>起</w:t>
      </w:r>
      <w:r>
        <w:rPr>
          <w:rFonts w:hint="eastAsia" w:eastAsia="方正仿宋_GBK"/>
          <w:color w:val="auto"/>
          <w:sz w:val="32"/>
          <w:szCs w:val="32"/>
          <w:lang w:eastAsia="zh-CN"/>
        </w:rPr>
        <w:t>，</w:t>
      </w:r>
      <w:r>
        <w:rPr>
          <w:rFonts w:hint="eastAsia" w:eastAsia="方正仿宋_GBK"/>
          <w:color w:val="auto"/>
          <w:sz w:val="32"/>
          <w:szCs w:val="32"/>
          <w:lang w:val="en-US" w:eastAsia="zh-CN"/>
        </w:rPr>
        <w:t>无行政诉讼败诉、无行政复议被撤销情况</w:t>
      </w:r>
      <w:r>
        <w:rPr>
          <w:rFonts w:eastAsia="方正仿宋_GBK"/>
          <w:color w:val="auto"/>
          <w:sz w:val="32"/>
          <w:szCs w:val="32"/>
        </w:rPr>
        <w:t>。</w:t>
      </w:r>
    </w:p>
    <w:p w14:paraId="4E948A23">
      <w:pPr>
        <w:pStyle w:val="13"/>
        <w:widowControl/>
        <w:spacing w:before="0" w:beforeAutospacing="0" w:after="0" w:afterAutospacing="0" w:line="594" w:lineRule="exact"/>
        <w:ind w:firstLine="643" w:firstLineChars="200"/>
        <w:rPr>
          <w:rFonts w:eastAsia="方正仿宋_GBK"/>
          <w:color w:val="FF0000"/>
          <w:sz w:val="32"/>
          <w:szCs w:val="32"/>
        </w:rPr>
      </w:pPr>
      <w:r>
        <w:rPr>
          <w:rFonts w:eastAsia="方正仿宋_GBK"/>
          <w:b/>
          <w:bCs/>
          <w:sz w:val="32"/>
          <w:szCs w:val="32"/>
        </w:rPr>
        <w:t>3.依法依规处理信访事项</w:t>
      </w:r>
      <w:r>
        <w:rPr>
          <w:rFonts w:eastAsia="方正仿宋_GBK"/>
          <w:sz w:val="32"/>
          <w:szCs w:val="32"/>
        </w:rPr>
        <w:t>。合理运用矛盾纠纷排查化解机制，推进依法分类处理信访诉求。畅通群众诉求表达、利益协调和权益保障渠道，维护信访秩序</w:t>
      </w:r>
      <w:r>
        <w:rPr>
          <w:rFonts w:eastAsia="方正仿宋_GBK"/>
          <w:color w:val="auto"/>
          <w:sz w:val="32"/>
          <w:szCs w:val="32"/>
        </w:rPr>
        <w:t>。202</w:t>
      </w:r>
      <w:r>
        <w:rPr>
          <w:rFonts w:hint="eastAsia" w:eastAsia="方正仿宋_GBK"/>
          <w:color w:val="auto"/>
          <w:sz w:val="32"/>
          <w:szCs w:val="32"/>
          <w:lang w:val="en-US" w:eastAsia="zh-CN"/>
        </w:rPr>
        <w:t>4</w:t>
      </w:r>
      <w:r>
        <w:rPr>
          <w:rFonts w:eastAsia="方正仿宋_GBK"/>
          <w:color w:val="auto"/>
          <w:sz w:val="32"/>
          <w:szCs w:val="32"/>
        </w:rPr>
        <w:t>年，共受理各类信访件</w:t>
      </w:r>
      <w:r>
        <w:rPr>
          <w:rFonts w:hint="eastAsia" w:eastAsia="方正仿宋_GBK"/>
          <w:color w:val="auto"/>
          <w:sz w:val="32"/>
          <w:szCs w:val="32"/>
          <w:lang w:val="en-US" w:eastAsia="zh-CN"/>
        </w:rPr>
        <w:t>1028</w:t>
      </w:r>
      <w:r>
        <w:rPr>
          <w:rFonts w:eastAsia="方正仿宋_GBK"/>
          <w:color w:val="auto"/>
          <w:sz w:val="32"/>
          <w:szCs w:val="32"/>
        </w:rPr>
        <w:t>件，均按要求及时办理，做到事实清楚、结论正确、处理恰当。</w:t>
      </w:r>
    </w:p>
    <w:p w14:paraId="142DE8DA">
      <w:pPr>
        <w:pStyle w:val="13"/>
        <w:widowControl/>
        <w:spacing w:before="0" w:beforeAutospacing="0" w:after="0" w:afterAutospacing="0" w:line="594" w:lineRule="exact"/>
        <w:ind w:firstLine="640" w:firstLineChars="200"/>
        <w:rPr>
          <w:rFonts w:eastAsia="方正黑体_GBK"/>
          <w:kern w:val="2"/>
          <w:sz w:val="32"/>
          <w:szCs w:val="32"/>
        </w:rPr>
      </w:pPr>
      <w:r>
        <w:rPr>
          <w:rFonts w:eastAsia="方正黑体_GBK"/>
          <w:kern w:val="2"/>
          <w:sz w:val="32"/>
          <w:szCs w:val="32"/>
        </w:rPr>
        <w:t>二、202</w:t>
      </w:r>
      <w:r>
        <w:rPr>
          <w:rFonts w:hint="eastAsia" w:eastAsia="方正黑体_GBK"/>
          <w:kern w:val="2"/>
          <w:sz w:val="32"/>
          <w:szCs w:val="32"/>
          <w:lang w:val="en-US" w:eastAsia="zh-CN"/>
        </w:rPr>
        <w:t>4</w:t>
      </w:r>
      <w:r>
        <w:rPr>
          <w:rFonts w:eastAsia="方正黑体_GBK"/>
          <w:kern w:val="2"/>
          <w:sz w:val="32"/>
          <w:szCs w:val="32"/>
        </w:rPr>
        <w:t>年党政主要负责人履行推进法治建设第一责任人职责，加强法治政府建设的有关情况</w:t>
      </w:r>
    </w:p>
    <w:p w14:paraId="3772A835">
      <w:pPr>
        <w:pStyle w:val="13"/>
        <w:widowControl/>
        <w:spacing w:before="0" w:beforeAutospacing="0" w:after="0" w:afterAutospacing="0" w:line="594" w:lineRule="exact"/>
        <w:ind w:firstLine="640" w:firstLineChars="200"/>
        <w:rPr>
          <w:rFonts w:eastAsia="方正仿宋_GBK"/>
          <w:color w:val="FF0000"/>
          <w:sz w:val="32"/>
          <w:szCs w:val="32"/>
        </w:rPr>
      </w:pPr>
      <w:r>
        <w:rPr>
          <w:rFonts w:eastAsia="方正楷体_GBK"/>
          <w:kern w:val="2"/>
          <w:sz w:val="32"/>
          <w:szCs w:val="32"/>
        </w:rPr>
        <w:t>（一）积极开展法治学习。</w:t>
      </w:r>
      <w:r>
        <w:rPr>
          <w:rFonts w:eastAsia="方正仿宋_GBK"/>
          <w:sz w:val="32"/>
          <w:szCs w:val="32"/>
        </w:rPr>
        <w:t>严格落实党政主要负责人推进法治建设第一责任人的要求，党政主要负责人自觉带领班子成员深入学习贯彻落实</w:t>
      </w:r>
      <w:r>
        <w:rPr>
          <w:rFonts w:eastAsia="方正仿宋_GBK"/>
          <w:sz w:val="32"/>
          <w:szCs w:val="32"/>
          <w:highlight w:val="none"/>
        </w:rPr>
        <w:t>习近平</w:t>
      </w:r>
      <w:r>
        <w:rPr>
          <w:rFonts w:hint="eastAsia" w:eastAsia="方正仿宋_GBK"/>
          <w:sz w:val="32"/>
          <w:szCs w:val="32"/>
          <w:highlight w:val="none"/>
          <w:lang w:val="en-US" w:eastAsia="zh-CN"/>
        </w:rPr>
        <w:t>法治思想</w:t>
      </w:r>
      <w:r>
        <w:rPr>
          <w:rFonts w:hint="eastAsia" w:eastAsia="方正仿宋_GBK"/>
          <w:sz w:val="32"/>
          <w:szCs w:val="32"/>
          <w:lang w:val="en-US" w:eastAsia="zh-CN"/>
        </w:rPr>
        <w:t>和关于全面依法治国的新思想新论断，</w:t>
      </w:r>
      <w:r>
        <w:rPr>
          <w:rFonts w:eastAsia="方正仿宋_GBK"/>
          <w:sz w:val="32"/>
          <w:szCs w:val="32"/>
        </w:rPr>
        <w:t>用法治理论武装头脑、指导实践、推动工作，</w:t>
      </w:r>
      <w:r>
        <w:rPr>
          <w:rFonts w:eastAsia="方正仿宋_GBK"/>
          <w:color w:val="auto"/>
          <w:sz w:val="32"/>
          <w:szCs w:val="32"/>
        </w:rPr>
        <w:t>积极落实领导班子重大行政执法决定集体讨论决定制度，全年共讨论研究重大案件</w:t>
      </w:r>
      <w:r>
        <w:rPr>
          <w:rFonts w:hint="eastAsia" w:eastAsia="方正仿宋_GBK"/>
          <w:color w:val="auto"/>
          <w:sz w:val="32"/>
          <w:szCs w:val="32"/>
          <w:lang w:val="en-US" w:eastAsia="zh-CN"/>
        </w:rPr>
        <w:t>9</w:t>
      </w:r>
      <w:r>
        <w:rPr>
          <w:rFonts w:eastAsia="方正仿宋_GBK"/>
          <w:color w:val="auto"/>
          <w:sz w:val="32"/>
          <w:szCs w:val="32"/>
        </w:rPr>
        <w:t>件。</w:t>
      </w:r>
    </w:p>
    <w:p w14:paraId="5D90E6CA">
      <w:pPr>
        <w:spacing w:line="596" w:lineRule="exact"/>
        <w:ind w:firstLine="640" w:firstLineChars="200"/>
        <w:rPr>
          <w:color w:val="FF0000"/>
          <w:sz w:val="32"/>
          <w:szCs w:val="32"/>
        </w:rPr>
      </w:pPr>
      <w:r>
        <w:rPr>
          <w:rFonts w:eastAsia="方正楷体_GBK"/>
          <w:kern w:val="2"/>
          <w:sz w:val="32"/>
          <w:szCs w:val="32"/>
        </w:rPr>
        <w:t>（二）强化法治能力建设。</w:t>
      </w:r>
      <w:r>
        <w:rPr>
          <w:rFonts w:eastAsia="方正仿宋_GBK"/>
          <w:sz w:val="32"/>
          <w:szCs w:val="32"/>
        </w:rPr>
        <w:t>党政主要负责人高度重视法治政府建设，坚持党的集中统一领导，坚持贯彻中国特色社会主义法治理论，坚持以人民为中心，坚持法治和德治相结合，严格落实重大行政决策程序制度，充分发挥法律顾问在重大行政决策中的作用，持续加强法治队伍建设</w:t>
      </w:r>
      <w:r>
        <w:rPr>
          <w:rFonts w:eastAsia="方正仿宋_GBK"/>
          <w:color w:val="auto"/>
          <w:sz w:val="32"/>
          <w:szCs w:val="32"/>
        </w:rPr>
        <w:t>。</w:t>
      </w:r>
      <w:r>
        <w:rPr>
          <w:rFonts w:hint="eastAsia" w:eastAsia="方正仿宋_GBK"/>
          <w:color w:val="auto"/>
          <w:sz w:val="32"/>
          <w:szCs w:val="32"/>
        </w:rPr>
        <w:t>深入开展《民法典》</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信访工作</w:t>
      </w:r>
      <w:r>
        <w:rPr>
          <w:rFonts w:hint="default" w:ascii="Times New Roman" w:hAnsi="Times New Roman" w:eastAsia="方正仿宋_GBK" w:cs="Times New Roman"/>
          <w:b w:val="0"/>
          <w:bCs w:val="0"/>
          <w:color w:val="auto"/>
          <w:sz w:val="32"/>
          <w:szCs w:val="32"/>
          <w:highlight w:val="none"/>
        </w:rPr>
        <w:t>条例》</w:t>
      </w:r>
      <w:r>
        <w:rPr>
          <w:rFonts w:hint="eastAsia" w:eastAsia="方正仿宋_GBK"/>
          <w:color w:val="auto"/>
          <w:sz w:val="32"/>
          <w:szCs w:val="32"/>
        </w:rPr>
        <w:t>等法律法规培训学习</w:t>
      </w:r>
      <w:r>
        <w:rPr>
          <w:rFonts w:hint="eastAsia" w:eastAsia="方正仿宋_GBK"/>
          <w:color w:val="auto"/>
          <w:sz w:val="32"/>
          <w:szCs w:val="32"/>
          <w:lang w:eastAsia="zh-CN"/>
        </w:rPr>
        <w:t>，</w:t>
      </w:r>
      <w:r>
        <w:rPr>
          <w:rFonts w:hint="default" w:ascii="Times New Roman" w:hAnsi="Times New Roman" w:eastAsia="方正仿宋_GBK" w:cs="Times New Roman"/>
          <w:b w:val="0"/>
          <w:bCs w:val="0"/>
          <w:color w:val="auto"/>
          <w:sz w:val="32"/>
          <w:szCs w:val="32"/>
        </w:rPr>
        <w:t>开展</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宪法宣传日</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三月法治宣传月</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职业病防治法宣传周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中华人民共和国妇女权益保法</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世界标准日宣传周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公平竞争宣传周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等</w:t>
      </w:r>
      <w:r>
        <w:rPr>
          <w:rFonts w:hint="default" w:ascii="Times New Roman" w:hAnsi="Times New Roman" w:eastAsia="方正仿宋_GBK" w:cs="Times New Roman"/>
          <w:b w:val="0"/>
          <w:bCs w:val="0"/>
          <w:color w:val="auto"/>
          <w:sz w:val="32"/>
          <w:szCs w:val="32"/>
        </w:rPr>
        <w:t>普法宣传活动</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2024年</w:t>
      </w:r>
      <w:r>
        <w:rPr>
          <w:rFonts w:hint="default" w:ascii="Times New Roman" w:hAnsi="Times New Roman" w:eastAsia="方正仿宋_GBK" w:cs="Times New Roman"/>
          <w:b w:val="0"/>
          <w:bCs w:val="0"/>
          <w:color w:val="auto"/>
          <w:sz w:val="32"/>
          <w:szCs w:val="32"/>
          <w:highlight w:val="none"/>
        </w:rPr>
        <w:t>全系统共开展培训</w:t>
      </w:r>
      <w:r>
        <w:rPr>
          <w:rFonts w:hint="eastAsia"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0余</w:t>
      </w:r>
      <w:r>
        <w:rPr>
          <w:rFonts w:hint="default" w:ascii="Times New Roman" w:hAnsi="Times New Roman" w:eastAsia="方正仿宋_GBK" w:cs="Times New Roman"/>
          <w:b w:val="0"/>
          <w:bCs w:val="0"/>
          <w:color w:val="auto"/>
          <w:sz w:val="32"/>
          <w:szCs w:val="32"/>
          <w:highlight w:val="none"/>
        </w:rPr>
        <w:t>场，举办法制讲座</w:t>
      </w:r>
      <w:r>
        <w:rPr>
          <w:rFonts w:hint="eastAsia"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APP等</w:t>
      </w:r>
      <w:r>
        <w:rPr>
          <w:rFonts w:hint="default" w:ascii="Times New Roman" w:hAnsi="Times New Roman" w:eastAsia="方正仿宋_GBK" w:cs="Times New Roman"/>
          <w:b w:val="0"/>
          <w:bCs w:val="0"/>
          <w:color w:val="auto"/>
          <w:sz w:val="32"/>
          <w:szCs w:val="32"/>
          <w:highlight w:val="none"/>
        </w:rPr>
        <w:t>媒体</w:t>
      </w:r>
      <w:r>
        <w:rPr>
          <w:rFonts w:hint="default" w:ascii="Times New Roman" w:hAnsi="Times New Roman" w:eastAsia="方正仿宋_GBK" w:cs="Times New Roman"/>
          <w:b w:val="0"/>
          <w:bCs w:val="0"/>
          <w:color w:val="auto"/>
          <w:sz w:val="32"/>
          <w:szCs w:val="32"/>
          <w:highlight w:val="none"/>
          <w:lang w:eastAsia="zh-CN"/>
        </w:rPr>
        <w:t>宣传</w:t>
      </w:r>
      <w:r>
        <w:rPr>
          <w:rFonts w:hint="eastAsia" w:eastAsia="方正仿宋_GBK" w:cs="Times New Roman"/>
          <w:b w:val="0"/>
          <w:bCs w:val="0"/>
          <w:color w:val="auto"/>
          <w:sz w:val="32"/>
          <w:szCs w:val="32"/>
          <w:highlight w:val="none"/>
          <w:lang w:val="en-US" w:eastAsia="zh-CN"/>
        </w:rPr>
        <w:t>600</w:t>
      </w:r>
      <w:r>
        <w:rPr>
          <w:rFonts w:hint="eastAsia" w:ascii="Times New Roman" w:hAnsi="Times New Roman" w:eastAsia="方正仿宋_GBK" w:cs="Times New Roman"/>
          <w:b w:val="0"/>
          <w:bCs w:val="0"/>
          <w:color w:val="auto"/>
          <w:sz w:val="32"/>
          <w:szCs w:val="32"/>
          <w:highlight w:val="none"/>
          <w:lang w:val="en-US" w:eastAsia="zh-CN"/>
        </w:rPr>
        <w:t>余</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val="en-US" w:eastAsia="zh-CN"/>
        </w:rPr>
        <w:t>LED</w:t>
      </w:r>
      <w:r>
        <w:rPr>
          <w:rFonts w:hint="default" w:ascii="Times New Roman" w:hAnsi="Times New Roman" w:eastAsia="方正仿宋_GBK" w:cs="Times New Roman"/>
          <w:b w:val="0"/>
          <w:bCs w:val="0"/>
          <w:color w:val="auto"/>
          <w:sz w:val="32"/>
          <w:szCs w:val="32"/>
          <w:highlight w:val="none"/>
        </w:rPr>
        <w:t>投放公益广告</w:t>
      </w:r>
      <w:r>
        <w:rPr>
          <w:rFonts w:hint="eastAsia" w:eastAsia="方正仿宋_GBK" w:cs="Times New Roman"/>
          <w:b w:val="0"/>
          <w:bCs w:val="0"/>
          <w:color w:val="auto"/>
          <w:sz w:val="32"/>
          <w:szCs w:val="32"/>
          <w:highlight w:val="none"/>
          <w:lang w:val="en-US" w:eastAsia="zh-CN"/>
        </w:rPr>
        <w:t>300</w:t>
      </w:r>
      <w:r>
        <w:rPr>
          <w:rFonts w:hint="default" w:ascii="Times New Roman" w:hAnsi="Times New Roman" w:eastAsia="方正仿宋_GBK" w:cs="Times New Roman"/>
          <w:b w:val="0"/>
          <w:bCs w:val="0"/>
          <w:color w:val="auto"/>
          <w:sz w:val="32"/>
          <w:szCs w:val="32"/>
          <w:highlight w:val="none"/>
        </w:rPr>
        <w:t>条，</w:t>
      </w:r>
      <w:r>
        <w:rPr>
          <w:rFonts w:hint="default" w:ascii="Times New Roman" w:hAnsi="Times New Roman" w:eastAsia="方正仿宋_GBK" w:cs="Times New Roman"/>
          <w:color w:val="auto"/>
          <w:sz w:val="32"/>
          <w:szCs w:val="32"/>
          <w:highlight w:val="none"/>
          <w:lang w:val="en-US" w:eastAsia="zh-CN"/>
        </w:rPr>
        <w:t>参与人数达到1000人</w:t>
      </w:r>
      <w:r>
        <w:rPr>
          <w:rFonts w:hint="eastAsia" w:ascii="Times New Roman" w:hAnsi="Times New Roman" w:eastAsia="方正仿宋_GBK" w:cs="Times New Roman"/>
          <w:color w:val="auto"/>
          <w:sz w:val="32"/>
          <w:szCs w:val="32"/>
          <w:highlight w:val="none"/>
          <w:lang w:val="en-US" w:eastAsia="zh-CN"/>
        </w:rPr>
        <w:t>次</w:t>
      </w:r>
      <w:r>
        <w:rPr>
          <w:rFonts w:hint="default" w:ascii="Times New Roman" w:hAnsi="Times New Roman" w:eastAsia="方正仿宋_GBK" w:cs="Times New Roman"/>
          <w:color w:val="auto"/>
          <w:sz w:val="32"/>
          <w:szCs w:val="32"/>
          <w:highlight w:val="none"/>
          <w:lang w:val="en-US" w:eastAsia="zh-CN"/>
        </w:rPr>
        <w:t>以上</w:t>
      </w:r>
      <w:r>
        <w:rPr>
          <w:rFonts w:hint="default" w:ascii="Times New Roman" w:hAnsi="Times New Roman" w:eastAsia="方正仿宋_GBK" w:cs="Times New Roman"/>
          <w:b w:val="0"/>
          <w:bCs w:val="0"/>
          <w:color w:val="auto"/>
          <w:sz w:val="32"/>
          <w:szCs w:val="32"/>
          <w:highlight w:val="none"/>
          <w:lang w:eastAsia="zh-CN"/>
        </w:rPr>
        <w:t>。</w:t>
      </w:r>
      <w:r>
        <w:rPr>
          <w:rFonts w:eastAsia="方正仿宋_GBK"/>
          <w:color w:val="auto"/>
          <w:sz w:val="32"/>
          <w:szCs w:val="32"/>
        </w:rPr>
        <w:t>积极组织行政执法人员参加全区行政执法人员通用法律知识培训考试，</w:t>
      </w:r>
      <w:r>
        <w:rPr>
          <w:rFonts w:hint="eastAsia" w:eastAsia="方正仿宋_GBK"/>
          <w:color w:val="auto"/>
          <w:sz w:val="32"/>
          <w:szCs w:val="32"/>
          <w:lang w:val="en-US" w:eastAsia="zh-CN"/>
        </w:rPr>
        <w:t>区卫生健康委</w:t>
      </w:r>
      <w:r>
        <w:rPr>
          <w:rFonts w:eastAsia="方正仿宋_GBK"/>
          <w:color w:val="auto"/>
          <w:sz w:val="32"/>
          <w:szCs w:val="32"/>
        </w:rPr>
        <w:t>行政执法人员</w:t>
      </w:r>
      <w:r>
        <w:rPr>
          <w:rFonts w:hint="eastAsia" w:eastAsia="方正仿宋_GBK"/>
          <w:color w:val="auto"/>
          <w:sz w:val="32"/>
          <w:szCs w:val="32"/>
          <w:lang w:val="en-US" w:eastAsia="zh-CN"/>
        </w:rPr>
        <w:t>31人</w:t>
      </w:r>
      <w:r>
        <w:rPr>
          <w:rFonts w:eastAsia="方正仿宋_GBK"/>
          <w:color w:val="auto"/>
          <w:sz w:val="32"/>
          <w:szCs w:val="32"/>
        </w:rPr>
        <w:t>均完成规定课程学习，考试合格</w:t>
      </w:r>
      <w:r>
        <w:rPr>
          <w:rFonts w:hint="eastAsia" w:eastAsia="方正仿宋_GBK"/>
          <w:color w:val="auto"/>
          <w:sz w:val="32"/>
          <w:szCs w:val="32"/>
          <w:lang w:val="en-US" w:eastAsia="zh-CN"/>
        </w:rPr>
        <w:t>率100%</w:t>
      </w:r>
      <w:r>
        <w:rPr>
          <w:rFonts w:eastAsia="方正仿宋_GBK"/>
          <w:color w:val="auto"/>
          <w:sz w:val="32"/>
          <w:szCs w:val="32"/>
        </w:rPr>
        <w:t>。</w:t>
      </w:r>
      <w:r>
        <w:rPr>
          <w:rFonts w:hint="default" w:ascii="Times New Roman" w:hAnsi="Times New Roman" w:eastAsia="方正仿宋_GBK" w:cs="Times New Roman"/>
          <w:sz w:val="32"/>
          <w:szCs w:val="32"/>
        </w:rPr>
        <w:t>开展行业依法执业及卫生规范、卫生协管服务和普法培训6次，进一步提升医疗卫生机构、企业管理人员及辅助执法人员培训覆盖率。</w:t>
      </w:r>
      <w:r>
        <w:rPr>
          <w:rFonts w:hint="default" w:ascii="Times New Roman" w:hAnsi="Times New Roman" w:eastAsia="方正仿宋_GBK" w:cs="Times New Roman"/>
          <w:color w:val="auto"/>
          <w:kern w:val="0"/>
          <w:sz w:val="32"/>
          <w:szCs w:val="32"/>
          <w:lang w:val="en-US" w:eastAsia="zh-CN" w:bidi="ar"/>
        </w:rPr>
        <w:t>启动法治医院建设工作，全区14家公立医疗机构全面推行法治医院建设，</w:t>
      </w:r>
      <w:r>
        <w:rPr>
          <w:rFonts w:hint="default" w:ascii="Times New Roman" w:hAnsi="Times New Roman" w:eastAsia="方正仿宋_GBK" w:cs="Times New Roman"/>
          <w:color w:val="auto"/>
          <w:kern w:val="0"/>
          <w:sz w:val="32"/>
          <w:szCs w:val="32"/>
          <w:highlight w:val="none"/>
          <w:lang w:val="en-US" w:eastAsia="zh-CN" w:bidi="ar"/>
        </w:rPr>
        <w:t>将法治医院创建工作融入到卫生事业</w:t>
      </w:r>
      <w:r>
        <w:rPr>
          <w:rFonts w:hint="eastAsia" w:eastAsia="方正仿宋_GBK" w:cs="Times New Roman"/>
          <w:color w:val="auto"/>
          <w:kern w:val="0"/>
          <w:sz w:val="32"/>
          <w:szCs w:val="32"/>
          <w:highlight w:val="none"/>
          <w:lang w:val="en-US" w:eastAsia="zh-CN" w:bidi="ar"/>
        </w:rPr>
        <w:t>发展大局</w:t>
      </w:r>
      <w:r>
        <w:rPr>
          <w:rFonts w:hint="default" w:ascii="Times New Roman" w:hAnsi="Times New Roman" w:eastAsia="方正仿宋_GBK" w:cs="Times New Roman"/>
          <w:color w:val="auto"/>
          <w:kern w:val="0"/>
          <w:sz w:val="32"/>
          <w:szCs w:val="32"/>
          <w:highlight w:val="none"/>
          <w:lang w:val="en-US" w:eastAsia="zh-CN" w:bidi="ar"/>
        </w:rPr>
        <w:t>。</w:t>
      </w:r>
    </w:p>
    <w:p w14:paraId="730A146F">
      <w:pPr>
        <w:adjustRightInd w:val="0"/>
        <w:snapToGrid w:val="0"/>
        <w:spacing w:line="594" w:lineRule="exact"/>
        <w:ind w:firstLine="640" w:firstLineChars="200"/>
        <w:rPr>
          <w:rFonts w:eastAsia="方正仿宋_GBK"/>
          <w:color w:val="auto"/>
          <w:sz w:val="32"/>
          <w:szCs w:val="32"/>
        </w:rPr>
      </w:pPr>
      <w:r>
        <w:rPr>
          <w:rFonts w:eastAsia="方正楷体_GBK"/>
          <w:sz w:val="32"/>
          <w:szCs w:val="32"/>
        </w:rPr>
        <w:t>（三）深入推进法治宣传教育。</w:t>
      </w:r>
      <w:r>
        <w:rPr>
          <w:rFonts w:eastAsia="方正仿宋_GBK"/>
          <w:sz w:val="32"/>
          <w:szCs w:val="32"/>
        </w:rPr>
        <w:t>把宪法法律列为党委理论学习中心组学习的重要内容，纳入党员干部学习教育体系</w:t>
      </w:r>
      <w:r>
        <w:rPr>
          <w:sz w:val="32"/>
          <w:szCs w:val="32"/>
        </w:rPr>
        <w:t>，</w:t>
      </w:r>
      <w:r>
        <w:rPr>
          <w:rFonts w:eastAsia="方正仿宋_GBK"/>
          <w:kern w:val="0"/>
          <w:sz w:val="32"/>
          <w:szCs w:val="32"/>
          <w:lang w:bidi="ar"/>
        </w:rPr>
        <w:t>全面贯彻实施宪法，坚定维护宪法尊严和权威。结合</w:t>
      </w:r>
      <w:r>
        <w:rPr>
          <w:rFonts w:hint="eastAsia" w:eastAsia="方正仿宋_GBK"/>
          <w:kern w:val="0"/>
          <w:sz w:val="32"/>
          <w:szCs w:val="32"/>
          <w:lang w:eastAsia="zh-CN" w:bidi="ar"/>
        </w:rPr>
        <w:t>“</w:t>
      </w:r>
      <w:r>
        <w:rPr>
          <w:rFonts w:eastAsia="方正仿宋_GBK"/>
          <w:kern w:val="0"/>
          <w:sz w:val="32"/>
          <w:szCs w:val="32"/>
          <w:lang w:bidi="ar"/>
        </w:rPr>
        <w:t>宪法进万家</w:t>
      </w:r>
      <w:r>
        <w:rPr>
          <w:rFonts w:hint="eastAsia" w:eastAsia="方正仿宋_GBK"/>
          <w:kern w:val="0"/>
          <w:sz w:val="32"/>
          <w:szCs w:val="32"/>
          <w:lang w:eastAsia="zh-CN" w:bidi="ar"/>
        </w:rPr>
        <w:t>”</w:t>
      </w:r>
      <w:r>
        <w:rPr>
          <w:rFonts w:eastAsia="方正仿宋_GBK"/>
          <w:kern w:val="0"/>
          <w:sz w:val="32"/>
          <w:szCs w:val="32"/>
          <w:lang w:bidi="ar"/>
        </w:rPr>
        <w:t>和</w:t>
      </w:r>
      <w:r>
        <w:rPr>
          <w:rFonts w:hint="eastAsia" w:eastAsia="方正仿宋_GBK"/>
          <w:kern w:val="0"/>
          <w:sz w:val="32"/>
          <w:szCs w:val="32"/>
          <w:lang w:eastAsia="zh-CN" w:bidi="ar"/>
        </w:rPr>
        <w:t>“</w:t>
      </w:r>
      <w:r>
        <w:rPr>
          <w:rFonts w:eastAsia="方正仿宋_GBK"/>
          <w:kern w:val="0"/>
          <w:sz w:val="32"/>
          <w:szCs w:val="32"/>
          <w:lang w:bidi="ar"/>
        </w:rPr>
        <w:t>国家宪法日暨宪法宣传周</w:t>
      </w:r>
      <w:r>
        <w:rPr>
          <w:rFonts w:hint="eastAsia" w:eastAsia="方正仿宋_GBK"/>
          <w:kern w:val="0"/>
          <w:sz w:val="32"/>
          <w:szCs w:val="32"/>
          <w:lang w:eastAsia="zh-CN" w:bidi="ar"/>
        </w:rPr>
        <w:t>”</w:t>
      </w:r>
      <w:r>
        <w:rPr>
          <w:rFonts w:eastAsia="方正仿宋_GBK"/>
          <w:kern w:val="0"/>
          <w:sz w:val="32"/>
          <w:szCs w:val="32"/>
          <w:lang w:bidi="ar"/>
        </w:rPr>
        <w:t>等活动，认真落实</w:t>
      </w:r>
      <w:r>
        <w:rPr>
          <w:rFonts w:hint="eastAsia" w:eastAsia="方正仿宋_GBK"/>
          <w:kern w:val="0"/>
          <w:sz w:val="32"/>
          <w:szCs w:val="32"/>
          <w:lang w:eastAsia="zh-CN" w:bidi="ar"/>
        </w:rPr>
        <w:t>“</w:t>
      </w:r>
      <w:r>
        <w:rPr>
          <w:rFonts w:eastAsia="方正仿宋_GBK"/>
          <w:kern w:val="0"/>
          <w:sz w:val="32"/>
          <w:szCs w:val="32"/>
          <w:lang w:bidi="ar"/>
        </w:rPr>
        <w:t>谁执法谁普法</w:t>
      </w:r>
      <w:r>
        <w:rPr>
          <w:rFonts w:hint="eastAsia" w:eastAsia="方正仿宋_GBK"/>
          <w:kern w:val="0"/>
          <w:sz w:val="32"/>
          <w:szCs w:val="32"/>
          <w:lang w:eastAsia="zh-CN" w:bidi="ar"/>
        </w:rPr>
        <w:t>”</w:t>
      </w:r>
      <w:r>
        <w:rPr>
          <w:rFonts w:eastAsia="方正仿宋_GBK"/>
          <w:kern w:val="0"/>
          <w:sz w:val="32"/>
          <w:szCs w:val="32"/>
          <w:lang w:bidi="ar"/>
        </w:rPr>
        <w:t>的普</w:t>
      </w:r>
      <w:r>
        <w:rPr>
          <w:rFonts w:eastAsia="方正仿宋_GBK"/>
          <w:sz w:val="32"/>
          <w:szCs w:val="32"/>
        </w:rPr>
        <w:t>法责任制，健全系统普法责任制，营造浓厚法治氛围。完成科级以上干部参加网络学院法律知识学习，</w:t>
      </w:r>
      <w:r>
        <w:rPr>
          <w:rFonts w:eastAsia="方正仿宋_GBK"/>
          <w:color w:val="auto"/>
          <w:sz w:val="32"/>
          <w:szCs w:val="32"/>
        </w:rPr>
        <w:t>系统全员参考202</w:t>
      </w:r>
      <w:r>
        <w:rPr>
          <w:rFonts w:hint="eastAsia" w:eastAsia="方正仿宋_GBK"/>
          <w:color w:val="auto"/>
          <w:sz w:val="32"/>
          <w:szCs w:val="32"/>
          <w:lang w:val="en-US" w:eastAsia="zh-CN"/>
        </w:rPr>
        <w:t>4</w:t>
      </w:r>
      <w:r>
        <w:rPr>
          <w:rFonts w:eastAsia="方正仿宋_GBK"/>
          <w:color w:val="auto"/>
          <w:sz w:val="32"/>
          <w:szCs w:val="32"/>
        </w:rPr>
        <w:t>年度全区法治理论网络学习考试</w:t>
      </w:r>
      <w:r>
        <w:rPr>
          <w:rFonts w:hint="eastAsia" w:eastAsia="方正仿宋_GBK"/>
          <w:color w:val="auto"/>
          <w:sz w:val="32"/>
          <w:szCs w:val="32"/>
          <w:lang w:eastAsia="zh-CN"/>
        </w:rPr>
        <w:t>，</w:t>
      </w:r>
      <w:r>
        <w:rPr>
          <w:rFonts w:eastAsia="方正仿宋_GBK"/>
          <w:color w:val="auto"/>
          <w:sz w:val="32"/>
          <w:szCs w:val="32"/>
        </w:rPr>
        <w:t>合格</w:t>
      </w:r>
      <w:r>
        <w:rPr>
          <w:rFonts w:hint="eastAsia" w:eastAsia="方正仿宋_GBK"/>
          <w:color w:val="auto"/>
          <w:sz w:val="32"/>
          <w:szCs w:val="32"/>
          <w:lang w:val="en-US" w:eastAsia="zh-CN"/>
        </w:rPr>
        <w:t>率100%</w:t>
      </w:r>
      <w:r>
        <w:rPr>
          <w:rFonts w:eastAsia="方正仿宋_GBK"/>
          <w:color w:val="auto"/>
          <w:sz w:val="32"/>
          <w:szCs w:val="32"/>
        </w:rPr>
        <w:t>，执法人员执法证件</w:t>
      </w:r>
      <w:r>
        <w:rPr>
          <w:rFonts w:hint="eastAsia" w:eastAsia="方正仿宋_GBK"/>
          <w:color w:val="auto"/>
          <w:sz w:val="32"/>
          <w:szCs w:val="32"/>
          <w:lang w:val="en-US" w:eastAsia="zh-CN"/>
        </w:rPr>
        <w:t>持证</w:t>
      </w:r>
      <w:r>
        <w:rPr>
          <w:rFonts w:eastAsia="方正仿宋_GBK"/>
          <w:color w:val="auto"/>
          <w:sz w:val="32"/>
          <w:szCs w:val="32"/>
        </w:rPr>
        <w:t>率100%。</w:t>
      </w:r>
    </w:p>
    <w:p w14:paraId="6BCBEAD8">
      <w:pPr>
        <w:pStyle w:val="13"/>
        <w:widowControl/>
        <w:spacing w:before="0" w:beforeAutospacing="0" w:after="0" w:afterAutospacing="0" w:line="594" w:lineRule="exact"/>
        <w:ind w:firstLine="640" w:firstLineChars="200"/>
        <w:rPr>
          <w:rFonts w:eastAsia="方正黑体_GBK"/>
          <w:color w:val="auto"/>
          <w:kern w:val="2"/>
          <w:sz w:val="32"/>
          <w:szCs w:val="32"/>
        </w:rPr>
      </w:pPr>
      <w:r>
        <w:rPr>
          <w:rFonts w:eastAsia="方正黑体_GBK"/>
          <w:color w:val="auto"/>
          <w:kern w:val="2"/>
          <w:sz w:val="32"/>
          <w:szCs w:val="32"/>
        </w:rPr>
        <w:t>三、202</w:t>
      </w:r>
      <w:r>
        <w:rPr>
          <w:rFonts w:hint="eastAsia" w:eastAsia="方正黑体_GBK"/>
          <w:color w:val="auto"/>
          <w:kern w:val="2"/>
          <w:sz w:val="32"/>
          <w:szCs w:val="32"/>
          <w:lang w:val="en-US" w:eastAsia="zh-CN"/>
        </w:rPr>
        <w:t>4</w:t>
      </w:r>
      <w:r>
        <w:rPr>
          <w:rFonts w:hint="eastAsia" w:eastAsia="方正黑体_GBK"/>
          <w:color w:val="auto"/>
          <w:kern w:val="2"/>
          <w:sz w:val="32"/>
          <w:szCs w:val="32"/>
        </w:rPr>
        <w:t>年推进法治政府建设存在的不足和原因</w:t>
      </w:r>
    </w:p>
    <w:p w14:paraId="359E7FEF">
      <w:pPr>
        <w:pStyle w:val="13"/>
        <w:widowControl/>
        <w:spacing w:before="0" w:beforeAutospacing="0" w:after="0" w:afterAutospacing="0" w:line="594" w:lineRule="exact"/>
        <w:ind w:firstLine="640" w:firstLineChars="200"/>
        <w:rPr>
          <w:rFonts w:hint="eastAsia" w:eastAsia="方正仿宋_GBK"/>
          <w:sz w:val="32"/>
          <w:szCs w:val="32"/>
          <w:lang w:eastAsia="zh-CN"/>
        </w:rPr>
      </w:pPr>
      <w:r>
        <w:rPr>
          <w:rFonts w:eastAsia="方正楷体_GBK"/>
          <w:kern w:val="2"/>
          <w:sz w:val="32"/>
          <w:szCs w:val="32"/>
        </w:rPr>
        <w:t>（一）行政执法能力有待提升。</w:t>
      </w:r>
      <w:r>
        <w:rPr>
          <w:rFonts w:eastAsia="方正仿宋_GBK"/>
          <w:sz w:val="32"/>
          <w:szCs w:val="32"/>
        </w:rPr>
        <w:t>卫生健康领域行政执法点多线长面广，专业性要求高，行政</w:t>
      </w:r>
      <w:r>
        <w:rPr>
          <w:rFonts w:hint="eastAsia" w:eastAsia="方正仿宋_GBK"/>
          <w:sz w:val="32"/>
          <w:szCs w:val="32"/>
          <w:lang w:val="en-US" w:eastAsia="zh-CN"/>
        </w:rPr>
        <w:t>执</w:t>
      </w:r>
      <w:r>
        <w:rPr>
          <w:rFonts w:eastAsia="方正仿宋_GBK"/>
          <w:sz w:val="32"/>
          <w:szCs w:val="32"/>
        </w:rPr>
        <w:t>法人员</w:t>
      </w:r>
      <w:r>
        <w:rPr>
          <w:rFonts w:hint="eastAsia" w:eastAsia="方正仿宋_GBK"/>
          <w:sz w:val="32"/>
          <w:szCs w:val="32"/>
          <w:lang w:val="en-US" w:eastAsia="zh-CN"/>
        </w:rPr>
        <w:t>存在数量</w:t>
      </w:r>
      <w:r>
        <w:rPr>
          <w:rFonts w:eastAsia="方正仿宋_GBK"/>
          <w:sz w:val="32"/>
          <w:szCs w:val="32"/>
        </w:rPr>
        <w:t>不足、法治思维有待提升，行政执法能力与当前医疗卫生事业发展还有一定差距</w:t>
      </w:r>
      <w:r>
        <w:rPr>
          <w:rFonts w:hint="eastAsia" w:eastAsia="方正仿宋_GBK"/>
          <w:sz w:val="32"/>
          <w:szCs w:val="32"/>
          <w:lang w:eastAsia="zh-CN"/>
        </w:rPr>
        <w:t>。</w:t>
      </w:r>
    </w:p>
    <w:p w14:paraId="6D31C78D">
      <w:pPr>
        <w:pStyle w:val="13"/>
        <w:widowControl/>
        <w:spacing w:before="0" w:beforeAutospacing="0" w:after="0" w:afterAutospacing="0" w:line="594" w:lineRule="exact"/>
        <w:ind w:firstLine="640" w:firstLineChars="200"/>
        <w:rPr>
          <w:rFonts w:eastAsia="方正仿宋_GBK"/>
          <w:sz w:val="32"/>
          <w:szCs w:val="32"/>
        </w:rPr>
      </w:pPr>
      <w:r>
        <w:rPr>
          <w:rFonts w:eastAsia="方正楷体_GBK"/>
          <w:kern w:val="2"/>
          <w:sz w:val="32"/>
          <w:szCs w:val="32"/>
        </w:rPr>
        <w:t>（二）法治宣传力度有待加强。</w:t>
      </w:r>
      <w:r>
        <w:rPr>
          <w:rFonts w:eastAsia="方正仿宋_GBK"/>
          <w:sz w:val="32"/>
          <w:szCs w:val="32"/>
        </w:rPr>
        <w:t>医疗机构落实执业主体责任不够充分、法治建设力度不强，机构内部法治宣传内容简单、方式单一，对新修改的卫生领域相关法律法规规章及法律解释宣传不及时、不全面。</w:t>
      </w:r>
    </w:p>
    <w:p w14:paraId="240200C3">
      <w:pPr>
        <w:pStyle w:val="13"/>
        <w:widowControl/>
        <w:spacing w:before="0" w:beforeAutospacing="0" w:after="0" w:afterAutospacing="0" w:line="594" w:lineRule="exact"/>
        <w:ind w:firstLine="640" w:firstLineChars="200"/>
        <w:rPr>
          <w:rFonts w:eastAsia="方正黑体_GBK"/>
          <w:color w:val="auto"/>
          <w:kern w:val="2"/>
          <w:sz w:val="32"/>
          <w:szCs w:val="32"/>
        </w:rPr>
      </w:pPr>
      <w:r>
        <w:rPr>
          <w:rFonts w:eastAsia="方正黑体_GBK"/>
          <w:color w:val="auto"/>
          <w:kern w:val="2"/>
          <w:sz w:val="32"/>
          <w:szCs w:val="32"/>
        </w:rPr>
        <w:t>四、202</w:t>
      </w:r>
      <w:r>
        <w:rPr>
          <w:rFonts w:hint="eastAsia" w:eastAsia="方正黑体_GBK"/>
          <w:color w:val="auto"/>
          <w:kern w:val="2"/>
          <w:sz w:val="32"/>
          <w:szCs w:val="32"/>
          <w:lang w:val="en-US" w:eastAsia="zh-CN"/>
        </w:rPr>
        <w:t>5</w:t>
      </w:r>
      <w:r>
        <w:rPr>
          <w:rFonts w:hint="eastAsia" w:eastAsia="方正黑体_GBK"/>
          <w:color w:val="auto"/>
          <w:kern w:val="2"/>
          <w:sz w:val="32"/>
          <w:szCs w:val="32"/>
        </w:rPr>
        <w:t>年推进法治政府建设的工作思路目标举措</w:t>
      </w:r>
    </w:p>
    <w:p w14:paraId="0E5EFB20">
      <w:pPr>
        <w:spacing w:line="594" w:lineRule="exact"/>
        <w:ind w:firstLine="640" w:firstLineChars="200"/>
        <w:rPr>
          <w:rFonts w:eastAsia="方正仿宋_GBK"/>
          <w:sz w:val="32"/>
          <w:szCs w:val="32"/>
        </w:rPr>
      </w:pPr>
      <w:r>
        <w:rPr>
          <w:rFonts w:eastAsia="方正楷体_GBK"/>
          <w:sz w:val="32"/>
          <w:szCs w:val="32"/>
        </w:rPr>
        <w:t>（一）加强法治建设。</w:t>
      </w:r>
      <w:r>
        <w:rPr>
          <w:rFonts w:eastAsia="方正仿宋_GBK"/>
          <w:sz w:val="32"/>
          <w:szCs w:val="32"/>
        </w:rPr>
        <w:t>深入学习贯彻习近平法治思想，严格落实党政主要负责人履行推进法治建设第一责任人职责</w:t>
      </w:r>
      <w:r>
        <w:rPr>
          <w:rFonts w:hint="eastAsia" w:eastAsia="方正仿宋_GBK"/>
          <w:sz w:val="32"/>
          <w:szCs w:val="32"/>
          <w:lang w:eastAsia="zh-CN"/>
        </w:rPr>
        <w:t>，</w:t>
      </w:r>
      <w:r>
        <w:rPr>
          <w:rFonts w:eastAsia="方正仿宋_GBK"/>
          <w:sz w:val="32"/>
          <w:szCs w:val="32"/>
        </w:rPr>
        <w:t>围绕卫生健康中心工作，抓好普法</w:t>
      </w:r>
      <w:r>
        <w:rPr>
          <w:rFonts w:hint="eastAsia" w:eastAsia="方正仿宋_GBK"/>
          <w:sz w:val="32"/>
          <w:szCs w:val="32"/>
          <w:lang w:val="en-US" w:eastAsia="zh-CN"/>
        </w:rPr>
        <w:t>工作</w:t>
      </w:r>
      <w:r>
        <w:rPr>
          <w:rFonts w:eastAsia="方正仿宋_GBK"/>
          <w:sz w:val="32"/>
          <w:szCs w:val="32"/>
        </w:rPr>
        <w:t>，大力开展法治宣传教育，全面依法行政、依法管理。</w:t>
      </w:r>
    </w:p>
    <w:p w14:paraId="794B920A">
      <w:pPr>
        <w:spacing w:line="594" w:lineRule="exact"/>
        <w:ind w:firstLine="640" w:firstLineChars="200"/>
        <w:rPr>
          <w:rFonts w:eastAsia="方正仿宋_GBK"/>
          <w:sz w:val="32"/>
          <w:szCs w:val="32"/>
        </w:rPr>
      </w:pPr>
      <w:r>
        <w:rPr>
          <w:rFonts w:eastAsia="方正楷体_GBK"/>
          <w:sz w:val="32"/>
          <w:szCs w:val="32"/>
        </w:rPr>
        <w:t>（二）强化监督执法。</w:t>
      </w:r>
      <w:r>
        <w:rPr>
          <w:rFonts w:eastAsia="方正仿宋_GBK"/>
          <w:sz w:val="32"/>
          <w:szCs w:val="32"/>
        </w:rPr>
        <w:t>深入推进行政执法</w:t>
      </w:r>
      <w:r>
        <w:rPr>
          <w:rFonts w:hint="eastAsia" w:eastAsia="方正仿宋_GBK"/>
          <w:sz w:val="32"/>
          <w:szCs w:val="32"/>
          <w:lang w:eastAsia="zh-CN"/>
        </w:rPr>
        <w:t>“</w:t>
      </w:r>
      <w:r>
        <w:rPr>
          <w:rFonts w:eastAsia="方正仿宋_GBK"/>
          <w:sz w:val="32"/>
          <w:szCs w:val="32"/>
        </w:rPr>
        <w:t>三项制度</w:t>
      </w:r>
      <w:r>
        <w:rPr>
          <w:rFonts w:hint="eastAsia" w:eastAsia="方正仿宋_GBK"/>
          <w:sz w:val="32"/>
          <w:szCs w:val="32"/>
          <w:lang w:eastAsia="zh-CN"/>
        </w:rPr>
        <w:t>”</w:t>
      </w:r>
      <w:r>
        <w:rPr>
          <w:rFonts w:eastAsia="方正仿宋_GBK"/>
          <w:sz w:val="32"/>
          <w:szCs w:val="32"/>
        </w:rPr>
        <w:t>建设，持续开展执法办案质量提升行动，不断提升综合行政执法质量。</w:t>
      </w:r>
      <w:r>
        <w:rPr>
          <w:rFonts w:hint="eastAsia" w:eastAsia="方正仿宋_GBK"/>
          <w:sz w:val="32"/>
          <w:szCs w:val="32"/>
          <w:lang w:val="en-US" w:eastAsia="zh-CN"/>
        </w:rPr>
        <w:t>完善</w:t>
      </w:r>
      <w:r>
        <w:rPr>
          <w:rFonts w:hint="eastAsia" w:eastAsia="方正仿宋_GBK"/>
          <w:sz w:val="32"/>
          <w:szCs w:val="32"/>
          <w:lang w:eastAsia="zh-CN"/>
        </w:rPr>
        <w:t>“</w:t>
      </w:r>
      <w:r>
        <w:rPr>
          <w:rFonts w:eastAsia="方正仿宋_GBK"/>
          <w:sz w:val="32"/>
          <w:szCs w:val="32"/>
        </w:rPr>
        <w:t>智慧卫监</w:t>
      </w:r>
      <w:r>
        <w:rPr>
          <w:rFonts w:hint="eastAsia" w:eastAsia="方正仿宋_GBK"/>
          <w:sz w:val="32"/>
          <w:szCs w:val="32"/>
          <w:lang w:eastAsia="zh-CN"/>
        </w:rPr>
        <w:t>”</w:t>
      </w:r>
      <w:r>
        <w:rPr>
          <w:rFonts w:eastAsia="方正仿宋_GBK"/>
          <w:sz w:val="32"/>
          <w:szCs w:val="32"/>
        </w:rPr>
        <w:t>信息平台管理，完善配套监测预警系统，探索非现场监管执法工作模式，积极提升行政执法效能。积极推进公共卫生领域</w:t>
      </w:r>
      <w:r>
        <w:rPr>
          <w:rFonts w:hint="eastAsia" w:eastAsia="方正仿宋_GBK"/>
          <w:sz w:val="32"/>
          <w:szCs w:val="32"/>
          <w:lang w:eastAsia="zh-CN"/>
        </w:rPr>
        <w:t>“</w:t>
      </w:r>
      <w:r>
        <w:rPr>
          <w:rFonts w:eastAsia="方正仿宋_GBK"/>
          <w:sz w:val="32"/>
          <w:szCs w:val="32"/>
        </w:rPr>
        <w:t>信用+监管</w:t>
      </w:r>
      <w:r>
        <w:rPr>
          <w:rFonts w:hint="eastAsia" w:eastAsia="方正仿宋_GBK"/>
          <w:sz w:val="32"/>
          <w:szCs w:val="32"/>
          <w:lang w:eastAsia="zh-CN"/>
        </w:rPr>
        <w:t>”</w:t>
      </w:r>
      <w:r>
        <w:rPr>
          <w:rFonts w:eastAsia="方正仿宋_GBK"/>
          <w:sz w:val="32"/>
          <w:szCs w:val="32"/>
        </w:rPr>
        <w:t>信息系统建设和分类监管工作，持续完善高效信用评价和信用修复机制。扎实开展医疗美容专项整治等</w:t>
      </w:r>
      <w:r>
        <w:rPr>
          <w:rFonts w:hint="eastAsia" w:eastAsia="方正仿宋_GBK"/>
          <w:sz w:val="32"/>
          <w:szCs w:val="32"/>
          <w:lang w:eastAsia="zh-CN"/>
        </w:rPr>
        <w:t>“</w:t>
      </w:r>
      <w:r>
        <w:rPr>
          <w:rFonts w:eastAsia="方正仿宋_GBK"/>
          <w:sz w:val="32"/>
          <w:szCs w:val="32"/>
        </w:rPr>
        <w:t>卫生监督蓝盾</w:t>
      </w:r>
      <w:r>
        <w:rPr>
          <w:rFonts w:hint="eastAsia" w:eastAsia="方正仿宋_GBK"/>
          <w:sz w:val="32"/>
          <w:szCs w:val="32"/>
          <w:lang w:eastAsia="zh-CN"/>
        </w:rPr>
        <w:t>”</w:t>
      </w:r>
      <w:r>
        <w:rPr>
          <w:rFonts w:eastAsia="方正仿宋_GBK"/>
          <w:sz w:val="32"/>
          <w:szCs w:val="32"/>
        </w:rPr>
        <w:t>行动</w:t>
      </w:r>
      <w:r>
        <w:rPr>
          <w:rFonts w:hint="eastAsia" w:eastAsia="方正仿宋_GBK"/>
          <w:sz w:val="32"/>
          <w:szCs w:val="32"/>
          <w:lang w:eastAsia="zh-CN"/>
        </w:rPr>
        <w:t>，</w:t>
      </w:r>
      <w:r>
        <w:rPr>
          <w:rFonts w:eastAsia="方正仿宋_GBK"/>
          <w:sz w:val="32"/>
          <w:szCs w:val="32"/>
        </w:rPr>
        <w:t>打击医疗</w:t>
      </w:r>
      <w:r>
        <w:rPr>
          <w:rFonts w:hint="eastAsia" w:eastAsia="方正仿宋_GBK"/>
          <w:sz w:val="32"/>
          <w:szCs w:val="32"/>
          <w:lang w:val="en-US" w:eastAsia="zh-CN"/>
        </w:rPr>
        <w:t>卫生</w:t>
      </w:r>
      <w:r>
        <w:rPr>
          <w:rFonts w:eastAsia="方正仿宋_GBK"/>
          <w:sz w:val="32"/>
          <w:szCs w:val="32"/>
        </w:rPr>
        <w:t>行业各类违法违规行为，不断规范医疗服务秩序，维护人民群众健康权益。</w:t>
      </w:r>
    </w:p>
    <w:p w14:paraId="7377DCF5">
      <w:pPr>
        <w:pStyle w:val="13"/>
        <w:widowControl/>
        <w:spacing w:before="0" w:beforeAutospacing="0" w:after="0" w:afterAutospacing="0" w:line="594" w:lineRule="exact"/>
        <w:ind w:firstLine="640" w:firstLineChars="200"/>
        <w:rPr>
          <w:rFonts w:hint="eastAsia" w:eastAsia="方正仿宋_GBK"/>
          <w:sz w:val="32"/>
          <w:szCs w:val="32"/>
          <w:lang w:eastAsia="zh-CN"/>
        </w:rPr>
      </w:pPr>
      <w:r>
        <w:rPr>
          <w:rFonts w:eastAsia="方正楷体_GBK"/>
          <w:kern w:val="2"/>
          <w:sz w:val="32"/>
          <w:szCs w:val="32"/>
        </w:rPr>
        <w:t>（三）加大法治宣传力度。</w:t>
      </w:r>
      <w:r>
        <w:rPr>
          <w:rFonts w:eastAsia="方正仿宋_GBK"/>
          <w:sz w:val="32"/>
          <w:szCs w:val="32"/>
        </w:rPr>
        <w:t>充分运用社会媒体资源，以国家宪法日、重大执法监督活动等为普法宣传主线，借助多种宣传平台载体，强化执法与普法相结合，大力实施以案释法和以案普法，加强政府网站政务公开和微信公众号平台建设和使用，持续加强法治宣传力度</w:t>
      </w:r>
      <w:r>
        <w:rPr>
          <w:rFonts w:hint="eastAsia" w:eastAsia="方正仿宋_GBK"/>
          <w:sz w:val="32"/>
          <w:szCs w:val="32"/>
          <w:lang w:eastAsia="zh-CN"/>
        </w:rPr>
        <w:t>，</w:t>
      </w:r>
      <w:r>
        <w:rPr>
          <w:rFonts w:eastAsia="方正仿宋_GBK"/>
          <w:sz w:val="32"/>
          <w:szCs w:val="32"/>
        </w:rPr>
        <w:t>切实加强监管相对人普法教育，着力提升依法执业意识</w:t>
      </w:r>
      <w:r>
        <w:rPr>
          <w:rFonts w:hint="eastAsia" w:eastAsia="方正仿宋_GBK"/>
          <w:sz w:val="32"/>
          <w:szCs w:val="32"/>
          <w:lang w:eastAsia="zh-CN"/>
        </w:rPr>
        <w:t>。</w:t>
      </w:r>
    </w:p>
    <w:p w14:paraId="19423713">
      <w:pPr>
        <w:pStyle w:val="13"/>
        <w:widowControl/>
        <w:spacing w:before="0" w:beforeAutospacing="0" w:after="0" w:afterAutospacing="0" w:line="594" w:lineRule="exact"/>
        <w:ind w:firstLine="640" w:firstLineChars="200"/>
        <w:rPr>
          <w:rFonts w:hint="eastAsia" w:eastAsia="方正仿宋_GBK"/>
          <w:sz w:val="32"/>
          <w:szCs w:val="32"/>
          <w:lang w:eastAsia="zh-CN"/>
        </w:rPr>
      </w:pPr>
    </w:p>
    <w:p w14:paraId="5535DA23">
      <w:pPr>
        <w:pStyle w:val="13"/>
        <w:widowControl/>
        <w:spacing w:before="0" w:beforeAutospacing="0" w:after="0" w:afterAutospacing="0" w:line="594" w:lineRule="exact"/>
        <w:ind w:firstLine="640" w:firstLineChars="200"/>
        <w:rPr>
          <w:rFonts w:hint="eastAsia" w:eastAsia="方正仿宋_GBK"/>
          <w:sz w:val="32"/>
          <w:szCs w:val="32"/>
          <w:lang w:eastAsia="zh-CN"/>
        </w:rPr>
      </w:pPr>
    </w:p>
    <w:p w14:paraId="662505E1">
      <w:pPr>
        <w:pStyle w:val="13"/>
        <w:widowControl/>
        <w:spacing w:before="0" w:beforeAutospacing="0" w:after="0" w:afterAutospacing="0" w:line="594" w:lineRule="exact"/>
        <w:ind w:firstLine="4160" w:firstLineChars="1300"/>
        <w:jc w:val="both"/>
        <w:rPr>
          <w:rFonts w:eastAsia="方正仿宋_GBK"/>
          <w:sz w:val="32"/>
          <w:szCs w:val="32"/>
        </w:rPr>
      </w:pPr>
      <w:r>
        <w:rPr>
          <w:rFonts w:eastAsia="方正仿宋_GBK"/>
          <w:sz w:val="32"/>
          <w:szCs w:val="32"/>
        </w:rPr>
        <w:t>重庆市南岸区卫生健康委员会</w:t>
      </w:r>
    </w:p>
    <w:p w14:paraId="42618ADA">
      <w:pPr>
        <w:pStyle w:val="13"/>
        <w:widowControl/>
        <w:spacing w:before="0" w:beforeAutospacing="0" w:after="0" w:afterAutospacing="0" w:line="594" w:lineRule="exact"/>
        <w:ind w:right="640" w:firstLine="420"/>
        <w:jc w:val="center"/>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2</w:t>
      </w:r>
      <w:r>
        <w:rPr>
          <w:rFonts w:eastAsia="方正仿宋_GBK"/>
          <w:sz w:val="32"/>
          <w:szCs w:val="32"/>
        </w:rPr>
        <w:t>月</w:t>
      </w:r>
      <w:r>
        <w:rPr>
          <w:rFonts w:hint="eastAsia" w:eastAsia="方正仿宋_GBK"/>
          <w:sz w:val="32"/>
          <w:szCs w:val="32"/>
          <w:lang w:val="en-US" w:eastAsia="zh-CN"/>
        </w:rPr>
        <w:t>27</w:t>
      </w:r>
      <w:r>
        <w:rPr>
          <w:rFonts w:eastAsia="方正仿宋_GBK"/>
          <w:sz w:val="32"/>
          <w:szCs w:val="32"/>
        </w:rPr>
        <w:t>日</w:t>
      </w:r>
    </w:p>
    <w:p w14:paraId="402584FF">
      <w:pPr>
        <w:pStyle w:val="8"/>
        <w:pageBreakBefore w:val="0"/>
        <w:kinsoku/>
        <w:overflowPunct/>
        <w:autoSpaceDE/>
        <w:autoSpaceDN/>
        <w:bidi w:val="0"/>
        <w:spacing w:line="600" w:lineRule="exact"/>
        <w:ind w:firstLine="640" w:firstLineChars="200"/>
        <w:jc w:val="both"/>
        <w:textAlignment w:val="auto"/>
        <w:rPr>
          <w:rFonts w:hint="default" w:ascii="Times New Roman" w:hAnsi="Times New Roman" w:eastAsia="方正仿宋_GBK" w:cs="Times New Roman"/>
          <w:kern w:val="2"/>
          <w:sz w:val="32"/>
          <w:szCs w:val="32"/>
          <w:lang w:eastAsia="zh-CN"/>
        </w:rPr>
      </w:pPr>
    </w:p>
    <w:p w14:paraId="6EB5DCD9">
      <w:pPr>
        <w:pStyle w:val="8"/>
        <w:pageBreakBefore w:val="0"/>
        <w:kinsoku/>
        <w:overflowPunct/>
        <w:autoSpaceDE/>
        <w:autoSpaceDN/>
        <w:bidi w:val="0"/>
        <w:spacing w:line="600" w:lineRule="exact"/>
        <w:ind w:firstLine="640" w:firstLineChars="200"/>
        <w:jc w:val="both"/>
        <w:textAlignment w:val="auto"/>
        <w:rPr>
          <w:rFonts w:eastAsia="方正仿宋_GBK"/>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9512">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C2319">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8CC2319">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YTM5YThiYTNlODIzMjYxZmEyMTRhNGUyMDRjYTQifQ=="/>
  </w:docVars>
  <w:rsids>
    <w:rsidRoot w:val="5FA630C9"/>
    <w:rsid w:val="00020E31"/>
    <w:rsid w:val="00026A3F"/>
    <w:rsid w:val="0003202E"/>
    <w:rsid w:val="000329B5"/>
    <w:rsid w:val="00053138"/>
    <w:rsid w:val="00055ACB"/>
    <w:rsid w:val="000B6FA4"/>
    <w:rsid w:val="00102F83"/>
    <w:rsid w:val="00107FF5"/>
    <w:rsid w:val="00114D53"/>
    <w:rsid w:val="00164931"/>
    <w:rsid w:val="00197C60"/>
    <w:rsid w:val="001D4A24"/>
    <w:rsid w:val="00207C80"/>
    <w:rsid w:val="0022340B"/>
    <w:rsid w:val="00230436"/>
    <w:rsid w:val="00285085"/>
    <w:rsid w:val="0028539A"/>
    <w:rsid w:val="00295B04"/>
    <w:rsid w:val="002B2231"/>
    <w:rsid w:val="0032796C"/>
    <w:rsid w:val="0033696F"/>
    <w:rsid w:val="00340BD0"/>
    <w:rsid w:val="003477C6"/>
    <w:rsid w:val="003539A8"/>
    <w:rsid w:val="00384471"/>
    <w:rsid w:val="00390B2B"/>
    <w:rsid w:val="003C3BCE"/>
    <w:rsid w:val="004153A4"/>
    <w:rsid w:val="0042204E"/>
    <w:rsid w:val="00452AE5"/>
    <w:rsid w:val="004A1A2C"/>
    <w:rsid w:val="004F5307"/>
    <w:rsid w:val="0053617E"/>
    <w:rsid w:val="00563F9D"/>
    <w:rsid w:val="00584484"/>
    <w:rsid w:val="005E5BD7"/>
    <w:rsid w:val="005E6CBC"/>
    <w:rsid w:val="005F39DB"/>
    <w:rsid w:val="00653A86"/>
    <w:rsid w:val="0066263F"/>
    <w:rsid w:val="00666479"/>
    <w:rsid w:val="0068631A"/>
    <w:rsid w:val="006B495E"/>
    <w:rsid w:val="006D5BD8"/>
    <w:rsid w:val="006D63E6"/>
    <w:rsid w:val="006E7423"/>
    <w:rsid w:val="007343DE"/>
    <w:rsid w:val="00740DFC"/>
    <w:rsid w:val="00753599"/>
    <w:rsid w:val="00784AB9"/>
    <w:rsid w:val="0079662F"/>
    <w:rsid w:val="007A00D1"/>
    <w:rsid w:val="007D03AF"/>
    <w:rsid w:val="007E461F"/>
    <w:rsid w:val="007E4AB2"/>
    <w:rsid w:val="007F2A58"/>
    <w:rsid w:val="007F736B"/>
    <w:rsid w:val="00803FBB"/>
    <w:rsid w:val="008102F1"/>
    <w:rsid w:val="00837794"/>
    <w:rsid w:val="008618FE"/>
    <w:rsid w:val="0087551A"/>
    <w:rsid w:val="0087659E"/>
    <w:rsid w:val="00881DB2"/>
    <w:rsid w:val="008E0C60"/>
    <w:rsid w:val="008E59A1"/>
    <w:rsid w:val="00946862"/>
    <w:rsid w:val="009503A8"/>
    <w:rsid w:val="009A76B6"/>
    <w:rsid w:val="00A233EF"/>
    <w:rsid w:val="00A7511F"/>
    <w:rsid w:val="00A77BFD"/>
    <w:rsid w:val="00AB564E"/>
    <w:rsid w:val="00AD349F"/>
    <w:rsid w:val="00AD40FB"/>
    <w:rsid w:val="00B0251F"/>
    <w:rsid w:val="00B142A3"/>
    <w:rsid w:val="00B63F2C"/>
    <w:rsid w:val="00B64010"/>
    <w:rsid w:val="00BC298D"/>
    <w:rsid w:val="00BE43A4"/>
    <w:rsid w:val="00C1256C"/>
    <w:rsid w:val="00C13CE5"/>
    <w:rsid w:val="00C473D3"/>
    <w:rsid w:val="00C73687"/>
    <w:rsid w:val="00CD3477"/>
    <w:rsid w:val="00CD7B01"/>
    <w:rsid w:val="00D016AC"/>
    <w:rsid w:val="00D13009"/>
    <w:rsid w:val="00D14D2E"/>
    <w:rsid w:val="00D23789"/>
    <w:rsid w:val="00D260E1"/>
    <w:rsid w:val="00D355AC"/>
    <w:rsid w:val="00D45A31"/>
    <w:rsid w:val="00D70B22"/>
    <w:rsid w:val="00D81A71"/>
    <w:rsid w:val="00D8521B"/>
    <w:rsid w:val="00D910CD"/>
    <w:rsid w:val="00DB180E"/>
    <w:rsid w:val="00DD1B2E"/>
    <w:rsid w:val="00DD3E79"/>
    <w:rsid w:val="00DD607F"/>
    <w:rsid w:val="00DE1EDF"/>
    <w:rsid w:val="00DE1FBD"/>
    <w:rsid w:val="00DF1A04"/>
    <w:rsid w:val="00DF6A32"/>
    <w:rsid w:val="00E06094"/>
    <w:rsid w:val="00E22A7A"/>
    <w:rsid w:val="00E23E7B"/>
    <w:rsid w:val="00E706EE"/>
    <w:rsid w:val="00E7774E"/>
    <w:rsid w:val="00E8557C"/>
    <w:rsid w:val="00E9359F"/>
    <w:rsid w:val="00EE3224"/>
    <w:rsid w:val="00F128D2"/>
    <w:rsid w:val="00F15CF3"/>
    <w:rsid w:val="00F4066E"/>
    <w:rsid w:val="00F7206C"/>
    <w:rsid w:val="00F753C3"/>
    <w:rsid w:val="00F94809"/>
    <w:rsid w:val="00FF5759"/>
    <w:rsid w:val="00FF7081"/>
    <w:rsid w:val="010D6201"/>
    <w:rsid w:val="01B97BD5"/>
    <w:rsid w:val="01E37D82"/>
    <w:rsid w:val="01E7687A"/>
    <w:rsid w:val="021856E6"/>
    <w:rsid w:val="025F4662"/>
    <w:rsid w:val="03004097"/>
    <w:rsid w:val="03182576"/>
    <w:rsid w:val="03465822"/>
    <w:rsid w:val="035F766E"/>
    <w:rsid w:val="03825167"/>
    <w:rsid w:val="03B15391"/>
    <w:rsid w:val="04051239"/>
    <w:rsid w:val="044E0E32"/>
    <w:rsid w:val="045024A5"/>
    <w:rsid w:val="04E35A1E"/>
    <w:rsid w:val="052102F4"/>
    <w:rsid w:val="053B7608"/>
    <w:rsid w:val="056A1C9B"/>
    <w:rsid w:val="061F2081"/>
    <w:rsid w:val="065564A8"/>
    <w:rsid w:val="06CC6419"/>
    <w:rsid w:val="06F3673E"/>
    <w:rsid w:val="070F1F5E"/>
    <w:rsid w:val="074338AD"/>
    <w:rsid w:val="0777244E"/>
    <w:rsid w:val="077A3CEC"/>
    <w:rsid w:val="07EB7143"/>
    <w:rsid w:val="07F65A68"/>
    <w:rsid w:val="08476E10"/>
    <w:rsid w:val="089A3896"/>
    <w:rsid w:val="08BB44ED"/>
    <w:rsid w:val="08EE6740"/>
    <w:rsid w:val="09085078"/>
    <w:rsid w:val="093F6F9B"/>
    <w:rsid w:val="099F5C8C"/>
    <w:rsid w:val="09BC683E"/>
    <w:rsid w:val="0A1641A0"/>
    <w:rsid w:val="0A216351"/>
    <w:rsid w:val="0A80690F"/>
    <w:rsid w:val="0A92134D"/>
    <w:rsid w:val="0AA33114"/>
    <w:rsid w:val="0AD71FAF"/>
    <w:rsid w:val="0AF14803"/>
    <w:rsid w:val="0AFD3352"/>
    <w:rsid w:val="0B5F3C28"/>
    <w:rsid w:val="0BF527A0"/>
    <w:rsid w:val="0C1741FF"/>
    <w:rsid w:val="0CB57B81"/>
    <w:rsid w:val="0CBB2DDD"/>
    <w:rsid w:val="0DCB1BA5"/>
    <w:rsid w:val="0E49534B"/>
    <w:rsid w:val="0E7476E7"/>
    <w:rsid w:val="0E78337E"/>
    <w:rsid w:val="0EC87A33"/>
    <w:rsid w:val="0F0F5662"/>
    <w:rsid w:val="0F5B4403"/>
    <w:rsid w:val="0F6E4136"/>
    <w:rsid w:val="0F8E47D8"/>
    <w:rsid w:val="10320D7D"/>
    <w:rsid w:val="105F08DD"/>
    <w:rsid w:val="106D65FE"/>
    <w:rsid w:val="10C81F6C"/>
    <w:rsid w:val="126E3063"/>
    <w:rsid w:val="12DE2674"/>
    <w:rsid w:val="131119A8"/>
    <w:rsid w:val="13827494"/>
    <w:rsid w:val="139323BD"/>
    <w:rsid w:val="13F76DF0"/>
    <w:rsid w:val="144E4536"/>
    <w:rsid w:val="149153C8"/>
    <w:rsid w:val="14997EA7"/>
    <w:rsid w:val="15140D2B"/>
    <w:rsid w:val="15197DE2"/>
    <w:rsid w:val="1546336B"/>
    <w:rsid w:val="154C4F1A"/>
    <w:rsid w:val="15B64A89"/>
    <w:rsid w:val="163F05DA"/>
    <w:rsid w:val="166F4A24"/>
    <w:rsid w:val="167A7865"/>
    <w:rsid w:val="167C35DD"/>
    <w:rsid w:val="17D42FA4"/>
    <w:rsid w:val="1826447F"/>
    <w:rsid w:val="184C6FDF"/>
    <w:rsid w:val="18F0610E"/>
    <w:rsid w:val="18FE533E"/>
    <w:rsid w:val="194523AC"/>
    <w:rsid w:val="1990114D"/>
    <w:rsid w:val="1A253F8B"/>
    <w:rsid w:val="1AAE3053"/>
    <w:rsid w:val="1B3721C8"/>
    <w:rsid w:val="1BA64C58"/>
    <w:rsid w:val="1C226145"/>
    <w:rsid w:val="1C727881"/>
    <w:rsid w:val="1CB95AE1"/>
    <w:rsid w:val="1CEC2B3E"/>
    <w:rsid w:val="1D1A58FD"/>
    <w:rsid w:val="1DA74241"/>
    <w:rsid w:val="1DC1221D"/>
    <w:rsid w:val="1DE303E5"/>
    <w:rsid w:val="1EC71AB5"/>
    <w:rsid w:val="1EF466CC"/>
    <w:rsid w:val="1F102444"/>
    <w:rsid w:val="1F136BE1"/>
    <w:rsid w:val="1F2632D6"/>
    <w:rsid w:val="1F7A6B27"/>
    <w:rsid w:val="1FDC6E9A"/>
    <w:rsid w:val="200C4AEE"/>
    <w:rsid w:val="20402758"/>
    <w:rsid w:val="214F546F"/>
    <w:rsid w:val="2168345F"/>
    <w:rsid w:val="219A525F"/>
    <w:rsid w:val="21E64000"/>
    <w:rsid w:val="22A77774"/>
    <w:rsid w:val="22BA38E0"/>
    <w:rsid w:val="22CD0F3E"/>
    <w:rsid w:val="23610CAB"/>
    <w:rsid w:val="240D162A"/>
    <w:rsid w:val="24860615"/>
    <w:rsid w:val="24A26904"/>
    <w:rsid w:val="24F44C86"/>
    <w:rsid w:val="251315B0"/>
    <w:rsid w:val="25184E18"/>
    <w:rsid w:val="253524A6"/>
    <w:rsid w:val="25D9715A"/>
    <w:rsid w:val="26213413"/>
    <w:rsid w:val="264F59B5"/>
    <w:rsid w:val="26C24657"/>
    <w:rsid w:val="277B343D"/>
    <w:rsid w:val="28210CC5"/>
    <w:rsid w:val="28273E78"/>
    <w:rsid w:val="28A64161"/>
    <w:rsid w:val="28B306B2"/>
    <w:rsid w:val="28CC555B"/>
    <w:rsid w:val="29451F54"/>
    <w:rsid w:val="2A2554D5"/>
    <w:rsid w:val="2A993D96"/>
    <w:rsid w:val="2AAA2748"/>
    <w:rsid w:val="2BEB6DE3"/>
    <w:rsid w:val="2C3C0D18"/>
    <w:rsid w:val="2C3C530D"/>
    <w:rsid w:val="2C544871"/>
    <w:rsid w:val="2CEF6EB8"/>
    <w:rsid w:val="2D297497"/>
    <w:rsid w:val="2D60110A"/>
    <w:rsid w:val="2D825525"/>
    <w:rsid w:val="2E0979F4"/>
    <w:rsid w:val="2EAD65D1"/>
    <w:rsid w:val="2EB769C5"/>
    <w:rsid w:val="2EC102CF"/>
    <w:rsid w:val="2EC41B6D"/>
    <w:rsid w:val="2EDA4EED"/>
    <w:rsid w:val="2F2E5CA2"/>
    <w:rsid w:val="2FDB0F1C"/>
    <w:rsid w:val="2FE204FD"/>
    <w:rsid w:val="30470360"/>
    <w:rsid w:val="3087511B"/>
    <w:rsid w:val="30FC55EE"/>
    <w:rsid w:val="31104BF6"/>
    <w:rsid w:val="31864B0F"/>
    <w:rsid w:val="31DE087D"/>
    <w:rsid w:val="32490156"/>
    <w:rsid w:val="32C043F9"/>
    <w:rsid w:val="335C2374"/>
    <w:rsid w:val="338C6342"/>
    <w:rsid w:val="33F32FFD"/>
    <w:rsid w:val="33FE222B"/>
    <w:rsid w:val="3422536C"/>
    <w:rsid w:val="34515C51"/>
    <w:rsid w:val="348C20EC"/>
    <w:rsid w:val="348E47AF"/>
    <w:rsid w:val="34CF6B76"/>
    <w:rsid w:val="351647A5"/>
    <w:rsid w:val="35383206"/>
    <w:rsid w:val="35DE52C2"/>
    <w:rsid w:val="35E312FD"/>
    <w:rsid w:val="35FC1BEC"/>
    <w:rsid w:val="363B0967"/>
    <w:rsid w:val="3680281D"/>
    <w:rsid w:val="36A0424B"/>
    <w:rsid w:val="36E763F9"/>
    <w:rsid w:val="37781747"/>
    <w:rsid w:val="378C3135"/>
    <w:rsid w:val="37F4701F"/>
    <w:rsid w:val="381E1076"/>
    <w:rsid w:val="381E409C"/>
    <w:rsid w:val="39094C39"/>
    <w:rsid w:val="394144E6"/>
    <w:rsid w:val="397A7FA5"/>
    <w:rsid w:val="39A67B58"/>
    <w:rsid w:val="39E92488"/>
    <w:rsid w:val="3A4B6C9E"/>
    <w:rsid w:val="3A5F1BC3"/>
    <w:rsid w:val="3A690800"/>
    <w:rsid w:val="3A7B3A28"/>
    <w:rsid w:val="3A96260F"/>
    <w:rsid w:val="3A9E0D56"/>
    <w:rsid w:val="3AEB63D2"/>
    <w:rsid w:val="3B383649"/>
    <w:rsid w:val="3B59692D"/>
    <w:rsid w:val="3BCE3D77"/>
    <w:rsid w:val="3BFC46F4"/>
    <w:rsid w:val="3CF347C1"/>
    <w:rsid w:val="3CF47AC1"/>
    <w:rsid w:val="3D0715A3"/>
    <w:rsid w:val="3D163594"/>
    <w:rsid w:val="3D98669F"/>
    <w:rsid w:val="3E4B64F8"/>
    <w:rsid w:val="3F393043"/>
    <w:rsid w:val="3FD26974"/>
    <w:rsid w:val="4000052B"/>
    <w:rsid w:val="404B5C4A"/>
    <w:rsid w:val="41214BFD"/>
    <w:rsid w:val="4189544E"/>
    <w:rsid w:val="421A1A82"/>
    <w:rsid w:val="42B9333F"/>
    <w:rsid w:val="42DA1507"/>
    <w:rsid w:val="430A4E5E"/>
    <w:rsid w:val="43210EE4"/>
    <w:rsid w:val="436F7031"/>
    <w:rsid w:val="43737125"/>
    <w:rsid w:val="43ED0927"/>
    <w:rsid w:val="44230592"/>
    <w:rsid w:val="443133A9"/>
    <w:rsid w:val="44621A87"/>
    <w:rsid w:val="4495115E"/>
    <w:rsid w:val="44BA5293"/>
    <w:rsid w:val="44E85551"/>
    <w:rsid w:val="4519715B"/>
    <w:rsid w:val="454A4722"/>
    <w:rsid w:val="45774DEB"/>
    <w:rsid w:val="45857508"/>
    <w:rsid w:val="458A0FC3"/>
    <w:rsid w:val="45DB35CC"/>
    <w:rsid w:val="45FB77CB"/>
    <w:rsid w:val="460D74FE"/>
    <w:rsid w:val="462156FF"/>
    <w:rsid w:val="46340F2E"/>
    <w:rsid w:val="464C7DAF"/>
    <w:rsid w:val="4685053C"/>
    <w:rsid w:val="46A63267"/>
    <w:rsid w:val="46B433DB"/>
    <w:rsid w:val="47123E74"/>
    <w:rsid w:val="477D021A"/>
    <w:rsid w:val="47925F0D"/>
    <w:rsid w:val="47A62C2A"/>
    <w:rsid w:val="47A81BD4"/>
    <w:rsid w:val="47D66741"/>
    <w:rsid w:val="47E80E6A"/>
    <w:rsid w:val="488146CF"/>
    <w:rsid w:val="48F14EB5"/>
    <w:rsid w:val="49055D22"/>
    <w:rsid w:val="49296166"/>
    <w:rsid w:val="493E7CFF"/>
    <w:rsid w:val="49583186"/>
    <w:rsid w:val="496839BB"/>
    <w:rsid w:val="4A0B1FA6"/>
    <w:rsid w:val="4A7B5AF4"/>
    <w:rsid w:val="4AB038BE"/>
    <w:rsid w:val="4BA91A77"/>
    <w:rsid w:val="4BE67274"/>
    <w:rsid w:val="4CA23096"/>
    <w:rsid w:val="4CCB437C"/>
    <w:rsid w:val="4CF6364B"/>
    <w:rsid w:val="4CFC16C1"/>
    <w:rsid w:val="4D07114B"/>
    <w:rsid w:val="4D8A6AFE"/>
    <w:rsid w:val="4E6B67CB"/>
    <w:rsid w:val="4EE456C8"/>
    <w:rsid w:val="4F7725B8"/>
    <w:rsid w:val="4FB811C3"/>
    <w:rsid w:val="501C5C8E"/>
    <w:rsid w:val="50333EB8"/>
    <w:rsid w:val="505A58A5"/>
    <w:rsid w:val="50D77086"/>
    <w:rsid w:val="51EB5637"/>
    <w:rsid w:val="527414FE"/>
    <w:rsid w:val="531B4467"/>
    <w:rsid w:val="5325232B"/>
    <w:rsid w:val="537C422A"/>
    <w:rsid w:val="53DA4EC3"/>
    <w:rsid w:val="5402266C"/>
    <w:rsid w:val="54596730"/>
    <w:rsid w:val="54783626"/>
    <w:rsid w:val="547846DC"/>
    <w:rsid w:val="549E1090"/>
    <w:rsid w:val="54AE1581"/>
    <w:rsid w:val="54C142D5"/>
    <w:rsid w:val="550D3076"/>
    <w:rsid w:val="55630B69"/>
    <w:rsid w:val="55D87B28"/>
    <w:rsid w:val="56867238"/>
    <w:rsid w:val="56B04601"/>
    <w:rsid w:val="56B314C5"/>
    <w:rsid w:val="56CE6602"/>
    <w:rsid w:val="58603B51"/>
    <w:rsid w:val="58C36062"/>
    <w:rsid w:val="58D26AB1"/>
    <w:rsid w:val="59127D64"/>
    <w:rsid w:val="59883613"/>
    <w:rsid w:val="59B47A99"/>
    <w:rsid w:val="5A181C21"/>
    <w:rsid w:val="5A6566CF"/>
    <w:rsid w:val="5B0D2022"/>
    <w:rsid w:val="5B3B286A"/>
    <w:rsid w:val="5B64036C"/>
    <w:rsid w:val="5B94004E"/>
    <w:rsid w:val="5C4E067B"/>
    <w:rsid w:val="5C72562A"/>
    <w:rsid w:val="5CED210B"/>
    <w:rsid w:val="5D0F79D5"/>
    <w:rsid w:val="5D4A1E7A"/>
    <w:rsid w:val="5D4D7B3E"/>
    <w:rsid w:val="5D59154F"/>
    <w:rsid w:val="5DB051B8"/>
    <w:rsid w:val="5DED1C97"/>
    <w:rsid w:val="5E0D40E7"/>
    <w:rsid w:val="5E373284"/>
    <w:rsid w:val="5E63490E"/>
    <w:rsid w:val="5EAB402C"/>
    <w:rsid w:val="5ED32649"/>
    <w:rsid w:val="5EF95E8A"/>
    <w:rsid w:val="5F04373C"/>
    <w:rsid w:val="5F155949"/>
    <w:rsid w:val="5FA630C9"/>
    <w:rsid w:val="5FD255E8"/>
    <w:rsid w:val="607466A0"/>
    <w:rsid w:val="608E7761"/>
    <w:rsid w:val="60964868"/>
    <w:rsid w:val="615C33BC"/>
    <w:rsid w:val="61E37639"/>
    <w:rsid w:val="62150988"/>
    <w:rsid w:val="62390357"/>
    <w:rsid w:val="627C0812"/>
    <w:rsid w:val="62894A45"/>
    <w:rsid w:val="631E0619"/>
    <w:rsid w:val="632919C3"/>
    <w:rsid w:val="63634365"/>
    <w:rsid w:val="640B1C93"/>
    <w:rsid w:val="64F007C1"/>
    <w:rsid w:val="655B7E2E"/>
    <w:rsid w:val="655F791E"/>
    <w:rsid w:val="65F20792"/>
    <w:rsid w:val="65FE55A7"/>
    <w:rsid w:val="66065A34"/>
    <w:rsid w:val="662F0FDA"/>
    <w:rsid w:val="6659611C"/>
    <w:rsid w:val="665E7BD6"/>
    <w:rsid w:val="669C12B1"/>
    <w:rsid w:val="66B3095A"/>
    <w:rsid w:val="66CA0DC7"/>
    <w:rsid w:val="67401089"/>
    <w:rsid w:val="680057B0"/>
    <w:rsid w:val="68322757"/>
    <w:rsid w:val="68436F9B"/>
    <w:rsid w:val="68695EE8"/>
    <w:rsid w:val="68721717"/>
    <w:rsid w:val="68872946"/>
    <w:rsid w:val="688B0A2A"/>
    <w:rsid w:val="69604A74"/>
    <w:rsid w:val="69681575"/>
    <w:rsid w:val="69D865C9"/>
    <w:rsid w:val="69FA5E67"/>
    <w:rsid w:val="6A9A48B4"/>
    <w:rsid w:val="6AF45803"/>
    <w:rsid w:val="6B0074AE"/>
    <w:rsid w:val="6D157B07"/>
    <w:rsid w:val="6DDE551D"/>
    <w:rsid w:val="6DE94229"/>
    <w:rsid w:val="6E3F02ED"/>
    <w:rsid w:val="6E7C32EF"/>
    <w:rsid w:val="6E89131A"/>
    <w:rsid w:val="6E902A69"/>
    <w:rsid w:val="6EA40B4C"/>
    <w:rsid w:val="6EC1019C"/>
    <w:rsid w:val="6FF332CA"/>
    <w:rsid w:val="703023B3"/>
    <w:rsid w:val="708E3A26"/>
    <w:rsid w:val="712F40D6"/>
    <w:rsid w:val="71395E38"/>
    <w:rsid w:val="715E3A26"/>
    <w:rsid w:val="71B92D4A"/>
    <w:rsid w:val="71FB09CF"/>
    <w:rsid w:val="7305627C"/>
    <w:rsid w:val="73103B7A"/>
    <w:rsid w:val="734B284A"/>
    <w:rsid w:val="738B5D82"/>
    <w:rsid w:val="73986CCF"/>
    <w:rsid w:val="73FC0A2E"/>
    <w:rsid w:val="73FC4BBA"/>
    <w:rsid w:val="74732B26"/>
    <w:rsid w:val="748923C3"/>
    <w:rsid w:val="74933140"/>
    <w:rsid w:val="74936C9D"/>
    <w:rsid w:val="7494394B"/>
    <w:rsid w:val="74A72748"/>
    <w:rsid w:val="74E120FE"/>
    <w:rsid w:val="750348D1"/>
    <w:rsid w:val="752B3379"/>
    <w:rsid w:val="75DE663D"/>
    <w:rsid w:val="764E00BE"/>
    <w:rsid w:val="765D5CD3"/>
    <w:rsid w:val="76764AC8"/>
    <w:rsid w:val="76851280"/>
    <w:rsid w:val="778D7592"/>
    <w:rsid w:val="77904E51"/>
    <w:rsid w:val="77FC0FFD"/>
    <w:rsid w:val="788F29CB"/>
    <w:rsid w:val="78AD22F7"/>
    <w:rsid w:val="78DA0A0F"/>
    <w:rsid w:val="790939D1"/>
    <w:rsid w:val="79420C91"/>
    <w:rsid w:val="795B4074"/>
    <w:rsid w:val="79805B2E"/>
    <w:rsid w:val="79B93A55"/>
    <w:rsid w:val="79F00F06"/>
    <w:rsid w:val="79F9687B"/>
    <w:rsid w:val="7AA24390"/>
    <w:rsid w:val="7AAD24F5"/>
    <w:rsid w:val="7AD65B35"/>
    <w:rsid w:val="7AF608E4"/>
    <w:rsid w:val="7B5573A2"/>
    <w:rsid w:val="7B62561B"/>
    <w:rsid w:val="7B8A39F9"/>
    <w:rsid w:val="7B9854E0"/>
    <w:rsid w:val="7BC46112"/>
    <w:rsid w:val="7C093CE8"/>
    <w:rsid w:val="7CA47ACF"/>
    <w:rsid w:val="7CE00EED"/>
    <w:rsid w:val="7D10781E"/>
    <w:rsid w:val="7D1C7A4B"/>
    <w:rsid w:val="7D711B45"/>
    <w:rsid w:val="7DA011E5"/>
    <w:rsid w:val="7DA737B9"/>
    <w:rsid w:val="7E3F0E27"/>
    <w:rsid w:val="7F8D69D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spacing w:before="240" w:after="60"/>
      <w:outlineLvl w:val="1"/>
    </w:pPr>
    <w:rPr>
      <w:rFonts w:ascii="Cambria" w:hAnsi="Cambria" w:eastAsia="黑体"/>
      <w:b/>
      <w:bCs/>
      <w:iCs/>
      <w:sz w:val="28"/>
      <w:szCs w:val="28"/>
    </w:rPr>
  </w:style>
  <w:style w:type="paragraph" w:styleId="4">
    <w:name w:val="heading 3"/>
    <w:basedOn w:val="1"/>
    <w:next w:val="1"/>
    <w:autoRedefine/>
    <w:semiHidden/>
    <w:unhideWhenUsed/>
    <w:qFormat/>
    <w:uiPriority w:val="0"/>
    <w:pPr>
      <w:jc w:val="left"/>
      <w:outlineLvl w:val="2"/>
    </w:pPr>
    <w:rPr>
      <w:rFonts w:hint="eastAsia" w:ascii="宋体" w:hAnsi="宋体"/>
      <w:b/>
      <w:kern w:val="0"/>
      <w:sz w:val="27"/>
      <w:szCs w:val="27"/>
    </w:rPr>
  </w:style>
  <w:style w:type="paragraph" w:styleId="5">
    <w:name w:val="heading 4"/>
    <w:basedOn w:val="3"/>
    <w:next w:val="1"/>
    <w:autoRedefine/>
    <w:qFormat/>
    <w:uiPriority w:val="0"/>
    <w:pPr>
      <w:keepLines/>
      <w:spacing w:before="280" w:after="290" w:line="372" w:lineRule="auto"/>
      <w:outlineLvl w:val="3"/>
    </w:pPr>
    <w:rPr>
      <w:rFonts w:ascii="Arial" w:hAnsi="Arial"/>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index 5"/>
    <w:basedOn w:val="1"/>
    <w:next w:val="1"/>
    <w:autoRedefine/>
    <w:qFormat/>
    <w:uiPriority w:val="0"/>
    <w:pPr>
      <w:ind w:left="1680"/>
    </w:pPr>
  </w:style>
  <w:style w:type="paragraph" w:styleId="7">
    <w:name w:val="Body Text"/>
    <w:basedOn w:val="1"/>
    <w:next w:val="8"/>
    <w:autoRedefine/>
    <w:qFormat/>
    <w:uiPriority w:val="0"/>
    <w:rPr>
      <w:rFonts w:eastAsia="仿宋_GB2312" w:cs="黑体"/>
      <w:sz w:val="30"/>
    </w:rPr>
  </w:style>
  <w:style w:type="paragraph" w:customStyle="1" w:styleId="8">
    <w:name w:val="默认"/>
    <w:autoRedefine/>
    <w:qFormat/>
    <w:uiPriority w:val="0"/>
    <w:rPr>
      <w:rFonts w:ascii="Helvetica" w:hAnsi="Helvetica" w:eastAsia="Helvetica" w:cs="Times New Roman"/>
      <w:color w:val="000000"/>
      <w:sz w:val="22"/>
      <w:szCs w:val="22"/>
      <w:lang w:val="en-US" w:eastAsia="zh-CN"/>
    </w:rPr>
  </w:style>
  <w:style w:type="paragraph" w:styleId="9">
    <w:name w:val="Balloon Text"/>
    <w:basedOn w:val="1"/>
    <w:link w:val="28"/>
    <w:autoRedefine/>
    <w:qFormat/>
    <w:uiPriority w:val="0"/>
    <w:rPr>
      <w:sz w:val="18"/>
      <w:szCs w:val="18"/>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autoRedefine/>
    <w:qFormat/>
    <w:uiPriority w:val="0"/>
    <w:pPr>
      <w:ind w:left="2520"/>
    </w:p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rFonts w:eastAsia="仿宋_GB2312"/>
      <w:b/>
      <w:sz w:val="24"/>
      <w:szCs w:val="32"/>
    </w:rPr>
  </w:style>
  <w:style w:type="character" w:styleId="18">
    <w:name w:val="page number"/>
    <w:basedOn w:val="16"/>
    <w:autoRedefine/>
    <w:qFormat/>
    <w:uiPriority w:val="0"/>
  </w:style>
  <w:style w:type="character" w:styleId="19">
    <w:name w:val="FollowedHyperlink"/>
    <w:basedOn w:val="16"/>
    <w:autoRedefine/>
    <w:qFormat/>
    <w:uiPriority w:val="0"/>
    <w:rPr>
      <w:color w:val="000000"/>
      <w:u w:val="none"/>
    </w:rPr>
  </w:style>
  <w:style w:type="character" w:styleId="20">
    <w:name w:val="Emphasis"/>
    <w:autoRedefine/>
    <w:qFormat/>
    <w:uiPriority w:val="0"/>
    <w:rPr>
      <w:rFonts w:eastAsia="仿宋_GB2312"/>
      <w:i/>
      <w:iCs/>
      <w:sz w:val="24"/>
      <w:szCs w:val="32"/>
    </w:rPr>
  </w:style>
  <w:style w:type="character" w:styleId="21">
    <w:name w:val="Hyperlink"/>
    <w:basedOn w:val="16"/>
    <w:autoRedefine/>
    <w:qFormat/>
    <w:uiPriority w:val="0"/>
    <w:rPr>
      <w:color w:val="000000"/>
      <w:u w:val="none"/>
    </w:rPr>
  </w:style>
  <w:style w:type="paragraph" w:customStyle="1" w:styleId="2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23">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_Style 0"/>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标题 1 Char"/>
    <w:link w:val="2"/>
    <w:autoRedefine/>
    <w:qFormat/>
    <w:uiPriority w:val="0"/>
    <w:rPr>
      <w:b/>
      <w:kern w:val="44"/>
      <w:sz w:val="44"/>
    </w:rPr>
  </w:style>
  <w:style w:type="paragraph" w:customStyle="1" w:styleId="26">
    <w:name w:val="列出段落1"/>
    <w:basedOn w:val="1"/>
    <w:autoRedefine/>
    <w:qFormat/>
    <w:uiPriority w:val="34"/>
    <w:pPr>
      <w:ind w:firstLine="420" w:firstLineChars="200"/>
    </w:pPr>
  </w:style>
  <w:style w:type="paragraph" w:customStyle="1" w:styleId="27">
    <w:name w:val="列出段落2"/>
    <w:basedOn w:val="1"/>
    <w:autoRedefine/>
    <w:qFormat/>
    <w:uiPriority w:val="0"/>
    <w:pPr>
      <w:ind w:firstLine="200" w:firstLineChars="200"/>
    </w:pPr>
    <w:rPr>
      <w:rFonts w:ascii="Calibri" w:hAnsi="Calibri"/>
    </w:rPr>
  </w:style>
  <w:style w:type="character" w:customStyle="1" w:styleId="28">
    <w:name w:val="批注框文本 Char"/>
    <w:basedOn w:val="16"/>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3415</Words>
  <Characters>3562</Characters>
  <Lines>29</Lines>
  <Paragraphs>8</Paragraphs>
  <TotalTime>23</TotalTime>
  <ScaleCrop>false</ScaleCrop>
  <LinksUpToDate>false</LinksUpToDate>
  <CharactersWithSpaces>3586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2019-11-21T06:48:00Z</dcterms:created>
  <dc:creator>≒限量版呗呗、</dc:creator>
  <cp:lastModifiedBy>办公室-赵明月</cp:lastModifiedBy>
  <cp:lastPrinted>2025-02-26T00:59:00Z</cp:lastPrinted>
  <dcterms:modified xsi:type="dcterms:W3CDTF">2025-04-22T02:04:18Z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ACB22C6043044D32B8447415212ABFC5_13</vt:lpwstr>
  </property>
  <property fmtid="{D5CDD505-2E9C-101B-9397-08002B2CF9AE}" pid="4" name="KSOTemplateDocerSaveRecord">
    <vt:lpwstr>eyJoZGlkIjoiMmUwNWM3YTM2OTZjODdmY2Q3M2Y0NTBjNTk2ODVjOWQiLCJ1c2VySWQiOiI4MzkwNjE3MzMifQ==</vt:lpwstr>
  </property>
</Properties>
</file>