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9C51B">
      <w:pPr>
        <w:pStyle w:val="8"/>
        <w:shd w:val="clear" w:color="auto" w:fill="FFFFFF"/>
        <w:spacing w:before="0" w:beforeAutospacing="0" w:after="0" w:afterAutospacing="0" w:line="560" w:lineRule="exact"/>
        <w:jc w:val="both"/>
        <w:rPr>
          <w:rFonts w:ascii="方正仿宋_GBK" w:eastAsia="方正仿宋_GBK"/>
          <w:sz w:val="32"/>
          <w:szCs w:val="32"/>
        </w:rPr>
      </w:pPr>
    </w:p>
    <w:p w14:paraId="461AAD8B">
      <w:pPr>
        <w:pStyle w:val="8"/>
        <w:shd w:val="clear" w:color="auto" w:fill="FFFFFF"/>
        <w:spacing w:before="0" w:beforeAutospacing="0" w:after="0" w:afterAutospacing="0" w:line="560" w:lineRule="exact"/>
        <w:ind w:firstLine="880" w:firstLineChars="200"/>
        <w:jc w:val="both"/>
        <w:outlineLvl w:val="0"/>
        <w:rPr>
          <w:rFonts w:ascii="方正小标宋_GBK" w:eastAsia="方正小标宋_GBK"/>
          <w:sz w:val="44"/>
          <w:szCs w:val="44"/>
        </w:rPr>
      </w:pPr>
      <w:r>
        <w:rPr>
          <w:rFonts w:hint="eastAsia" w:ascii="方正小标宋_GBK" w:eastAsia="方正小标宋_GBK"/>
          <w:sz w:val="44"/>
          <w:szCs w:val="44"/>
        </w:rPr>
        <w:t>重庆市南岸区卫生健康委员会(本级)</w:t>
      </w:r>
    </w:p>
    <w:p w14:paraId="237BA238">
      <w:pPr>
        <w:pStyle w:val="8"/>
        <w:shd w:val="clear" w:color="auto" w:fill="FFFFFF"/>
        <w:spacing w:before="0" w:beforeAutospacing="0" w:after="0" w:afterAutospacing="0" w:line="560" w:lineRule="exact"/>
        <w:ind w:firstLine="1540" w:firstLineChars="350"/>
        <w:jc w:val="both"/>
        <w:outlineLvl w:val="0"/>
        <w:rPr>
          <w:rFonts w:ascii="方正小标宋_GBK" w:eastAsia="方正小标宋_GBK"/>
          <w:sz w:val="44"/>
          <w:szCs w:val="44"/>
        </w:rPr>
      </w:pPr>
      <w:r>
        <w:rPr>
          <w:rFonts w:hint="eastAsia" w:ascii="方正小标宋_GBK" w:eastAsia="方正小标宋_GBK"/>
          <w:sz w:val="44"/>
          <w:szCs w:val="44"/>
        </w:rPr>
        <w:t>2020年度部门决算情况说明</w:t>
      </w:r>
    </w:p>
    <w:p w14:paraId="5F70DDC3">
      <w:pPr>
        <w:pStyle w:val="8"/>
        <w:shd w:val="clear" w:color="auto" w:fill="FFFFFF"/>
        <w:spacing w:before="0" w:beforeAutospacing="0" w:after="0" w:afterAutospacing="0" w:line="560" w:lineRule="exact"/>
        <w:ind w:firstLine="640" w:firstLineChars="200"/>
        <w:jc w:val="both"/>
        <w:outlineLvl w:val="0"/>
        <w:rPr>
          <w:rStyle w:val="11"/>
          <w:rFonts w:ascii="方正黑体_GBK" w:eastAsia="方正黑体_GBK"/>
          <w:b w:val="0"/>
          <w:sz w:val="32"/>
          <w:szCs w:val="32"/>
        </w:rPr>
      </w:pPr>
      <w:r>
        <w:rPr>
          <w:rStyle w:val="11"/>
          <w:rFonts w:hint="eastAsia" w:ascii="方正黑体_GBK" w:eastAsia="方正黑体_GBK"/>
          <w:b w:val="0"/>
          <w:sz w:val="32"/>
          <w:szCs w:val="32"/>
        </w:rPr>
        <w:t>一、部门基本情况</w:t>
      </w:r>
    </w:p>
    <w:p w14:paraId="32AA1E4A">
      <w:pPr>
        <w:adjustRightInd w:val="0"/>
        <w:snapToGrid w:val="0"/>
        <w:spacing w:line="600" w:lineRule="exact"/>
        <w:ind w:firstLine="643" w:firstLineChars="200"/>
        <w:rPr>
          <w:rFonts w:ascii="Calibri" w:hAnsi="Calibri" w:eastAsia="方正仿宋_GBK" w:cs="Arial"/>
          <w:color w:val="000000"/>
          <w:sz w:val="32"/>
          <w:szCs w:val="32"/>
        </w:rPr>
      </w:pPr>
      <w:r>
        <w:rPr>
          <w:rFonts w:hint="eastAsia" w:ascii="方正仿宋_GBK" w:eastAsia="方正仿宋_GBK"/>
          <w:b/>
          <w:sz w:val="32"/>
          <w:szCs w:val="32"/>
        </w:rPr>
        <w:t>（一）职能职责。</w:t>
      </w:r>
      <w:r>
        <w:rPr>
          <w:rFonts w:hint="eastAsia" w:ascii="Calibri" w:hAnsi="Calibri" w:eastAsia="方正仿宋_GBK" w:cs="Arial"/>
          <w:color w:val="000000"/>
          <w:sz w:val="32"/>
          <w:szCs w:val="32"/>
        </w:rPr>
        <w:t>重庆市南岸区卫生健康委员会的主要职责是：</w:t>
      </w:r>
    </w:p>
    <w:p w14:paraId="08F23067">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1.贯彻落实党中央和市委、区委关于卫生健康工作的方针政策、决策部署和工作安排，在履行职责过程中坚持和加强党对卫生健康工作的集中统一领导。</w:t>
      </w:r>
    </w:p>
    <w:p w14:paraId="159A2585">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2.贯彻落实国民健康地方性政策和卫生健康事业发展的地方性法规和政府规章、地方标准。统筹规划全区卫生健康资源配置，编制全区卫生健康规划并组织实施。制定并组织实施推进全区卫生健康基本公共服务均等化、普惠化、便捷化和公共资源向基层延伸等政策措施。负责辖区卫生健康领域综合执法，具体执法交由执法队伍承担，并以部门的名义统一执法。</w:t>
      </w:r>
    </w:p>
    <w:p w14:paraId="2557052C">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3.协调推进全区深化医药卫生体制改革，研究提出深化医药卫生体制改革具体政策、措施的建议。组织深化公立医院综合改革，推进管办分离，健全现代医院管理制度，制定并组织实施推动全区卫生健康公共服务提供主体多元化、提供方式多样化的政策措施，配合相关部门提出完善医疗服务和药品价格政策的建议。</w:t>
      </w:r>
    </w:p>
    <w:p w14:paraId="5113EE2F">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4.制定并组织落实全区疾病预防控制规划、免疫规划以及严重危害人民健康的公共卫生问题的干预措施，根据国家检疫传染病和监测传染病目录开展相关工作。负责全区卫生应急工作，组织指导全区突发公共卫生事件的预防控制和各类突发公共事件的医疗卫生救援。</w:t>
      </w:r>
    </w:p>
    <w:p w14:paraId="111DF31F">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5.组织拟订并协调落实应对人口老龄化政策措施，负责推进全区老年健康服务体系建设和医养结合工作。承担南岸区老龄工作委员会的日常工作。</w:t>
      </w:r>
    </w:p>
    <w:p w14:paraId="248F3290">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6.落实国家药物政策和国家基本药物制度，开展药品使用监测、临床综合评价和短缺药品预警，执行国家基本药物目录。组织实施食品安全风险监测评估，依法推进落实食品安全地方标准，负责食源性疾病及与食品安全事故有关的流行病学调查。</w:t>
      </w:r>
    </w:p>
    <w:p w14:paraId="76176A7F">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7.负责职责范围内的职业卫生、放射卫生、环境卫生、学校卫生、公共场所卫生、饮用水卫生等公共卫生的监督管理，负责传染病防治监督，健全全区卫生健康综合监督体系。负责卫生健康机构安全监督管理。根据《烟草控制框架公约》做好相关工作。</w:t>
      </w:r>
    </w:p>
    <w:p w14:paraId="07F904F0">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8.贯彻执行医疗机构、医疗服务行业管理办法并监督实施，建立医疗服务评价和监督管理体系。会同有关部门贯彻执行国家卫生健康专业技术人员资格标准。贯彻执行医疗服务规范和卫生健康专业技术人员执业规则、服务规范。</w:t>
      </w:r>
    </w:p>
    <w:p w14:paraId="14DEA19B">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9.负责计划生育管理和服务工作，开展人口监测预警，研究提出人口与家庭发展相关政策建议，落实计划生育政策。</w:t>
      </w:r>
    </w:p>
    <w:p w14:paraId="79BBE0B3">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10.负责机关、直属单位和行业社会组织党建工作。推进医疗卫生、妇幼健康服务体系和全科医生队伍建设，推进卫生健康科技创新发展，承担健康扶贫工程相关工作。</w:t>
      </w:r>
    </w:p>
    <w:p w14:paraId="548D34D9">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11.负责区级保健对象和高层次人才的医疗保健工作。</w:t>
      </w:r>
      <w:r>
        <w:rPr>
          <w:rFonts w:ascii="Calibri" w:hAnsi="Calibri" w:eastAsia="方正仿宋_GBK" w:cs="Arial"/>
          <w:color w:val="000000"/>
          <w:sz w:val="32"/>
          <w:szCs w:val="32"/>
        </w:rPr>
        <w:t xml:space="preserve"> </w:t>
      </w:r>
      <w:r>
        <w:rPr>
          <w:rFonts w:hint="eastAsia" w:ascii="Calibri" w:hAnsi="Calibri" w:eastAsia="方正仿宋_GBK" w:cs="Arial"/>
          <w:color w:val="000000"/>
          <w:sz w:val="32"/>
          <w:szCs w:val="32"/>
        </w:rPr>
        <w:t>负责在全区召开的国际性、国家和市、区重要会议、重大活动的卫生保障工作。承担区委、区政府指定的有关保健医疗方面的工作任务及相关事项。</w:t>
      </w:r>
    </w:p>
    <w:p w14:paraId="2FF310C7">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12.拟订中医药中长期发展规划，并纳入全区卫生健康事业发展总体规划和战略目标。</w:t>
      </w:r>
    </w:p>
    <w:p w14:paraId="374E5E3B">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13.代管重庆市南岸区红十字会及重庆市南岸区计划生育协会机关。</w:t>
      </w:r>
    </w:p>
    <w:p w14:paraId="1F347ABD">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14.完成区委和区政府交办的其他任务。</w:t>
      </w:r>
    </w:p>
    <w:p w14:paraId="0EA8570E">
      <w:pPr>
        <w:adjustRightInd w:val="0"/>
        <w:snapToGrid w:val="0"/>
        <w:spacing w:line="600" w:lineRule="exact"/>
        <w:ind w:firstLine="640" w:firstLineChars="200"/>
        <w:rPr>
          <w:rFonts w:ascii="Calibri" w:hAnsi="Calibri" w:eastAsia="方正仿宋_GBK" w:cs="Arial"/>
          <w:color w:val="000000"/>
          <w:sz w:val="32"/>
          <w:szCs w:val="32"/>
        </w:rPr>
      </w:pPr>
      <w:r>
        <w:rPr>
          <w:rFonts w:hint="eastAsia" w:ascii="Calibri" w:hAnsi="Calibri" w:eastAsia="方正仿宋_GBK" w:cs="Arial"/>
          <w:color w:val="000000"/>
          <w:sz w:val="32"/>
          <w:szCs w:val="32"/>
        </w:rPr>
        <w:t>15.职能转变。重庆市南岸区卫生健康委员会应当牢固树立大卫生、大健康理念，推动实施健康中国战略南岸实践，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14:paraId="1ADC14B9">
      <w:pPr>
        <w:ind w:firstLine="643" w:firstLineChars="200"/>
        <w:rPr>
          <w:rFonts w:ascii="方正仿宋_GBK" w:hAnsi="方正仿宋_GBK" w:eastAsia="方正仿宋_GBK" w:cs="方正仿宋_GBK"/>
          <w:sz w:val="32"/>
          <w:szCs w:val="32"/>
        </w:rPr>
      </w:pPr>
      <w:r>
        <w:rPr>
          <w:rFonts w:hint="eastAsia" w:ascii="方正仿宋_GBK" w:eastAsia="方正仿宋_GBK"/>
          <w:b/>
          <w:sz w:val="32"/>
          <w:szCs w:val="32"/>
        </w:rPr>
        <w:t>（二）机构设置。</w:t>
      </w:r>
      <w:r>
        <w:rPr>
          <w:rFonts w:hint="eastAsia" w:ascii="方正仿宋_GBK" w:hAnsi="方正仿宋_GBK" w:eastAsia="方正仿宋_GBK" w:cs="方正仿宋_GBK"/>
          <w:sz w:val="32"/>
          <w:szCs w:val="32"/>
        </w:rPr>
        <w:t>内设7个机构。分别为：</w:t>
      </w:r>
      <w:r>
        <w:rPr>
          <w:rFonts w:hint="eastAsia" w:ascii="方正仿宋_GBK" w:hAnsi="Calibri" w:eastAsia="方正仿宋_GBK" w:cs="Arial"/>
          <w:color w:val="000000"/>
          <w:sz w:val="32"/>
          <w:szCs w:val="32"/>
        </w:rPr>
        <w:t>办公室（纪检组织科）</w:t>
      </w:r>
      <w:r>
        <w:rPr>
          <w:rFonts w:hint="eastAsia" w:ascii="方正仿宋_GBK" w:hAnsi="方正仿宋_GBK" w:eastAsia="方正仿宋_GBK" w:cs="方正仿宋_GBK"/>
          <w:sz w:val="32"/>
          <w:szCs w:val="32"/>
        </w:rPr>
        <w:t>、</w:t>
      </w:r>
      <w:r>
        <w:rPr>
          <w:rFonts w:hint="eastAsia" w:ascii="方正仿宋_GBK" w:hAnsi="Calibri" w:eastAsia="方正仿宋_GBK" w:cs="Arial"/>
          <w:color w:val="000000"/>
          <w:sz w:val="32"/>
          <w:szCs w:val="32"/>
        </w:rPr>
        <w:t>规划财务科（信息科）</w:t>
      </w:r>
      <w:r>
        <w:rPr>
          <w:rFonts w:hint="eastAsia" w:ascii="方正仿宋_GBK" w:hAnsi="方正仿宋_GBK" w:eastAsia="方正仿宋_GBK" w:cs="方正仿宋_GBK"/>
          <w:sz w:val="32"/>
          <w:szCs w:val="32"/>
        </w:rPr>
        <w:t>、</w:t>
      </w:r>
      <w:r>
        <w:rPr>
          <w:rFonts w:hint="eastAsia" w:ascii="方正仿宋_GBK" w:hAnsi="Calibri" w:eastAsia="方正仿宋_GBK" w:cs="Arial"/>
          <w:color w:val="000000"/>
          <w:sz w:val="32"/>
          <w:szCs w:val="32"/>
        </w:rPr>
        <w:t>政策法规科（行政审批科）</w:t>
      </w:r>
      <w:r>
        <w:rPr>
          <w:rFonts w:hint="eastAsia" w:ascii="方正仿宋_GBK" w:hAnsi="方正仿宋_GBK" w:eastAsia="方正仿宋_GBK" w:cs="方正仿宋_GBK"/>
          <w:sz w:val="32"/>
          <w:szCs w:val="32"/>
        </w:rPr>
        <w:t>、</w:t>
      </w:r>
      <w:r>
        <w:rPr>
          <w:rFonts w:hint="eastAsia" w:ascii="方正仿宋_GBK" w:hAnsi="Calibri" w:eastAsia="方正仿宋_GBK" w:cs="Arial"/>
          <w:color w:val="000000"/>
          <w:sz w:val="32"/>
          <w:szCs w:val="32"/>
        </w:rPr>
        <w:t>基层卫生健康科</w:t>
      </w:r>
      <w:r>
        <w:rPr>
          <w:rFonts w:hint="eastAsia" w:ascii="方正仿宋_GBK" w:hAnsi="方正仿宋_GBK" w:eastAsia="方正仿宋_GBK" w:cs="方正仿宋_GBK"/>
          <w:sz w:val="32"/>
          <w:szCs w:val="32"/>
        </w:rPr>
        <w:t>、</w:t>
      </w:r>
      <w:r>
        <w:rPr>
          <w:rFonts w:hint="eastAsia" w:ascii="方正仿宋_GBK" w:hAnsi="Calibri" w:eastAsia="方正仿宋_GBK" w:cs="Arial"/>
          <w:color w:val="000000"/>
          <w:sz w:val="32"/>
          <w:szCs w:val="32"/>
        </w:rPr>
        <w:t>医政科（医改办）</w:t>
      </w:r>
      <w:r>
        <w:rPr>
          <w:rFonts w:hint="eastAsia" w:ascii="方正仿宋_GBK" w:hAnsi="方正仿宋_GBK" w:eastAsia="方正仿宋_GBK" w:cs="方正仿宋_GBK"/>
          <w:sz w:val="32"/>
          <w:szCs w:val="32"/>
        </w:rPr>
        <w:t>、</w:t>
      </w:r>
      <w:r>
        <w:rPr>
          <w:rFonts w:hint="eastAsia" w:ascii="方正仿宋_GBK" w:hAnsi="Calibri" w:eastAsia="方正仿宋_GBK" w:cs="Arial"/>
          <w:color w:val="000000"/>
          <w:sz w:val="32"/>
          <w:szCs w:val="32"/>
        </w:rPr>
        <w:t>公共卫生科（卫生应急办、重庆市南岸区爱国卫生运动委员会办公室）</w:t>
      </w:r>
      <w:r>
        <w:rPr>
          <w:rFonts w:hint="eastAsia" w:ascii="方正仿宋_GBK" w:hAnsi="方正仿宋_GBK" w:eastAsia="方正仿宋_GBK" w:cs="方正仿宋_GBK"/>
          <w:sz w:val="32"/>
          <w:szCs w:val="32"/>
        </w:rPr>
        <w:t>、</w:t>
      </w:r>
      <w:r>
        <w:rPr>
          <w:rFonts w:hint="eastAsia" w:ascii="方正仿宋_GBK" w:hAnsi="Calibri" w:eastAsia="方正仿宋_GBK" w:cs="Arial"/>
          <w:color w:val="000000"/>
          <w:sz w:val="32"/>
          <w:szCs w:val="32"/>
        </w:rPr>
        <w:t>人口与家庭发展科</w:t>
      </w:r>
      <w:r>
        <w:rPr>
          <w:rFonts w:hint="eastAsia" w:ascii="方正仿宋_GBK" w:hAnsi="方正仿宋_GBK" w:eastAsia="方正仿宋_GBK" w:cs="方正仿宋_GBK"/>
          <w:sz w:val="32"/>
          <w:szCs w:val="32"/>
        </w:rPr>
        <w:t>。现有在编人员26人。</w:t>
      </w:r>
    </w:p>
    <w:p w14:paraId="1CB5422C">
      <w:pPr>
        <w:pStyle w:val="8"/>
        <w:shd w:val="clear" w:color="auto" w:fill="FFFFFF"/>
        <w:spacing w:before="0" w:beforeAutospacing="0" w:after="0" w:afterAutospacing="0" w:line="560" w:lineRule="exact"/>
        <w:ind w:firstLine="643" w:firstLineChars="200"/>
        <w:outlineLvl w:val="1"/>
        <w:rPr>
          <w:rFonts w:ascii="方正仿宋_GBK" w:eastAsia="方正仿宋_GBK"/>
          <w:sz w:val="32"/>
          <w:szCs w:val="32"/>
        </w:rPr>
      </w:pPr>
      <w:r>
        <w:rPr>
          <w:rFonts w:hint="eastAsia" w:ascii="方正仿宋_GBK" w:eastAsia="方正仿宋_GBK"/>
          <w:b/>
          <w:sz w:val="32"/>
          <w:szCs w:val="32"/>
        </w:rPr>
        <w:t>（三）单位构成。</w:t>
      </w:r>
      <w:r>
        <w:rPr>
          <w:rFonts w:hint="eastAsia" w:ascii="方正仿宋_GBK" w:eastAsia="方正仿宋_GBK"/>
          <w:sz w:val="32"/>
          <w:szCs w:val="32"/>
        </w:rPr>
        <w:t>从预算单位构成看，我单位为纳入本部门2020年度决算编制的二级预算单位。</w:t>
      </w:r>
    </w:p>
    <w:p w14:paraId="53514C49">
      <w:pPr>
        <w:ind w:firstLine="640" w:firstLineChars="200"/>
        <w:rPr>
          <w:rStyle w:val="11"/>
          <w:rFonts w:ascii="方正黑体_GBK" w:eastAsia="方正黑体_GBK"/>
          <w:b w:val="0"/>
        </w:rPr>
      </w:pPr>
      <w:r>
        <w:rPr>
          <w:rStyle w:val="11"/>
          <w:rFonts w:hint="eastAsia" w:ascii="方正黑体_GBK" w:eastAsia="方正黑体_GBK"/>
          <w:b w:val="0"/>
          <w:sz w:val="32"/>
          <w:szCs w:val="32"/>
        </w:rPr>
        <w:t>二、部门决算情况说明</w:t>
      </w:r>
    </w:p>
    <w:p w14:paraId="6BDAC607">
      <w:pPr>
        <w:pStyle w:val="8"/>
        <w:shd w:val="clear" w:color="auto" w:fill="FFFFFF"/>
        <w:spacing w:before="0" w:beforeAutospacing="0" w:after="0" w:afterAutospacing="0" w:line="560" w:lineRule="exact"/>
        <w:ind w:firstLine="643" w:firstLineChars="200"/>
        <w:jc w:val="both"/>
        <w:outlineLvl w:val="0"/>
        <w:rPr>
          <w:rFonts w:ascii="方正仿宋_GBK" w:eastAsia="方正仿宋_GBK"/>
          <w:sz w:val="32"/>
          <w:szCs w:val="32"/>
        </w:rPr>
      </w:pPr>
      <w:r>
        <w:rPr>
          <w:rStyle w:val="11"/>
          <w:rFonts w:hint="eastAsia" w:ascii="方正仿宋_GBK" w:eastAsia="方正仿宋_GBK"/>
          <w:sz w:val="32"/>
          <w:szCs w:val="32"/>
        </w:rPr>
        <w:t>（一）收入支出决算总体情况说明</w:t>
      </w:r>
    </w:p>
    <w:p w14:paraId="4A76F49C">
      <w:pPr>
        <w:ind w:firstLine="643" w:firstLineChars="200"/>
        <w:rPr>
          <w:rFonts w:ascii="方正仿宋_GBK" w:eastAsia="方正仿宋_GBK"/>
          <w:sz w:val="32"/>
          <w:szCs w:val="32"/>
        </w:rPr>
      </w:pPr>
      <w:r>
        <w:rPr>
          <w:rFonts w:hint="eastAsia" w:ascii="方正仿宋_GBK" w:eastAsia="方正仿宋_GBK"/>
          <w:b/>
          <w:sz w:val="32"/>
          <w:szCs w:val="32"/>
        </w:rPr>
        <w:t>1.总体情况。</w:t>
      </w:r>
      <w:r>
        <w:rPr>
          <w:rFonts w:hint="eastAsia" w:ascii="方正仿宋_GBK" w:hAnsi="方正仿宋_GBK" w:eastAsia="方正仿宋_GBK" w:cs="方正仿宋_GBK"/>
          <w:sz w:val="32"/>
          <w:szCs w:val="32"/>
          <w:shd w:val="clear" w:color="auto" w:fill="FFFFFF"/>
        </w:rPr>
        <w:t>本部门2020年度收入总计</w:t>
      </w:r>
      <w:r>
        <w:rPr>
          <w:rFonts w:ascii="方正仿宋_GBK" w:hAnsi="方正仿宋_GBK" w:eastAsia="方正仿宋_GBK" w:cs="方正仿宋_GBK"/>
          <w:sz w:val="32"/>
          <w:szCs w:val="32"/>
          <w:shd w:val="clear" w:color="auto" w:fill="FFFFFF"/>
        </w:rPr>
        <w:t>32086.75</w:t>
      </w:r>
      <w:r>
        <w:rPr>
          <w:rFonts w:hint="eastAsia" w:ascii="方正仿宋_GBK" w:hAnsi="方正仿宋_GBK" w:eastAsia="方正仿宋_GBK" w:cs="方正仿宋_GBK"/>
          <w:sz w:val="32"/>
          <w:szCs w:val="32"/>
          <w:shd w:val="clear" w:color="auto" w:fill="FFFFFF"/>
        </w:rPr>
        <w:t>万元，支出总计</w:t>
      </w:r>
      <w:r>
        <w:rPr>
          <w:rFonts w:ascii="方正仿宋_GBK" w:hAnsi="方正仿宋_GBK" w:eastAsia="方正仿宋_GBK" w:cs="方正仿宋_GBK"/>
          <w:sz w:val="32"/>
          <w:szCs w:val="32"/>
          <w:shd w:val="clear" w:color="auto" w:fill="FFFFFF"/>
        </w:rPr>
        <w:t>32086.75</w:t>
      </w:r>
      <w:r>
        <w:rPr>
          <w:rFonts w:hint="eastAsia" w:ascii="方正仿宋_GBK" w:hAnsi="方正仿宋_GBK" w:eastAsia="方正仿宋_GBK" w:cs="方正仿宋_GBK"/>
          <w:sz w:val="32"/>
          <w:szCs w:val="32"/>
          <w:shd w:val="clear" w:color="auto" w:fill="FFFFFF"/>
        </w:rPr>
        <w:t>万元。收支较上年决算数增加24638.92万元，增330.82%，主要原因是今年受疫情影响，新增了</w:t>
      </w:r>
      <w:r>
        <w:rPr>
          <w:rFonts w:ascii="方正仿宋_GBK" w:hAnsi="方正仿宋_GBK" w:eastAsia="方正仿宋_GBK" w:cs="方正仿宋_GBK"/>
          <w:sz w:val="32"/>
          <w:szCs w:val="32"/>
          <w:shd w:val="clear" w:color="auto" w:fill="FFFFFF"/>
        </w:rPr>
        <w:t>特别抗疫</w:t>
      </w:r>
      <w:r>
        <w:rPr>
          <w:rFonts w:hint="eastAsia" w:ascii="方正仿宋_GBK" w:hAnsi="方正仿宋_GBK" w:eastAsia="方正仿宋_GBK" w:cs="方正仿宋_GBK"/>
          <w:sz w:val="32"/>
          <w:szCs w:val="32"/>
          <w:shd w:val="clear" w:color="auto" w:fill="FFFFFF"/>
        </w:rPr>
        <w:t>国债、</w:t>
      </w:r>
      <w:r>
        <w:rPr>
          <w:rFonts w:ascii="方正仿宋_GBK" w:hAnsi="方正仿宋_GBK" w:eastAsia="方正仿宋_GBK" w:cs="方正仿宋_GBK"/>
          <w:sz w:val="32"/>
          <w:szCs w:val="32"/>
          <w:shd w:val="clear" w:color="auto" w:fill="FFFFFF"/>
        </w:rPr>
        <w:t>应急保障体系建设</w:t>
      </w:r>
      <w:r>
        <w:rPr>
          <w:rFonts w:hint="eastAsia" w:ascii="方正仿宋_GBK" w:hAnsi="方正仿宋_GBK" w:eastAsia="方正仿宋_GBK" w:cs="方正仿宋_GBK"/>
          <w:sz w:val="32"/>
          <w:szCs w:val="32"/>
          <w:shd w:val="clear" w:color="auto" w:fill="FFFFFF"/>
        </w:rPr>
        <w:t>资金、</w:t>
      </w:r>
      <w:r>
        <w:rPr>
          <w:rFonts w:ascii="方正仿宋_GBK" w:hAnsi="方正仿宋_GBK" w:eastAsia="方正仿宋_GBK" w:cs="方正仿宋_GBK"/>
          <w:sz w:val="32"/>
          <w:szCs w:val="32"/>
          <w:shd w:val="clear" w:color="auto" w:fill="FFFFFF"/>
        </w:rPr>
        <w:t>核酸检测等抗疫支出，新冠病毒上级补助资金</w:t>
      </w:r>
      <w:r>
        <w:rPr>
          <w:rFonts w:hint="eastAsia" w:ascii="方正仿宋_GBK" w:hAnsi="方正仿宋_GBK" w:eastAsia="方正仿宋_GBK" w:cs="方正仿宋_GBK"/>
          <w:sz w:val="32"/>
          <w:szCs w:val="32"/>
          <w:shd w:val="clear" w:color="auto" w:fill="FFFFFF"/>
        </w:rPr>
        <w:t>、</w:t>
      </w:r>
      <w:r>
        <w:rPr>
          <w:rFonts w:ascii="方正仿宋_GBK" w:hAnsi="方正仿宋_GBK" w:eastAsia="方正仿宋_GBK" w:cs="方正仿宋_GBK"/>
          <w:sz w:val="32"/>
          <w:szCs w:val="32"/>
          <w:shd w:val="clear" w:color="auto" w:fill="FFFFFF"/>
        </w:rPr>
        <w:t>“智慧南岸”</w:t>
      </w:r>
      <w:r>
        <w:rPr>
          <w:rFonts w:hint="eastAsia" w:ascii="方正仿宋_GBK" w:hAnsi="方正仿宋_GBK" w:eastAsia="方正仿宋_GBK" w:cs="方正仿宋_GBK"/>
          <w:sz w:val="32"/>
          <w:szCs w:val="32"/>
          <w:shd w:val="clear" w:color="auto" w:fill="FFFFFF"/>
        </w:rPr>
        <w:t>项目、</w:t>
      </w:r>
      <w:r>
        <w:rPr>
          <w:rFonts w:ascii="方正仿宋_GBK" w:hAnsi="方正仿宋_GBK" w:eastAsia="方正仿宋_GBK" w:cs="方正仿宋_GBK"/>
          <w:sz w:val="32"/>
          <w:szCs w:val="32"/>
          <w:shd w:val="clear" w:color="auto" w:fill="FFFFFF"/>
        </w:rPr>
        <w:t>基本公卫服务补助资金</w:t>
      </w:r>
      <w:r>
        <w:rPr>
          <w:rFonts w:hint="eastAsia" w:ascii="方正仿宋_GBK" w:hAnsi="方正仿宋_GBK" w:eastAsia="方正仿宋_GBK" w:cs="方正仿宋_GBK"/>
          <w:sz w:val="32"/>
          <w:szCs w:val="32"/>
          <w:shd w:val="clear" w:color="auto" w:fill="FFFFFF"/>
        </w:rPr>
        <w:t>等项目来保障卫生事业的发展。</w:t>
      </w:r>
    </w:p>
    <w:p w14:paraId="15ED38F8">
      <w:pPr>
        <w:pStyle w:val="8"/>
        <w:shd w:val="clear" w:color="auto" w:fill="FFFFFF"/>
        <w:spacing w:before="0" w:beforeAutospacing="0" w:after="0" w:afterAutospacing="0" w:line="560" w:lineRule="exact"/>
        <w:ind w:firstLine="643" w:firstLineChars="200"/>
        <w:jc w:val="both"/>
        <w:rPr>
          <w:rFonts w:ascii="方正仿宋_GBK" w:eastAsia="方正仿宋_GBK"/>
          <w:color w:val="FF0000"/>
          <w:sz w:val="32"/>
          <w:szCs w:val="32"/>
        </w:rPr>
      </w:pPr>
      <w:r>
        <w:rPr>
          <w:rFonts w:hint="eastAsia" w:ascii="方正仿宋_GBK" w:eastAsia="方正仿宋_GBK"/>
          <w:b/>
          <w:sz w:val="32"/>
          <w:szCs w:val="32"/>
        </w:rPr>
        <w:t>2.收入情况。</w:t>
      </w:r>
      <w:r>
        <w:rPr>
          <w:rFonts w:hint="eastAsia" w:ascii="方正仿宋_GBK" w:eastAsia="方正仿宋_GBK"/>
          <w:sz w:val="32"/>
          <w:szCs w:val="32"/>
        </w:rPr>
        <w:t>2020年度收入合计</w:t>
      </w:r>
      <w:r>
        <w:rPr>
          <w:rFonts w:ascii="方正仿宋_GBK" w:eastAsia="方正仿宋_GBK"/>
          <w:sz w:val="32"/>
          <w:szCs w:val="32"/>
        </w:rPr>
        <w:t>31622.98</w:t>
      </w:r>
      <w:r>
        <w:rPr>
          <w:rFonts w:hint="eastAsia" w:ascii="方正仿宋_GBK" w:eastAsia="方正仿宋_GBK"/>
          <w:sz w:val="32"/>
          <w:szCs w:val="32"/>
        </w:rPr>
        <w:t>万元，较上年决算数增加25866.18万元，增长449.32%，主要原因是</w:t>
      </w:r>
      <w:r>
        <w:rPr>
          <w:rFonts w:hint="eastAsia" w:ascii="方正仿宋_GBK" w:hAnsi="方正仿宋_GBK" w:eastAsia="方正仿宋_GBK" w:cs="方正仿宋_GBK"/>
          <w:sz w:val="32"/>
          <w:szCs w:val="32"/>
          <w:shd w:val="clear" w:color="auto" w:fill="FFFFFF"/>
        </w:rPr>
        <w:t>今年受疫情影响，新增了</w:t>
      </w:r>
      <w:r>
        <w:rPr>
          <w:rFonts w:ascii="方正仿宋_GBK" w:hAnsi="方正仿宋_GBK" w:eastAsia="方正仿宋_GBK" w:cs="方正仿宋_GBK"/>
          <w:sz w:val="32"/>
          <w:szCs w:val="32"/>
          <w:shd w:val="clear" w:color="auto" w:fill="FFFFFF"/>
        </w:rPr>
        <w:t>特别抗疫</w:t>
      </w:r>
      <w:r>
        <w:rPr>
          <w:rFonts w:hint="eastAsia" w:ascii="方正仿宋_GBK" w:hAnsi="方正仿宋_GBK" w:eastAsia="方正仿宋_GBK" w:cs="方正仿宋_GBK"/>
          <w:sz w:val="32"/>
          <w:szCs w:val="32"/>
          <w:shd w:val="clear" w:color="auto" w:fill="FFFFFF"/>
        </w:rPr>
        <w:t>国债、</w:t>
      </w:r>
      <w:r>
        <w:rPr>
          <w:rFonts w:ascii="方正仿宋_GBK" w:hAnsi="方正仿宋_GBK" w:eastAsia="方正仿宋_GBK" w:cs="方正仿宋_GBK"/>
          <w:sz w:val="32"/>
          <w:szCs w:val="32"/>
          <w:shd w:val="clear" w:color="auto" w:fill="FFFFFF"/>
        </w:rPr>
        <w:t>应急保障体系建设</w:t>
      </w:r>
      <w:r>
        <w:rPr>
          <w:rFonts w:hint="eastAsia" w:ascii="方正仿宋_GBK" w:hAnsi="方正仿宋_GBK" w:eastAsia="方正仿宋_GBK" w:cs="方正仿宋_GBK"/>
          <w:sz w:val="32"/>
          <w:szCs w:val="32"/>
          <w:shd w:val="clear" w:color="auto" w:fill="FFFFFF"/>
        </w:rPr>
        <w:t>资金、</w:t>
      </w:r>
      <w:r>
        <w:rPr>
          <w:rFonts w:ascii="方正仿宋_GBK" w:hAnsi="方正仿宋_GBK" w:eastAsia="方正仿宋_GBK" w:cs="方正仿宋_GBK"/>
          <w:sz w:val="32"/>
          <w:szCs w:val="32"/>
          <w:shd w:val="clear" w:color="auto" w:fill="FFFFFF"/>
        </w:rPr>
        <w:t>核酸检测等抗疫支出</w:t>
      </w:r>
      <w:r>
        <w:rPr>
          <w:rFonts w:hint="eastAsia" w:ascii="方正仿宋_GBK" w:hAnsi="方正仿宋_GBK" w:eastAsia="方正仿宋_GBK" w:cs="方正仿宋_GBK"/>
          <w:sz w:val="32"/>
          <w:szCs w:val="32"/>
          <w:shd w:val="clear" w:color="auto" w:fill="FFFFFF"/>
        </w:rPr>
        <w:t>、</w:t>
      </w:r>
      <w:r>
        <w:rPr>
          <w:rFonts w:ascii="方正仿宋_GBK" w:hAnsi="方正仿宋_GBK" w:eastAsia="方正仿宋_GBK" w:cs="方正仿宋_GBK"/>
          <w:sz w:val="32"/>
          <w:szCs w:val="32"/>
          <w:shd w:val="clear" w:color="auto" w:fill="FFFFFF"/>
        </w:rPr>
        <w:t>新冠病毒上级补助资金</w:t>
      </w:r>
      <w:r>
        <w:rPr>
          <w:rFonts w:hint="eastAsia" w:ascii="方正仿宋_GBK" w:hAnsi="方正仿宋_GBK" w:eastAsia="方正仿宋_GBK" w:cs="方正仿宋_GBK"/>
          <w:sz w:val="32"/>
          <w:szCs w:val="32"/>
          <w:shd w:val="clear" w:color="auto" w:fill="FFFFFF"/>
        </w:rPr>
        <w:t>、</w:t>
      </w:r>
      <w:r>
        <w:rPr>
          <w:rFonts w:ascii="方正仿宋_GBK" w:hAnsi="方正仿宋_GBK" w:eastAsia="方正仿宋_GBK" w:cs="方正仿宋_GBK"/>
          <w:sz w:val="32"/>
          <w:szCs w:val="32"/>
          <w:shd w:val="clear" w:color="auto" w:fill="FFFFFF"/>
        </w:rPr>
        <w:t>“智慧南岸”</w:t>
      </w:r>
      <w:r>
        <w:rPr>
          <w:rFonts w:hint="eastAsia" w:ascii="方正仿宋_GBK" w:hAnsi="方正仿宋_GBK" w:eastAsia="方正仿宋_GBK" w:cs="方正仿宋_GBK"/>
          <w:sz w:val="32"/>
          <w:szCs w:val="32"/>
          <w:shd w:val="clear" w:color="auto" w:fill="FFFFFF"/>
        </w:rPr>
        <w:t>项目、</w:t>
      </w:r>
      <w:r>
        <w:rPr>
          <w:rFonts w:ascii="方正仿宋_GBK" w:hAnsi="方正仿宋_GBK" w:eastAsia="方正仿宋_GBK" w:cs="方正仿宋_GBK"/>
          <w:sz w:val="32"/>
          <w:szCs w:val="32"/>
          <w:shd w:val="clear" w:color="auto" w:fill="FFFFFF"/>
        </w:rPr>
        <w:t>基本公卫服务补助资金</w:t>
      </w:r>
      <w:r>
        <w:rPr>
          <w:rFonts w:hint="eastAsia" w:ascii="方正仿宋_GBK" w:hAnsi="方正仿宋_GBK" w:eastAsia="方正仿宋_GBK" w:cs="方正仿宋_GBK"/>
          <w:sz w:val="32"/>
          <w:szCs w:val="32"/>
          <w:shd w:val="clear" w:color="auto" w:fill="FFFFFF"/>
        </w:rPr>
        <w:t>等项目资金</w:t>
      </w:r>
      <w:r>
        <w:rPr>
          <w:rFonts w:hint="eastAsia" w:ascii="方正仿宋_GBK" w:eastAsia="方正仿宋_GBK"/>
          <w:sz w:val="32"/>
          <w:szCs w:val="32"/>
        </w:rPr>
        <w:t>。以及其他收入增多，原因是接受了社会的捐赠。其中：财政拨款收入</w:t>
      </w:r>
      <w:r>
        <w:rPr>
          <w:rFonts w:ascii="方正仿宋_GBK" w:eastAsia="方正仿宋_GBK"/>
          <w:sz w:val="32"/>
          <w:szCs w:val="32"/>
        </w:rPr>
        <w:t>31036.7</w:t>
      </w:r>
      <w:r>
        <w:rPr>
          <w:rFonts w:hint="eastAsia" w:ascii="方正仿宋_GBK" w:eastAsia="方正仿宋_GBK"/>
          <w:sz w:val="32"/>
          <w:szCs w:val="32"/>
        </w:rPr>
        <w:t>万元，占98.15%；其他收入</w:t>
      </w:r>
      <w:r>
        <w:rPr>
          <w:rFonts w:ascii="方正仿宋_GBK" w:eastAsia="方正仿宋_GBK"/>
          <w:sz w:val="32"/>
          <w:szCs w:val="32"/>
        </w:rPr>
        <w:t>586.28</w:t>
      </w:r>
      <w:r>
        <w:rPr>
          <w:rFonts w:hint="eastAsia" w:ascii="方正仿宋_GBK" w:eastAsia="方正仿宋_GBK"/>
          <w:sz w:val="32"/>
          <w:szCs w:val="32"/>
        </w:rPr>
        <w:t>万元，占1.85%。此外，年初结转和结余</w:t>
      </w:r>
      <w:r>
        <w:rPr>
          <w:rFonts w:ascii="方正仿宋_GBK" w:eastAsia="方正仿宋_GBK"/>
          <w:sz w:val="32"/>
          <w:szCs w:val="32"/>
        </w:rPr>
        <w:t>463.7</w:t>
      </w:r>
      <w:r>
        <w:rPr>
          <w:rFonts w:hint="eastAsia" w:ascii="方正仿宋_GBK" w:eastAsia="方正仿宋_GBK"/>
          <w:sz w:val="32"/>
          <w:szCs w:val="32"/>
        </w:rPr>
        <w:t>7万元。</w:t>
      </w:r>
    </w:p>
    <w:p w14:paraId="3A61BB92">
      <w:pPr>
        <w:pStyle w:val="8"/>
        <w:shd w:val="clear" w:color="auto" w:fill="FFFFFF"/>
        <w:spacing w:before="0" w:beforeAutospacing="0" w:after="0" w:afterAutospacing="0" w:line="560" w:lineRule="exact"/>
        <w:ind w:firstLine="643" w:firstLineChars="200"/>
        <w:jc w:val="both"/>
        <w:rPr>
          <w:rFonts w:ascii="方正仿宋_GBK" w:eastAsia="方正仿宋_GBK"/>
          <w:color w:val="FF0000"/>
          <w:sz w:val="32"/>
          <w:szCs w:val="32"/>
        </w:rPr>
      </w:pPr>
      <w:r>
        <w:rPr>
          <w:rFonts w:hint="eastAsia" w:ascii="方正仿宋_GBK" w:eastAsia="方正仿宋_GBK"/>
          <w:b/>
          <w:color w:val="000000" w:themeColor="text1"/>
          <w:sz w:val="32"/>
          <w:szCs w:val="32"/>
        </w:rPr>
        <w:t>3.支出情况。</w:t>
      </w:r>
      <w:r>
        <w:rPr>
          <w:rFonts w:hint="eastAsia" w:ascii="方正仿宋_GBK" w:eastAsia="方正仿宋_GBK"/>
          <w:color w:val="000000" w:themeColor="text1"/>
          <w:sz w:val="32"/>
          <w:szCs w:val="32"/>
        </w:rPr>
        <w:t>2020年度支出合计</w:t>
      </w:r>
      <w:r>
        <w:rPr>
          <w:rFonts w:ascii="方正仿宋_GBK" w:eastAsia="方正仿宋_GBK"/>
          <w:color w:val="000000" w:themeColor="text1"/>
          <w:sz w:val="32"/>
          <w:szCs w:val="32"/>
        </w:rPr>
        <w:t>30660.5</w:t>
      </w:r>
      <w:r>
        <w:rPr>
          <w:rFonts w:hint="eastAsia" w:ascii="方正仿宋_GBK" w:eastAsia="方正仿宋_GBK"/>
          <w:color w:val="000000" w:themeColor="text1"/>
          <w:sz w:val="32"/>
          <w:szCs w:val="32"/>
        </w:rPr>
        <w:t>万元，较上年决算数增加23676.44万元，增长339.01%，主要原因是</w:t>
      </w:r>
      <w:r>
        <w:rPr>
          <w:rFonts w:hint="eastAsia" w:ascii="方正仿宋_GBK" w:hAnsi="方正仿宋_GBK" w:eastAsia="方正仿宋_GBK" w:cs="方正仿宋_GBK"/>
          <w:color w:val="000000" w:themeColor="text1"/>
          <w:sz w:val="32"/>
          <w:szCs w:val="32"/>
          <w:shd w:val="clear" w:color="auto" w:fill="FFFFFF"/>
        </w:rPr>
        <w:t>今</w:t>
      </w:r>
      <w:r>
        <w:rPr>
          <w:rFonts w:hint="eastAsia" w:ascii="方正仿宋_GBK" w:hAnsi="方正仿宋_GBK" w:eastAsia="方正仿宋_GBK" w:cs="方正仿宋_GBK"/>
          <w:sz w:val="32"/>
          <w:szCs w:val="32"/>
          <w:shd w:val="clear" w:color="auto" w:fill="FFFFFF"/>
        </w:rPr>
        <w:t>年受疫情影响，新增了</w:t>
      </w:r>
      <w:r>
        <w:rPr>
          <w:rFonts w:ascii="方正仿宋_GBK" w:hAnsi="方正仿宋_GBK" w:eastAsia="方正仿宋_GBK" w:cs="方正仿宋_GBK"/>
          <w:sz w:val="32"/>
          <w:szCs w:val="32"/>
          <w:shd w:val="clear" w:color="auto" w:fill="FFFFFF"/>
        </w:rPr>
        <w:t>特别抗疫</w:t>
      </w:r>
      <w:r>
        <w:rPr>
          <w:rFonts w:hint="eastAsia" w:ascii="方正仿宋_GBK" w:hAnsi="方正仿宋_GBK" w:eastAsia="方正仿宋_GBK" w:cs="方正仿宋_GBK"/>
          <w:sz w:val="32"/>
          <w:szCs w:val="32"/>
          <w:shd w:val="clear" w:color="auto" w:fill="FFFFFF"/>
        </w:rPr>
        <w:t>国债支出、</w:t>
      </w:r>
      <w:r>
        <w:rPr>
          <w:rFonts w:ascii="方正仿宋_GBK" w:hAnsi="方正仿宋_GBK" w:eastAsia="方正仿宋_GBK" w:cs="方正仿宋_GBK"/>
          <w:sz w:val="32"/>
          <w:szCs w:val="32"/>
          <w:shd w:val="clear" w:color="auto" w:fill="FFFFFF"/>
        </w:rPr>
        <w:t>应急保障体系建设</w:t>
      </w:r>
      <w:r>
        <w:rPr>
          <w:rFonts w:hint="eastAsia" w:ascii="方正仿宋_GBK" w:hAnsi="方正仿宋_GBK" w:eastAsia="方正仿宋_GBK" w:cs="方正仿宋_GBK"/>
          <w:sz w:val="32"/>
          <w:szCs w:val="32"/>
          <w:shd w:val="clear" w:color="auto" w:fill="FFFFFF"/>
        </w:rPr>
        <w:t>资金支出、</w:t>
      </w:r>
      <w:r>
        <w:rPr>
          <w:rFonts w:ascii="方正仿宋_GBK" w:hAnsi="方正仿宋_GBK" w:eastAsia="方正仿宋_GBK" w:cs="方正仿宋_GBK"/>
          <w:sz w:val="32"/>
          <w:szCs w:val="32"/>
          <w:shd w:val="clear" w:color="auto" w:fill="FFFFFF"/>
        </w:rPr>
        <w:t>核酸检测等抗疫支出</w:t>
      </w:r>
      <w:r>
        <w:rPr>
          <w:rFonts w:hint="eastAsia" w:ascii="方正仿宋_GBK" w:hAnsi="方正仿宋_GBK" w:eastAsia="方正仿宋_GBK" w:cs="方正仿宋_GBK"/>
          <w:sz w:val="32"/>
          <w:szCs w:val="32"/>
          <w:shd w:val="clear" w:color="auto" w:fill="FFFFFF"/>
        </w:rPr>
        <w:t>、</w:t>
      </w:r>
      <w:r>
        <w:rPr>
          <w:rFonts w:ascii="方正仿宋_GBK" w:hAnsi="方正仿宋_GBK" w:eastAsia="方正仿宋_GBK" w:cs="方正仿宋_GBK"/>
          <w:sz w:val="32"/>
          <w:szCs w:val="32"/>
          <w:shd w:val="clear" w:color="auto" w:fill="FFFFFF"/>
        </w:rPr>
        <w:t>新冠病毒上级补助资金</w:t>
      </w:r>
      <w:r>
        <w:rPr>
          <w:rFonts w:hint="eastAsia" w:ascii="方正仿宋_GBK" w:hAnsi="方正仿宋_GBK" w:eastAsia="方正仿宋_GBK" w:cs="方正仿宋_GBK"/>
          <w:sz w:val="32"/>
          <w:szCs w:val="32"/>
          <w:shd w:val="clear" w:color="auto" w:fill="FFFFFF"/>
        </w:rPr>
        <w:t>支出、</w:t>
      </w:r>
      <w:r>
        <w:rPr>
          <w:rFonts w:ascii="方正仿宋_GBK" w:hAnsi="方正仿宋_GBK" w:eastAsia="方正仿宋_GBK" w:cs="方正仿宋_GBK"/>
          <w:sz w:val="32"/>
          <w:szCs w:val="32"/>
          <w:shd w:val="clear" w:color="auto" w:fill="FFFFFF"/>
        </w:rPr>
        <w:t>智慧南岸”</w:t>
      </w:r>
      <w:r>
        <w:rPr>
          <w:rFonts w:hint="eastAsia" w:ascii="方正仿宋_GBK" w:hAnsi="方正仿宋_GBK" w:eastAsia="方正仿宋_GBK" w:cs="方正仿宋_GBK"/>
          <w:sz w:val="32"/>
          <w:szCs w:val="32"/>
          <w:shd w:val="clear" w:color="auto" w:fill="FFFFFF"/>
        </w:rPr>
        <w:t>项目支出</w:t>
      </w:r>
      <w:r>
        <w:rPr>
          <w:rFonts w:ascii="方正仿宋_GBK" w:hAnsi="方正仿宋_GBK" w:eastAsia="方正仿宋_GBK" w:cs="方正仿宋_GBK"/>
          <w:sz w:val="32"/>
          <w:szCs w:val="32"/>
          <w:shd w:val="clear" w:color="auto" w:fill="FFFFFF"/>
        </w:rPr>
        <w:t>，基本公卫服务补助资金</w:t>
      </w:r>
      <w:r>
        <w:rPr>
          <w:rFonts w:hint="eastAsia" w:ascii="方正仿宋_GBK" w:hAnsi="方正仿宋_GBK" w:eastAsia="方正仿宋_GBK" w:cs="方正仿宋_GBK"/>
          <w:sz w:val="32"/>
          <w:szCs w:val="32"/>
          <w:shd w:val="clear" w:color="auto" w:fill="FFFFFF"/>
        </w:rPr>
        <w:t>等项目支出</w:t>
      </w:r>
      <w:r>
        <w:rPr>
          <w:rFonts w:hint="eastAsia" w:ascii="方正仿宋_GBK" w:eastAsia="方正仿宋_GBK"/>
          <w:sz w:val="32"/>
          <w:szCs w:val="32"/>
        </w:rPr>
        <w:t>。其中：基本支出900.8万元，占2.94%；项目支出29759.7万元，占97.06%。</w:t>
      </w:r>
    </w:p>
    <w:p w14:paraId="0AE6CF04">
      <w:pPr>
        <w:pStyle w:val="8"/>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4.结转结余情况。</w:t>
      </w:r>
      <w:r>
        <w:rPr>
          <w:rFonts w:hint="eastAsia" w:ascii="方正仿宋_GBK" w:eastAsia="方正仿宋_GBK"/>
          <w:sz w:val="32"/>
          <w:szCs w:val="32"/>
        </w:rPr>
        <w:t>2020年度年末结转和结余1426.25万元，较上年决算数增加962.49万元，增长207.54%，主要原因是“智慧南岸”项目为长期项目，拨付需按合同进度执行，故本年有结转。</w:t>
      </w:r>
    </w:p>
    <w:p w14:paraId="7CE10893">
      <w:pPr>
        <w:pStyle w:val="8"/>
        <w:shd w:val="clear" w:color="auto" w:fill="FFFFFF"/>
        <w:spacing w:before="0" w:beforeAutospacing="0" w:after="0" w:afterAutospacing="0" w:line="560" w:lineRule="exact"/>
        <w:ind w:firstLine="643" w:firstLineChars="200"/>
        <w:jc w:val="both"/>
        <w:outlineLvl w:val="0"/>
        <w:rPr>
          <w:rStyle w:val="11"/>
        </w:rPr>
      </w:pPr>
      <w:r>
        <w:rPr>
          <w:rStyle w:val="11"/>
          <w:rFonts w:hint="eastAsia" w:ascii="方正仿宋_GBK" w:eastAsia="方正仿宋_GBK"/>
          <w:sz w:val="32"/>
          <w:szCs w:val="32"/>
        </w:rPr>
        <w:t>（二）财政拨款收入支出决算总体情况说明</w:t>
      </w:r>
    </w:p>
    <w:p w14:paraId="56449041">
      <w:pPr>
        <w:pStyle w:val="8"/>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bCs/>
          <w:sz w:val="32"/>
          <w:szCs w:val="32"/>
        </w:rPr>
        <w:t>2020年度财政拨款收入总计31431.59万元、财政拨款支出总计31431.59万元。收支与2019 年相比增加24052.64万元，增加325.96%。</w:t>
      </w:r>
      <w:r>
        <w:rPr>
          <w:rFonts w:hint="eastAsia" w:ascii="方正仿宋_GBK" w:eastAsia="方正仿宋_GBK"/>
          <w:sz w:val="32"/>
          <w:szCs w:val="32"/>
        </w:rPr>
        <w:t>主要原因是2020年度财政拨款较2019年增加了</w:t>
      </w:r>
      <w:r>
        <w:rPr>
          <w:rFonts w:hint="eastAsia" w:ascii="仿宋_GB2312" w:hAnsi="仿宋" w:eastAsia="仿宋_GB2312"/>
          <w:sz w:val="32"/>
          <w:szCs w:val="32"/>
        </w:rPr>
        <w:t>特别抗疫国债、应急保障体系建设、核酸检测等抗疫支出、新冠病毒上级补助资金、“智慧南岸”项目资金、基本公共卫生项目资金增加部分。</w:t>
      </w:r>
    </w:p>
    <w:p w14:paraId="7663644E">
      <w:pPr>
        <w:pStyle w:val="8"/>
        <w:shd w:val="clear" w:color="auto" w:fill="FFFFFF"/>
        <w:spacing w:before="0" w:beforeAutospacing="0" w:after="0" w:afterAutospacing="0" w:line="560" w:lineRule="exact"/>
        <w:ind w:firstLine="643" w:firstLineChars="200"/>
        <w:jc w:val="both"/>
        <w:outlineLvl w:val="0"/>
        <w:rPr>
          <w:rStyle w:val="11"/>
        </w:rPr>
      </w:pPr>
      <w:r>
        <w:rPr>
          <w:rStyle w:val="11"/>
          <w:rFonts w:hint="eastAsia" w:ascii="方正仿宋_GBK" w:eastAsia="方正仿宋_GBK"/>
          <w:sz w:val="32"/>
          <w:szCs w:val="32"/>
        </w:rPr>
        <w:t>（三）一般公共预算财政拨款支出决算情况说明</w:t>
      </w:r>
    </w:p>
    <w:p w14:paraId="166145C9">
      <w:pPr>
        <w:spacing w:line="520" w:lineRule="exact"/>
        <w:ind w:firstLine="643" w:firstLineChars="200"/>
        <w:rPr>
          <w:rFonts w:ascii="方正仿宋_GBK" w:eastAsia="方正仿宋_GBK"/>
          <w:color w:val="000000" w:themeColor="text1"/>
          <w:sz w:val="32"/>
          <w:szCs w:val="32"/>
        </w:rPr>
      </w:pPr>
      <w:r>
        <w:rPr>
          <w:rFonts w:hint="eastAsia" w:ascii="方正仿宋_GBK" w:eastAsia="方正仿宋_GBK"/>
          <w:b/>
          <w:color w:val="000000" w:themeColor="text1"/>
          <w:sz w:val="32"/>
          <w:szCs w:val="32"/>
        </w:rPr>
        <w:t>1.收入情况。</w:t>
      </w:r>
      <w:r>
        <w:rPr>
          <w:rFonts w:hint="eastAsia" w:ascii="方正仿宋_GBK" w:eastAsia="方正仿宋_GBK"/>
          <w:color w:val="000000" w:themeColor="text1"/>
          <w:sz w:val="32"/>
          <w:szCs w:val="32"/>
        </w:rPr>
        <w:t>2020年度一般公共预算财政拨款收入</w:t>
      </w:r>
      <w:r>
        <w:rPr>
          <w:rFonts w:ascii="方正仿宋_GBK" w:eastAsia="方正仿宋_GBK"/>
          <w:color w:val="000000" w:themeColor="text1"/>
          <w:sz w:val="32"/>
          <w:szCs w:val="32"/>
        </w:rPr>
        <w:t>21307.64</w:t>
      </w:r>
      <w:r>
        <w:rPr>
          <w:rFonts w:hint="eastAsia" w:ascii="方正仿宋_GBK" w:eastAsia="方正仿宋_GBK"/>
          <w:color w:val="000000" w:themeColor="text1"/>
          <w:sz w:val="32"/>
          <w:szCs w:val="32"/>
        </w:rPr>
        <w:t>万元，较上年决算数增加15552.54万元，增长270.24%。主要原因是今年增加了退休健康疗养提标部分、基本公卫补助资金、</w:t>
      </w:r>
      <w:r>
        <w:rPr>
          <w:rFonts w:hint="eastAsia" w:ascii="仿宋_GB2312" w:hAnsi="仿宋" w:eastAsia="仿宋_GB2312"/>
          <w:color w:val="000000" w:themeColor="text1"/>
          <w:sz w:val="32"/>
          <w:szCs w:val="32"/>
        </w:rPr>
        <w:t>应急保障体系建设、</w:t>
      </w:r>
      <w:r>
        <w:rPr>
          <w:rFonts w:hint="eastAsia" w:ascii="方正仿宋_GBK" w:eastAsia="方正仿宋_GBK"/>
          <w:color w:val="000000" w:themeColor="text1"/>
          <w:sz w:val="32"/>
          <w:szCs w:val="32"/>
        </w:rPr>
        <w:t>核酸检测，新冠病毒抗疫补助。较年初预算数增加829.5万元，增长4.05 %。主要原因是年中追加安排抗疫特别国债及新冠病毒补助资金。此外，年初财政拨款结转和结余</w:t>
      </w:r>
      <w:r>
        <w:rPr>
          <w:rFonts w:ascii="方正仿宋_GBK" w:eastAsia="方正仿宋_GBK"/>
          <w:color w:val="000000" w:themeColor="text1"/>
          <w:sz w:val="32"/>
          <w:szCs w:val="32"/>
        </w:rPr>
        <w:t>394.89</w:t>
      </w:r>
      <w:r>
        <w:rPr>
          <w:rFonts w:hint="eastAsia" w:ascii="方正仿宋_GBK" w:eastAsia="方正仿宋_GBK"/>
          <w:color w:val="000000" w:themeColor="text1"/>
          <w:sz w:val="32"/>
          <w:szCs w:val="32"/>
        </w:rPr>
        <w:t>万元。</w:t>
      </w:r>
    </w:p>
    <w:p w14:paraId="039F1B28">
      <w:pPr>
        <w:spacing w:line="520" w:lineRule="exact"/>
        <w:ind w:firstLine="643" w:firstLineChars="200"/>
        <w:rPr>
          <w:rFonts w:ascii="方正仿宋_GBK" w:eastAsia="方正仿宋_GBK"/>
          <w:color w:val="000000" w:themeColor="text1"/>
          <w:sz w:val="32"/>
          <w:szCs w:val="32"/>
        </w:rPr>
      </w:pPr>
      <w:r>
        <w:rPr>
          <w:rFonts w:hint="eastAsia" w:ascii="方正仿宋_GBK" w:eastAsia="方正仿宋_GBK"/>
          <w:b/>
          <w:color w:val="000000" w:themeColor="text1"/>
          <w:sz w:val="32"/>
          <w:szCs w:val="32"/>
        </w:rPr>
        <w:t>2.支出情况。</w:t>
      </w:r>
      <w:r>
        <w:rPr>
          <w:rFonts w:hint="eastAsia" w:ascii="方正仿宋_GBK" w:eastAsia="方正仿宋_GBK"/>
          <w:color w:val="000000" w:themeColor="text1"/>
          <w:sz w:val="32"/>
          <w:szCs w:val="32"/>
        </w:rPr>
        <w:t>2020年度一般公共预算财政拨款支出</w:t>
      </w:r>
      <w:r>
        <w:rPr>
          <w:rFonts w:ascii="方正仿宋_GBK" w:eastAsia="方正仿宋_GBK"/>
          <w:color w:val="000000" w:themeColor="text1"/>
          <w:sz w:val="32"/>
          <w:szCs w:val="32"/>
        </w:rPr>
        <w:t>20281.32</w:t>
      </w:r>
      <w:r>
        <w:rPr>
          <w:rFonts w:hint="eastAsia" w:ascii="方正仿宋_GBK" w:eastAsia="方正仿宋_GBK"/>
          <w:color w:val="000000" w:themeColor="text1"/>
          <w:sz w:val="32"/>
          <w:szCs w:val="32"/>
        </w:rPr>
        <w:t>万元，较上年决算数增加13298.95万元，增长190.46%。主要原因是今年支出增加了退休健康疗养提标部分、基本公卫补助资金、</w:t>
      </w:r>
      <w:r>
        <w:rPr>
          <w:rFonts w:hint="eastAsia" w:ascii="仿宋_GB2312" w:hAnsi="仿宋" w:eastAsia="仿宋_GB2312"/>
          <w:color w:val="000000" w:themeColor="text1"/>
          <w:sz w:val="32"/>
          <w:szCs w:val="32"/>
        </w:rPr>
        <w:t>应急保障体系建设、</w:t>
      </w:r>
      <w:r>
        <w:rPr>
          <w:rFonts w:hint="eastAsia" w:ascii="方正仿宋_GBK" w:eastAsia="方正仿宋_GBK"/>
          <w:color w:val="000000" w:themeColor="text1"/>
          <w:sz w:val="32"/>
          <w:szCs w:val="32"/>
        </w:rPr>
        <w:t>核酸检测，新冠病毒抗疫补助。较年初预算数减少591.71万元，下降2.83%。主要原因是年中安排的抗疫国债资金弥补了一般公共财政支出。</w:t>
      </w:r>
    </w:p>
    <w:p w14:paraId="560AC4A3">
      <w:pPr>
        <w:pStyle w:val="8"/>
        <w:shd w:val="clear" w:color="auto" w:fill="FFFFFF"/>
        <w:spacing w:before="0" w:beforeAutospacing="0" w:after="0" w:afterAutospacing="0" w:line="560" w:lineRule="exact"/>
        <w:ind w:firstLine="643" w:firstLineChars="200"/>
        <w:jc w:val="both"/>
        <w:rPr>
          <w:rFonts w:ascii="方正仿宋_GBK" w:eastAsia="方正仿宋_GBK"/>
          <w:color w:val="000000" w:themeColor="text1"/>
          <w:sz w:val="32"/>
          <w:szCs w:val="32"/>
        </w:rPr>
      </w:pPr>
      <w:r>
        <w:rPr>
          <w:rFonts w:hint="eastAsia" w:ascii="方正仿宋_GBK" w:eastAsia="方正仿宋_GBK"/>
          <w:b/>
          <w:sz w:val="32"/>
          <w:szCs w:val="32"/>
        </w:rPr>
        <w:t>3.结转结余情况。</w:t>
      </w:r>
      <w:r>
        <w:rPr>
          <w:rFonts w:hint="eastAsia" w:ascii="方正仿宋_GBK" w:eastAsia="方正仿宋_GBK"/>
          <w:sz w:val="32"/>
          <w:szCs w:val="32"/>
        </w:rPr>
        <w:t>2020年度年末一般公共预算财政拨款结转和结余1421.21万元，较上年决算数</w:t>
      </w:r>
      <w:r>
        <w:rPr>
          <w:rFonts w:hint="eastAsia" w:ascii="方正仿宋_GBK" w:eastAsia="方正仿宋_GBK"/>
          <w:color w:val="000000" w:themeColor="text1"/>
          <w:sz w:val="32"/>
          <w:szCs w:val="32"/>
        </w:rPr>
        <w:t>增加1026.32万元，增加259.90%，主要原因是新增的“智慧南岸”为长期项目，拨付需按合同进度执行，故本年有结转增加。</w:t>
      </w:r>
    </w:p>
    <w:p w14:paraId="35B3CEE1">
      <w:pPr>
        <w:pStyle w:val="8"/>
        <w:widowControl w:val="0"/>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Fonts w:hint="eastAsia" w:ascii="方正仿宋_GBK" w:eastAsia="方正仿宋_GBK"/>
          <w:b/>
          <w:sz w:val="32"/>
          <w:szCs w:val="32"/>
        </w:rPr>
        <w:t>4.比较情况。</w:t>
      </w:r>
      <w:r>
        <w:rPr>
          <w:rFonts w:hint="eastAsia" w:ascii="方正仿宋_GBK" w:eastAsia="方正仿宋_GBK"/>
          <w:sz w:val="32"/>
          <w:szCs w:val="32"/>
        </w:rPr>
        <w:t>本部门2020年度一般公共预算财政拨款支出主要用于以下几个方面：</w:t>
      </w:r>
      <w:r>
        <w:rPr>
          <w:rFonts w:ascii="方正仿宋_GBK" w:eastAsia="方正仿宋_GBK"/>
          <w:sz w:val="32"/>
          <w:szCs w:val="32"/>
        </w:rPr>
        <w:t xml:space="preserve"> </w:t>
      </w:r>
    </w:p>
    <w:p w14:paraId="06A69A6C">
      <w:pPr>
        <w:pStyle w:val="8"/>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（1）社会保障与就业支出</w:t>
      </w:r>
      <w:r>
        <w:rPr>
          <w:rFonts w:ascii="方正仿宋_GBK" w:eastAsia="方正仿宋_GBK"/>
          <w:sz w:val="32"/>
          <w:szCs w:val="32"/>
        </w:rPr>
        <w:t>134.31</w:t>
      </w:r>
      <w:r>
        <w:rPr>
          <w:rFonts w:hint="eastAsia" w:ascii="方正仿宋_GBK" w:eastAsia="方正仿宋_GBK"/>
          <w:sz w:val="32"/>
          <w:szCs w:val="32"/>
        </w:rPr>
        <w:t>万元，占0.66%，较年初预算数增加10.9万元，增加8.83%，主要原因是职务晋升工资、社保缴纳相应增多。</w:t>
      </w:r>
    </w:p>
    <w:p w14:paraId="6DA2E829">
      <w:pPr>
        <w:pStyle w:val="8"/>
        <w:shd w:val="clear" w:color="auto" w:fill="FFFFFF"/>
        <w:spacing w:before="0" w:beforeAutospacing="0" w:after="0" w:afterAutospacing="0" w:line="560" w:lineRule="exact"/>
        <w:ind w:firstLine="640" w:firstLineChars="200"/>
        <w:jc w:val="both"/>
        <w:rPr>
          <w:rFonts w:ascii="方正仿宋_GBK" w:eastAsia="方正仿宋_GBK"/>
          <w:color w:val="000000" w:themeColor="text1"/>
          <w:sz w:val="32"/>
          <w:szCs w:val="32"/>
        </w:rPr>
      </w:pPr>
      <w:r>
        <w:rPr>
          <w:rFonts w:hint="eastAsia" w:ascii="方正仿宋_GBK" w:eastAsia="方正仿宋_GBK"/>
          <w:sz w:val="32"/>
          <w:szCs w:val="32"/>
        </w:rPr>
        <w:t>（2）卫生健康支出</w:t>
      </w:r>
      <w:r>
        <w:rPr>
          <w:rFonts w:ascii="方正仿宋_GBK" w:eastAsia="方正仿宋_GBK"/>
          <w:sz w:val="32"/>
          <w:szCs w:val="32"/>
        </w:rPr>
        <w:t>19254.26</w:t>
      </w:r>
      <w:r>
        <w:rPr>
          <w:rFonts w:hint="eastAsia" w:ascii="方正仿宋_GBK" w:eastAsia="方正仿宋_GBK"/>
          <w:sz w:val="32"/>
          <w:szCs w:val="32"/>
        </w:rPr>
        <w:t>万元，占94.94%，较年初预算数减少1468.75万元，下降7.08%，主要原因</w:t>
      </w:r>
      <w:r>
        <w:rPr>
          <w:rFonts w:hint="eastAsia" w:ascii="方正仿宋_GBK" w:eastAsia="方正仿宋_GBK"/>
          <w:color w:val="000000" w:themeColor="text1"/>
          <w:sz w:val="32"/>
          <w:szCs w:val="32"/>
        </w:rPr>
        <w:t>是年中安排的抗疫国债资金弥补了一般公共财政支出。</w:t>
      </w:r>
    </w:p>
    <w:p w14:paraId="471A1B03">
      <w:pPr>
        <w:pStyle w:val="8"/>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（3）住房保障支出</w:t>
      </w:r>
      <w:r>
        <w:rPr>
          <w:rFonts w:ascii="方正仿宋_GBK" w:eastAsia="方正仿宋_GBK"/>
          <w:sz w:val="32"/>
          <w:szCs w:val="32"/>
        </w:rPr>
        <w:t>27.15</w:t>
      </w:r>
      <w:r>
        <w:rPr>
          <w:rFonts w:hint="eastAsia" w:ascii="方正仿宋_GBK" w:eastAsia="方正仿宋_GBK"/>
          <w:sz w:val="32"/>
          <w:szCs w:val="32"/>
        </w:rPr>
        <w:t>万元，占0.13%，较年初预算数增加0.54万元，增长2.02%，主要原因是增加了住房补贴。</w:t>
      </w:r>
    </w:p>
    <w:p w14:paraId="5F67355B">
      <w:pPr>
        <w:pStyle w:val="8"/>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（4）粮油物资储备支出</w:t>
      </w:r>
      <w:r>
        <w:rPr>
          <w:rFonts w:ascii="方正仿宋_GBK" w:eastAsia="方正仿宋_GBK"/>
          <w:sz w:val="32"/>
          <w:szCs w:val="32"/>
        </w:rPr>
        <w:t>865.6</w:t>
      </w:r>
      <w:r>
        <w:rPr>
          <w:rFonts w:hint="eastAsia" w:ascii="方正仿宋_GBK" w:eastAsia="方正仿宋_GBK"/>
          <w:sz w:val="32"/>
          <w:szCs w:val="32"/>
        </w:rPr>
        <w:t>万元，占4.27%，较年初预算数增加865.6万元，主要原因是突发疫情，增加了医疗物资储备支出。</w:t>
      </w:r>
    </w:p>
    <w:p w14:paraId="2E94C244">
      <w:pPr>
        <w:pStyle w:val="8"/>
        <w:widowControl w:val="0"/>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（四）一般公共预算财政拨款基本支出决算情况说明</w:t>
      </w:r>
    </w:p>
    <w:p w14:paraId="36361363">
      <w:pPr>
        <w:pStyle w:val="8"/>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2020年度一般公共财政拨款基本支出900.8万元。其中：人员经费563.78万元，较上年决算数增加33.25万元，增长6.27%，主要原因是退休人员健康休养费提标增加了支出以及人员有相应的社保费用的新增。人员经费用途主要包括基本工资、津贴补贴、奖金、社会保障缴费、退休人员健康休养费等。公用经费337.02万元，较上年决算数增加111.05万元，增加49.14%，主要原因是疫情防控工作任务增多，相应的印刷费、办公费、劳务费等支出增加。</w:t>
      </w:r>
    </w:p>
    <w:p w14:paraId="43CE3440">
      <w:pPr>
        <w:pStyle w:val="8"/>
        <w:shd w:val="clear" w:color="auto" w:fill="FFFFFF"/>
        <w:spacing w:before="0" w:beforeAutospacing="0" w:after="0" w:afterAutospacing="0" w:line="560" w:lineRule="exact"/>
        <w:ind w:firstLine="643" w:firstLineChars="200"/>
        <w:jc w:val="both"/>
        <w:outlineLvl w:val="0"/>
        <w:rPr>
          <w:rStyle w:val="11"/>
        </w:rPr>
      </w:pPr>
      <w:r>
        <w:rPr>
          <w:rStyle w:val="11"/>
          <w:rFonts w:hint="eastAsia" w:ascii="方正仿宋_GBK" w:eastAsia="方正仿宋_GBK"/>
          <w:sz w:val="32"/>
          <w:szCs w:val="32"/>
        </w:rPr>
        <w:t>（五）政府性基金预算收支决算情况说明</w:t>
      </w:r>
    </w:p>
    <w:p w14:paraId="4AAAB94A">
      <w:pPr>
        <w:pStyle w:val="8"/>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2020年度政府性基金预算财政拨款年初结转结余0万元，年末结转结余0万元。本年收入9729.06万元，较上年决算数增加9727.36万元，主要原因是突发疫情，新增了防疫专项资金。本年支出9729.06万元，较上年决算数增加9727.36万元，主要原因是突发疫情，增加了防疫专项支出。</w:t>
      </w:r>
      <w:r>
        <w:rPr>
          <w:rFonts w:ascii="方正仿宋_GBK" w:eastAsia="方正仿宋_GBK"/>
          <w:sz w:val="32"/>
          <w:szCs w:val="32"/>
        </w:rPr>
        <w:t xml:space="preserve"> </w:t>
      </w:r>
    </w:p>
    <w:p w14:paraId="0AC01FF2">
      <w:pPr>
        <w:pStyle w:val="8"/>
        <w:shd w:val="clear" w:color="auto" w:fill="FFFFFF"/>
        <w:spacing w:before="0" w:beforeAutospacing="0" w:after="0" w:afterAutospacing="0" w:line="560" w:lineRule="exact"/>
        <w:ind w:firstLine="643" w:firstLineChars="200"/>
        <w:jc w:val="both"/>
        <w:outlineLvl w:val="0"/>
        <w:rPr>
          <w:b/>
          <w:bCs/>
        </w:rPr>
      </w:pPr>
      <w:r>
        <w:rPr>
          <w:rStyle w:val="11"/>
          <w:rFonts w:hint="eastAsia" w:ascii="方正仿宋_GBK" w:eastAsia="方正仿宋_GBK"/>
          <w:sz w:val="32"/>
          <w:szCs w:val="32"/>
        </w:rPr>
        <w:t>（六）国有资本经营预算财政拨款支出决算情况说明</w:t>
      </w:r>
    </w:p>
    <w:p w14:paraId="17644986">
      <w:pPr>
        <w:pStyle w:val="8"/>
        <w:shd w:val="clear" w:color="auto" w:fill="FFFFFF"/>
        <w:spacing w:before="0" w:beforeAutospacing="0" w:after="0" w:afterAutospacing="0" w:line="560" w:lineRule="exact"/>
        <w:ind w:firstLine="643" w:firstLineChars="200"/>
        <w:jc w:val="both"/>
        <w:rPr>
          <w:rFonts w:ascii="方正仿宋_GBK" w:eastAsia="方正仿宋_GBK"/>
          <w:bCs/>
          <w:sz w:val="32"/>
          <w:szCs w:val="32"/>
        </w:rPr>
      </w:pPr>
      <w:r>
        <w:rPr>
          <w:rFonts w:hint="eastAsia" w:ascii="方正仿宋_GBK" w:eastAsia="方正仿宋_GBK"/>
          <w:b/>
          <w:sz w:val="32"/>
          <w:szCs w:val="32"/>
        </w:rPr>
        <w:t>本部门2020年度无国有资本经营预算财政拨款支出。</w:t>
      </w:r>
    </w:p>
    <w:p w14:paraId="6E763CE4">
      <w:pPr>
        <w:pStyle w:val="8"/>
        <w:shd w:val="clear" w:color="auto" w:fill="FFFFFF"/>
        <w:spacing w:before="0" w:beforeAutospacing="0" w:after="0" w:afterAutospacing="0" w:line="560" w:lineRule="exact"/>
        <w:ind w:firstLine="640" w:firstLineChars="200"/>
        <w:jc w:val="both"/>
        <w:outlineLvl w:val="0"/>
        <w:rPr>
          <w:rStyle w:val="11"/>
          <w:rFonts w:ascii="方正黑体_GBK" w:eastAsia="方正黑体_GBK"/>
        </w:rPr>
      </w:pPr>
      <w:r>
        <w:rPr>
          <w:rStyle w:val="11"/>
          <w:rFonts w:hint="eastAsia" w:ascii="方正黑体_GBK" w:eastAsia="方正黑体_GBK"/>
          <w:b w:val="0"/>
          <w:sz w:val="32"/>
          <w:szCs w:val="32"/>
        </w:rPr>
        <w:t>三、“三公”经费情况说明</w:t>
      </w:r>
    </w:p>
    <w:p w14:paraId="584DE23C">
      <w:pPr>
        <w:pStyle w:val="8"/>
        <w:shd w:val="clear" w:color="auto" w:fill="FFFFFF"/>
        <w:spacing w:before="0" w:beforeAutospacing="0" w:after="0" w:afterAutospacing="0" w:line="560" w:lineRule="exact"/>
        <w:ind w:firstLine="643" w:firstLineChars="200"/>
        <w:jc w:val="both"/>
        <w:outlineLvl w:val="1"/>
        <w:rPr>
          <w:rFonts w:ascii="方正仿宋_GBK" w:eastAsia="方正仿宋_GBK"/>
          <w:sz w:val="32"/>
          <w:szCs w:val="32"/>
        </w:rPr>
      </w:pPr>
      <w:r>
        <w:rPr>
          <w:rStyle w:val="11"/>
          <w:rFonts w:hint="eastAsia" w:ascii="方正仿宋_GBK" w:eastAsia="方正仿宋_GBK"/>
          <w:sz w:val="32"/>
          <w:szCs w:val="32"/>
        </w:rPr>
        <w:t>（一）“三公”经费支出总体情况说明。</w:t>
      </w:r>
    </w:p>
    <w:p w14:paraId="18759150">
      <w:pPr>
        <w:pStyle w:val="8"/>
        <w:widowControl w:val="0"/>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2020年度“三公”经费支出共计4.17万元，较年初预算数减少1.83万元，下降30.05%；与上年支出数持平。继续认真贯彻落实中央八项规定精神，按照只减不增的要求从严控制“三公”经费，严格落实公车使用规定，强化公务接待支出管理，严格遵守公务接待开支范围和开支标准，严格控制陪餐人数。</w:t>
      </w:r>
    </w:p>
    <w:p w14:paraId="5694EE51">
      <w:pPr>
        <w:pStyle w:val="8"/>
        <w:shd w:val="clear" w:color="auto" w:fill="FFFFFF"/>
        <w:spacing w:before="0" w:beforeAutospacing="0" w:after="0" w:afterAutospacing="0" w:line="560" w:lineRule="exact"/>
        <w:ind w:firstLine="643" w:firstLineChars="200"/>
        <w:jc w:val="both"/>
        <w:outlineLvl w:val="1"/>
        <w:rPr>
          <w:rFonts w:ascii="方正仿宋_GBK" w:eastAsia="方正仿宋_GBK"/>
          <w:sz w:val="32"/>
          <w:szCs w:val="32"/>
        </w:rPr>
      </w:pPr>
      <w:r>
        <w:rPr>
          <w:rStyle w:val="11"/>
          <w:rFonts w:hint="eastAsia" w:ascii="方正仿宋_GBK" w:eastAsia="方正仿宋_GBK"/>
          <w:sz w:val="32"/>
          <w:szCs w:val="32"/>
        </w:rPr>
        <w:t>（二）“三公”经费分项支出情况。</w:t>
      </w:r>
    </w:p>
    <w:p w14:paraId="386381A0">
      <w:pPr>
        <w:pStyle w:val="8"/>
        <w:shd w:val="clear" w:color="auto" w:fill="FFFFFF"/>
        <w:spacing w:before="0" w:beforeAutospacing="0" w:after="0" w:afterAutospacing="0" w:line="560" w:lineRule="exact"/>
        <w:ind w:firstLine="640" w:firstLineChars="200"/>
        <w:jc w:val="both"/>
        <w:rPr>
          <w:rFonts w:hint="eastAsia" w:ascii="方正仿宋_GBK" w:eastAsia="方正仿宋_GBK"/>
          <w:sz w:val="32"/>
          <w:szCs w:val="32"/>
        </w:rPr>
      </w:pPr>
      <w:r>
        <w:rPr>
          <w:rFonts w:hint="eastAsia" w:ascii="方正仿宋_GBK" w:eastAsia="方正仿宋_GBK"/>
          <w:sz w:val="32"/>
          <w:szCs w:val="32"/>
        </w:rPr>
        <w:t>2020年度本部门因公出国（境）费用0万元，</w:t>
      </w:r>
      <w:r>
        <w:rPr>
          <w:rFonts w:ascii="方正仿宋_GBK" w:eastAsia="方正仿宋_GBK"/>
          <w:sz w:val="32"/>
          <w:szCs w:val="32"/>
        </w:rPr>
        <w:t>与年初预算和上年支出数一致，无变动</w:t>
      </w:r>
      <w:r>
        <w:rPr>
          <w:rFonts w:hint="eastAsia" w:ascii="方正仿宋_GBK" w:eastAsia="方正仿宋_GBK"/>
          <w:sz w:val="32"/>
          <w:szCs w:val="32"/>
        </w:rPr>
        <w:t>。</w:t>
      </w:r>
    </w:p>
    <w:p w14:paraId="05F4F5E1">
      <w:pPr>
        <w:pStyle w:val="8"/>
        <w:shd w:val="clear" w:color="auto" w:fill="FFFFFF"/>
        <w:spacing w:before="0" w:beforeAutospacing="0" w:after="0" w:afterAutospacing="0" w:line="560" w:lineRule="exact"/>
        <w:ind w:firstLine="640" w:firstLineChars="200"/>
        <w:jc w:val="both"/>
        <w:rPr>
          <w:rFonts w:hint="eastAsia" w:ascii="方正仿宋_GBK" w:eastAsia="方正仿宋_GBK"/>
          <w:sz w:val="32"/>
          <w:szCs w:val="32"/>
        </w:rPr>
      </w:pPr>
      <w:r>
        <w:rPr>
          <w:rFonts w:hint="eastAsia" w:ascii="方正仿宋_GBK" w:eastAsia="方正仿宋_GBK"/>
          <w:sz w:val="32"/>
          <w:szCs w:val="32"/>
        </w:rPr>
        <w:t>2020年度本部门公务车购置费用0万元，</w:t>
      </w:r>
      <w:r>
        <w:t>与</w:t>
      </w:r>
      <w:r>
        <w:rPr>
          <w:rFonts w:ascii="方正仿宋_GBK" w:eastAsia="方正仿宋_GBK"/>
          <w:sz w:val="32"/>
          <w:szCs w:val="32"/>
        </w:rPr>
        <w:t>年初预算和上年支出数一致，无变动</w:t>
      </w:r>
      <w:r>
        <w:rPr>
          <w:rFonts w:hint="eastAsia" w:ascii="方正仿宋_GBK" w:eastAsia="方正仿宋_GBK"/>
          <w:sz w:val="32"/>
          <w:szCs w:val="32"/>
        </w:rPr>
        <w:t>。</w:t>
      </w:r>
    </w:p>
    <w:p w14:paraId="335EAA1E">
      <w:pPr>
        <w:pStyle w:val="8"/>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公务车运行维护费3.23万元，主要用于机要文件交换、市内因公出行、业务检查等工作所需车辆的燃料费、维修费、过桥过路费、保险费等。费用支出较年初预算数减少0.77万元，下降19.25%，主要原因是市内举行的大型会议及检查活动减少，公务出行减少费用相应减少。较上年支出数基本持平。</w:t>
      </w:r>
    </w:p>
    <w:p w14:paraId="2A77152F">
      <w:pPr>
        <w:pStyle w:val="8"/>
        <w:shd w:val="clear" w:color="auto" w:fill="FFFFFF"/>
        <w:spacing w:before="0" w:beforeAutospacing="0" w:after="0" w:afterAutospacing="0" w:line="560" w:lineRule="exact"/>
        <w:ind w:firstLine="640" w:firstLineChars="200"/>
        <w:jc w:val="both"/>
        <w:rPr>
          <w:rFonts w:ascii="方正仿宋_GBK" w:eastAsia="方正仿宋_GBK"/>
          <w:sz w:val="32"/>
          <w:szCs w:val="32"/>
        </w:rPr>
      </w:pPr>
      <w:r>
        <w:rPr>
          <w:rFonts w:hint="eastAsia" w:ascii="方正仿宋_GBK" w:eastAsia="方正仿宋_GBK"/>
          <w:sz w:val="32"/>
          <w:szCs w:val="32"/>
        </w:rPr>
        <w:t>公务接待费0.94万元，主要用于接待接受相关部门检查指导工作发生的接待支出。费用支出较年初预算数减少 1.06万元，下降53%，主要原因是检查指导活动减少，相应支出减少。较上年支出基本持平。</w:t>
      </w:r>
    </w:p>
    <w:p w14:paraId="2395FE9F">
      <w:pPr>
        <w:pStyle w:val="8"/>
        <w:shd w:val="clear" w:color="auto" w:fill="FFFFFF"/>
        <w:spacing w:before="0" w:beforeAutospacing="0" w:after="0" w:afterAutospacing="0" w:line="560" w:lineRule="exact"/>
        <w:ind w:firstLine="643" w:firstLineChars="200"/>
        <w:jc w:val="both"/>
        <w:outlineLvl w:val="1"/>
        <w:rPr>
          <w:rFonts w:ascii="方正仿宋_GBK" w:eastAsia="方正仿宋_GBK"/>
          <w:sz w:val="32"/>
          <w:szCs w:val="32"/>
        </w:rPr>
      </w:pPr>
      <w:r>
        <w:rPr>
          <w:rStyle w:val="11"/>
          <w:rFonts w:hint="eastAsia" w:ascii="方正仿宋_GBK" w:eastAsia="方正仿宋_GBK"/>
          <w:sz w:val="32"/>
          <w:szCs w:val="32"/>
        </w:rPr>
        <w:t>（三）“三公”经费实物量情况。</w:t>
      </w:r>
    </w:p>
    <w:p w14:paraId="2D761DFF">
      <w:pPr>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2020</w:t>
      </w:r>
      <w:r>
        <w:rPr>
          <w:rFonts w:ascii="方正仿宋_GBK" w:hAnsi="方正仿宋_GBK" w:eastAsia="方正仿宋_GBK" w:cs="方正仿宋_GBK"/>
          <w:sz w:val="32"/>
          <w:szCs w:val="32"/>
          <w:shd w:val="clear" w:color="auto" w:fill="FFFFFF"/>
        </w:rPr>
        <w:t>年度本部门因公出国（境）共计</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个团组，</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人；公务用车购置</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辆，公务车保有量为</w:t>
      </w:r>
      <w:r>
        <w:rPr>
          <w:rFonts w:hint="eastAsia" w:ascii="方正仿宋_GBK" w:hAnsi="方正仿宋_GBK" w:eastAsia="方正仿宋_GBK" w:cs="方正仿宋_GBK"/>
          <w:sz w:val="32"/>
          <w:szCs w:val="32"/>
          <w:shd w:val="clear" w:color="auto" w:fill="FFFFFF"/>
        </w:rPr>
        <w:t>1</w:t>
      </w:r>
      <w:r>
        <w:rPr>
          <w:rFonts w:ascii="方正仿宋_GBK" w:hAnsi="方正仿宋_GBK" w:eastAsia="方正仿宋_GBK" w:cs="方正仿宋_GBK"/>
          <w:sz w:val="32"/>
          <w:szCs w:val="32"/>
          <w:shd w:val="clear" w:color="auto" w:fill="FFFFFF"/>
        </w:rPr>
        <w:t>辆；国内公务接待</w:t>
      </w:r>
      <w:r>
        <w:rPr>
          <w:rFonts w:hint="eastAsia" w:ascii="方正仿宋_GBK" w:hAnsi="方正仿宋_GBK" w:eastAsia="方正仿宋_GBK" w:cs="方正仿宋_GBK"/>
          <w:sz w:val="32"/>
          <w:szCs w:val="32"/>
          <w:shd w:val="clear" w:color="auto" w:fill="FFFFFF"/>
        </w:rPr>
        <w:t>9</w:t>
      </w:r>
      <w:r>
        <w:rPr>
          <w:rFonts w:ascii="方正仿宋_GBK" w:hAnsi="方正仿宋_GBK" w:eastAsia="方正仿宋_GBK" w:cs="方正仿宋_GBK"/>
          <w:sz w:val="32"/>
          <w:szCs w:val="32"/>
          <w:shd w:val="clear" w:color="auto" w:fill="FFFFFF"/>
        </w:rPr>
        <w:t>批次</w:t>
      </w:r>
      <w:r>
        <w:rPr>
          <w:rFonts w:hint="eastAsia" w:ascii="方正仿宋_GBK" w:hAnsi="方正仿宋_GBK" w:eastAsia="方正仿宋_GBK" w:cs="方正仿宋_GBK"/>
          <w:sz w:val="32"/>
          <w:szCs w:val="32"/>
          <w:shd w:val="clear" w:color="auto" w:fill="FFFFFF"/>
        </w:rPr>
        <w:t>76</w:t>
      </w:r>
      <w:r>
        <w:rPr>
          <w:rFonts w:ascii="方正仿宋_GBK" w:hAnsi="方正仿宋_GBK" w:eastAsia="方正仿宋_GBK" w:cs="方正仿宋_GBK"/>
          <w:sz w:val="32"/>
          <w:szCs w:val="32"/>
          <w:shd w:val="clear" w:color="auto" w:fill="FFFFFF"/>
        </w:rPr>
        <w:t>人，其中：国内外事接待</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人；国（境）外公务接待</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人。</w:t>
      </w:r>
      <w:r>
        <w:rPr>
          <w:rFonts w:hint="eastAsia" w:ascii="方正仿宋_GBK" w:hAnsi="方正仿宋_GBK" w:eastAsia="方正仿宋_GBK" w:cs="方正仿宋_GBK"/>
          <w:sz w:val="32"/>
          <w:szCs w:val="32"/>
          <w:shd w:val="clear" w:color="auto" w:fill="FFFFFF"/>
        </w:rPr>
        <w:t>2020</w:t>
      </w:r>
      <w:r>
        <w:rPr>
          <w:rFonts w:ascii="方正仿宋_GBK" w:hAnsi="方正仿宋_GBK" w:eastAsia="方正仿宋_GBK" w:cs="方正仿宋_GBK"/>
          <w:sz w:val="32"/>
          <w:szCs w:val="32"/>
          <w:shd w:val="clear" w:color="auto" w:fill="FFFFFF"/>
        </w:rPr>
        <w:t>年本部门人均接待费</w:t>
      </w:r>
      <w:r>
        <w:rPr>
          <w:rFonts w:hint="eastAsia" w:ascii="方正仿宋_GBK" w:hAnsi="方正仿宋_GBK" w:eastAsia="方正仿宋_GBK" w:cs="方正仿宋_GBK"/>
          <w:sz w:val="32"/>
          <w:szCs w:val="32"/>
          <w:shd w:val="clear" w:color="auto" w:fill="FFFFFF"/>
        </w:rPr>
        <w:t>123</w:t>
      </w:r>
      <w:r>
        <w:rPr>
          <w:rFonts w:ascii="方正仿宋_GBK" w:hAnsi="方正仿宋_GBK" w:eastAsia="方正仿宋_GBK" w:cs="方正仿宋_GBK"/>
          <w:sz w:val="32"/>
          <w:szCs w:val="32"/>
          <w:shd w:val="clear" w:color="auto" w:fill="FFFFFF"/>
        </w:rPr>
        <w:t>元，车均购置费</w:t>
      </w:r>
      <w:r>
        <w:rPr>
          <w:rFonts w:hint="eastAsia" w:ascii="方正仿宋_GBK" w:hAnsi="方正仿宋_GBK" w:eastAsia="方正仿宋_GBK" w:cs="方正仿宋_GBK"/>
          <w:sz w:val="32"/>
          <w:szCs w:val="32"/>
          <w:shd w:val="clear" w:color="auto" w:fill="FFFFFF"/>
        </w:rPr>
        <w:t>0</w:t>
      </w:r>
      <w:r>
        <w:rPr>
          <w:rFonts w:ascii="方正仿宋_GBK" w:hAnsi="方正仿宋_GBK" w:eastAsia="方正仿宋_GBK" w:cs="方正仿宋_GBK"/>
          <w:sz w:val="32"/>
          <w:szCs w:val="32"/>
          <w:shd w:val="clear" w:color="auto" w:fill="FFFFFF"/>
        </w:rPr>
        <w:t>万元，车均维护费</w:t>
      </w:r>
      <w:r>
        <w:rPr>
          <w:rFonts w:hint="eastAsia" w:ascii="方正仿宋_GBK" w:hAnsi="方正仿宋_GBK" w:eastAsia="方正仿宋_GBK" w:cs="方正仿宋_GBK"/>
          <w:sz w:val="32"/>
          <w:szCs w:val="32"/>
          <w:shd w:val="clear" w:color="auto" w:fill="FFFFFF"/>
        </w:rPr>
        <w:t>3.23</w:t>
      </w:r>
      <w:r>
        <w:rPr>
          <w:rFonts w:ascii="方正仿宋_GBK" w:hAnsi="方正仿宋_GBK" w:eastAsia="方正仿宋_GBK" w:cs="方正仿宋_GBK"/>
          <w:sz w:val="32"/>
          <w:szCs w:val="32"/>
          <w:shd w:val="clear" w:color="auto" w:fill="FFFFFF"/>
        </w:rPr>
        <w:t>万元</w:t>
      </w:r>
      <w:r>
        <w:rPr>
          <w:rFonts w:hint="eastAsia" w:ascii="方正仿宋_GBK" w:hAnsi="方正仿宋_GBK" w:eastAsia="方正仿宋_GBK" w:cs="方正仿宋_GBK"/>
          <w:sz w:val="32"/>
          <w:szCs w:val="32"/>
          <w:shd w:val="clear" w:color="auto" w:fill="FFFFFF"/>
        </w:rPr>
        <w:t>。</w:t>
      </w:r>
    </w:p>
    <w:p w14:paraId="33BF62B4">
      <w:pPr>
        <w:pStyle w:val="8"/>
        <w:shd w:val="clear" w:color="auto" w:fill="FFFFFF"/>
        <w:spacing w:before="0" w:beforeAutospacing="0" w:after="0" w:afterAutospacing="0" w:line="560" w:lineRule="exact"/>
        <w:ind w:firstLine="640" w:firstLineChars="200"/>
        <w:jc w:val="both"/>
        <w:outlineLvl w:val="0"/>
        <w:rPr>
          <w:rStyle w:val="11"/>
        </w:rPr>
      </w:pPr>
      <w:r>
        <w:rPr>
          <w:rStyle w:val="11"/>
          <w:rFonts w:hint="eastAsia" w:ascii="方正黑体_GBK" w:eastAsia="方正黑体_GBK"/>
          <w:b w:val="0"/>
          <w:sz w:val="32"/>
          <w:szCs w:val="32"/>
        </w:rPr>
        <w:t>四、其他需要说明的事项</w:t>
      </w:r>
    </w:p>
    <w:p w14:paraId="1E8E20DC">
      <w:pPr>
        <w:pStyle w:val="8"/>
        <w:shd w:val="clear" w:color="auto" w:fill="FFFFFF"/>
        <w:spacing w:before="0" w:beforeAutospacing="0" w:after="0" w:afterAutospacing="0" w:line="56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（一）机关运行经费情况说明。</w:t>
      </w:r>
      <w:r>
        <w:rPr>
          <w:rFonts w:hint="eastAsia" w:ascii="方正仿宋_GBK" w:eastAsia="方正仿宋_GBK"/>
          <w:sz w:val="32"/>
          <w:szCs w:val="32"/>
        </w:rPr>
        <w:t>2020年度本部门机关运行经费支出337.02万元，机关运行经费主要用于办公费、公务车运行维护费、信息网络购置更新费、</w:t>
      </w:r>
      <w:r>
        <w:rPr>
          <w:rFonts w:hint="eastAsia" w:ascii="方正仿宋_GBK" w:hAnsi="方正仿宋_GBK" w:eastAsia="方正仿宋_GBK" w:cs="方正仿宋_GBK"/>
          <w:sz w:val="32"/>
          <w:szCs w:val="32"/>
          <w:shd w:val="clear" w:color="auto" w:fill="FFFFFF"/>
        </w:rPr>
        <w:t>印刷费、水电费、邮电费、差旅费、培训费、公务接待费、劳务费、专用材料费、工会经费、物管费等</w:t>
      </w:r>
      <w:r>
        <w:rPr>
          <w:rFonts w:hint="eastAsia" w:ascii="方正仿宋_GBK" w:eastAsia="方正仿宋_GBK"/>
          <w:sz w:val="32"/>
          <w:szCs w:val="32"/>
        </w:rPr>
        <w:t>。机关运行经费较上年决算数增加214.27万元，增长54.66%，主要原因是疫情防控工作任务增多，相应的印刷费、办公费、劳务费等支出增加。</w:t>
      </w:r>
    </w:p>
    <w:p w14:paraId="49751E57">
      <w:pPr>
        <w:pStyle w:val="8"/>
        <w:shd w:val="clear" w:color="auto" w:fill="FFFFFF"/>
        <w:spacing w:before="0" w:beforeAutospacing="0" w:after="0" w:afterAutospacing="0" w:line="560" w:lineRule="exact"/>
        <w:ind w:firstLine="640" w:firstLineChars="200"/>
        <w:jc w:val="both"/>
        <w:rPr>
          <w:rFonts w:ascii="方正仿宋_GBK" w:eastAsia="方正仿宋_GBK"/>
          <w:color w:val="000000" w:themeColor="text1"/>
          <w:sz w:val="32"/>
          <w:szCs w:val="32"/>
        </w:rPr>
      </w:pPr>
      <w:r>
        <w:rPr>
          <w:rFonts w:hint="eastAsia" w:ascii="方正仿宋_GBK" w:eastAsia="方正仿宋_GBK"/>
          <w:color w:val="000000" w:themeColor="text1"/>
          <w:sz w:val="32"/>
          <w:szCs w:val="32"/>
        </w:rPr>
        <w:t>其中：本年度会议费支出2.19万元，与上年决算数持平。本年度培训费支出1.81万元，与上年决算数持平。</w:t>
      </w:r>
    </w:p>
    <w:p w14:paraId="27D3BC5E">
      <w:pPr>
        <w:widowControl w:val="0"/>
        <w:spacing w:line="56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（二）国有资产占用情况说明。</w:t>
      </w:r>
      <w:r>
        <w:rPr>
          <w:rFonts w:hint="eastAsia" w:ascii="方正仿宋_GBK" w:eastAsia="方正仿宋_GBK"/>
          <w:sz w:val="32"/>
          <w:szCs w:val="32"/>
        </w:rPr>
        <w:t>截至2020年12月31日，本部门共有车辆1辆，其中，副部（省）级及以上领导用车0辆、主要领导干部用车1辆、机要通信用车0辆、应急保障用车0辆、执法执勤用车0辆，特种专业技术用车0辆，离退休干部用车0辆，其他用车0辆。单价50万元（含）以上通用设备0台（套），单价100万元（含）以上专用设备0台（套）。</w:t>
      </w:r>
    </w:p>
    <w:p w14:paraId="2895A5B7">
      <w:pPr>
        <w:pStyle w:val="8"/>
        <w:shd w:val="clear" w:color="auto" w:fill="FFFFFF"/>
        <w:spacing w:before="0" w:beforeAutospacing="0" w:after="0" w:afterAutospacing="0" w:line="560" w:lineRule="exact"/>
        <w:ind w:firstLine="643" w:firstLineChars="200"/>
        <w:jc w:val="both"/>
        <w:rPr>
          <w:rFonts w:ascii="方正仿宋_GBK" w:eastAsia="方正仿宋_GBK"/>
          <w:color w:val="000000" w:themeColor="text1"/>
          <w:sz w:val="32"/>
          <w:szCs w:val="32"/>
        </w:rPr>
      </w:pPr>
      <w:r>
        <w:rPr>
          <w:rStyle w:val="11"/>
          <w:rFonts w:hint="eastAsia" w:ascii="方正仿宋_GBK" w:eastAsia="方正仿宋_GBK"/>
          <w:color w:val="000000" w:themeColor="text1"/>
          <w:sz w:val="32"/>
          <w:szCs w:val="32"/>
        </w:rPr>
        <w:t>（三）政府采购支出情况说明。</w:t>
      </w:r>
      <w:r>
        <w:rPr>
          <w:rFonts w:hint="eastAsia" w:ascii="方正仿宋_GBK" w:eastAsia="方正仿宋_GBK"/>
          <w:color w:val="000000" w:themeColor="text1"/>
          <w:sz w:val="32"/>
          <w:szCs w:val="32"/>
        </w:rPr>
        <w:t>2020年度本部门政府采购支出总额</w:t>
      </w:r>
      <w:r>
        <w:rPr>
          <w:rFonts w:ascii="方正仿宋_GBK" w:eastAsia="方正仿宋_GBK"/>
          <w:color w:val="000000" w:themeColor="text1"/>
          <w:sz w:val="32"/>
          <w:szCs w:val="32"/>
        </w:rPr>
        <w:t>534.7</w:t>
      </w:r>
      <w:r>
        <w:rPr>
          <w:rFonts w:hint="eastAsia" w:ascii="方正仿宋_GBK" w:eastAsia="方正仿宋_GBK"/>
          <w:color w:val="000000" w:themeColor="text1"/>
          <w:sz w:val="32"/>
          <w:szCs w:val="32"/>
        </w:rPr>
        <w:t>万元，其中：政府采购货物支出</w:t>
      </w:r>
      <w:r>
        <w:rPr>
          <w:rFonts w:ascii="方正仿宋_GBK" w:eastAsia="方正仿宋_GBK"/>
          <w:color w:val="000000" w:themeColor="text1"/>
          <w:sz w:val="32"/>
          <w:szCs w:val="32"/>
        </w:rPr>
        <w:t>420.23</w:t>
      </w:r>
      <w:r>
        <w:rPr>
          <w:rFonts w:hint="eastAsia" w:ascii="方正仿宋_GBK" w:eastAsia="方正仿宋_GBK"/>
          <w:color w:val="000000" w:themeColor="text1"/>
          <w:sz w:val="32"/>
          <w:szCs w:val="32"/>
        </w:rPr>
        <w:t>万元、政府采购工程支出0万元、政府采购服务支出</w:t>
      </w:r>
      <w:r>
        <w:rPr>
          <w:rFonts w:ascii="方正仿宋_GBK" w:eastAsia="方正仿宋_GBK"/>
          <w:color w:val="000000" w:themeColor="text1"/>
          <w:sz w:val="32"/>
          <w:szCs w:val="32"/>
        </w:rPr>
        <w:t>114.47</w:t>
      </w:r>
      <w:r>
        <w:rPr>
          <w:rFonts w:hint="eastAsia" w:ascii="方正仿宋_GBK" w:eastAsia="方正仿宋_GBK"/>
          <w:color w:val="000000" w:themeColor="text1"/>
          <w:sz w:val="32"/>
          <w:szCs w:val="32"/>
        </w:rPr>
        <w:t>万元。授予中小企业合同金额</w:t>
      </w:r>
      <w:r>
        <w:rPr>
          <w:rFonts w:ascii="方正仿宋_GBK" w:eastAsia="方正仿宋_GBK"/>
          <w:color w:val="000000" w:themeColor="text1"/>
          <w:sz w:val="32"/>
          <w:szCs w:val="32"/>
        </w:rPr>
        <w:t>163.48</w:t>
      </w:r>
      <w:r>
        <w:rPr>
          <w:rFonts w:hint="eastAsia" w:ascii="方正仿宋_GBK" w:eastAsia="方正仿宋_GBK"/>
          <w:color w:val="000000" w:themeColor="text1"/>
          <w:sz w:val="32"/>
          <w:szCs w:val="32"/>
        </w:rPr>
        <w:t>万元，占政府采购支出总额的30.57%，其中：授予小微企业合同金额30.57%万元，占政府采购支出总额的39.1%。主要用于采购网络专线服务、网络安全运维等。</w:t>
      </w:r>
    </w:p>
    <w:p w14:paraId="117006B5">
      <w:pPr>
        <w:pStyle w:val="8"/>
        <w:shd w:val="clear" w:color="auto" w:fill="FFFFFF"/>
        <w:spacing w:before="0" w:beforeAutospacing="0" w:after="0" w:afterAutospacing="0" w:line="560" w:lineRule="exact"/>
        <w:ind w:firstLine="643" w:firstLineChars="200"/>
        <w:jc w:val="both"/>
        <w:outlineLvl w:val="0"/>
        <w:rPr>
          <w:rStyle w:val="11"/>
          <w:rFonts w:ascii="方正黑体_GBK" w:eastAsia="方正黑体_GBK"/>
        </w:rPr>
      </w:pPr>
      <w:r>
        <w:rPr>
          <w:rStyle w:val="11"/>
          <w:rFonts w:hint="eastAsia" w:ascii="方正黑体_GBK" w:eastAsia="方正黑体_GBK"/>
          <w:sz w:val="32"/>
          <w:szCs w:val="32"/>
        </w:rPr>
        <w:t>五、预算绩效管理情况说明</w:t>
      </w:r>
    </w:p>
    <w:p w14:paraId="149FCCDD">
      <w:pPr>
        <w:pStyle w:val="15"/>
        <w:tabs>
          <w:tab w:val="center" w:pos="4153"/>
          <w:tab w:val="left" w:pos="7275"/>
        </w:tabs>
        <w:spacing w:line="560" w:lineRule="exact"/>
        <w:ind w:firstLine="643"/>
        <w:rPr>
          <w:rFonts w:ascii="方正仿宋_GBK" w:hAnsi="宋体" w:eastAsia="方正仿宋_GBK" w:cs="宋体"/>
          <w:kern w:val="0"/>
          <w:sz w:val="32"/>
          <w:szCs w:val="32"/>
        </w:rPr>
      </w:pPr>
      <w:r>
        <w:rPr>
          <w:rFonts w:hint="eastAsia" w:ascii="方正仿宋_GBK" w:hAnsi="宋体" w:eastAsia="方正仿宋_GBK" w:cs="宋体"/>
          <w:b/>
          <w:kern w:val="0"/>
          <w:sz w:val="32"/>
          <w:szCs w:val="32"/>
        </w:rPr>
        <w:t>（一）预算绩效管理工作开展情况</w:t>
      </w:r>
    </w:p>
    <w:p w14:paraId="4B095C1D">
      <w:pPr>
        <w:pStyle w:val="15"/>
        <w:tabs>
          <w:tab w:val="center" w:pos="4153"/>
          <w:tab w:val="left" w:pos="7275"/>
        </w:tabs>
        <w:spacing w:line="560" w:lineRule="exact"/>
        <w:ind w:firstLine="640"/>
        <w:rPr>
          <w:rFonts w:ascii="仿宋" w:hAnsi="仿宋" w:eastAsia="仿宋"/>
          <w:sz w:val="32"/>
          <w:szCs w:val="32"/>
        </w:rPr>
      </w:pPr>
      <w:r>
        <w:rPr>
          <w:rFonts w:hint="eastAsia" w:ascii="方正仿宋_GBK" w:hAnsi="宋体" w:eastAsia="方正仿宋_GBK" w:cs="宋体"/>
          <w:kern w:val="0"/>
          <w:sz w:val="32"/>
          <w:szCs w:val="32"/>
        </w:rPr>
        <w:t>根据预算绩效管理要求，本部门对36个项目开展了绩效自评，其中，以填报目标自评表形式开展自评32项，涉及资金30408.9万元；以委托第三方形式开展绩效自评4项，涉及资金11118.66万元。从评价情况来看，资金到位41527.56万元，资金到位率100%；资金执行38872.83万元，资金执行率93.61%；资金结余2654.73万元，结余资金是“南岸健康、智慧医疗”等项目由于疫情原因，实施进度较慢，</w:t>
      </w:r>
      <w:r>
        <w:rPr>
          <w:rFonts w:hint="eastAsia" w:ascii="仿宋" w:hAnsi="仿宋" w:eastAsia="仿宋"/>
          <w:sz w:val="32"/>
          <w:szCs w:val="32"/>
        </w:rPr>
        <w:t>故有结余。</w:t>
      </w:r>
    </w:p>
    <w:p w14:paraId="4857522A">
      <w:pPr>
        <w:pStyle w:val="15"/>
        <w:tabs>
          <w:tab w:val="center" w:pos="4153"/>
          <w:tab w:val="left" w:pos="7275"/>
        </w:tabs>
        <w:spacing w:line="560" w:lineRule="exact"/>
        <w:ind w:firstLine="640"/>
        <w:rPr>
          <w:rFonts w:ascii="仿宋" w:hAnsi="仿宋" w:eastAsia="仿宋"/>
          <w:sz w:val="32"/>
          <w:szCs w:val="32"/>
        </w:rPr>
      </w:pPr>
      <w:r>
        <w:rPr>
          <w:rFonts w:hint="eastAsia" w:ascii="方正仿宋_GBK" w:hAnsi="方正仿宋_GBK" w:eastAsia="方正仿宋_GBK" w:cs="方正仿宋_GBK"/>
          <w:sz w:val="32"/>
          <w:szCs w:val="32"/>
        </w:rPr>
        <w:t>完成情况分析：集中隔离点医学观察6375人；防疫物资储备总数量(个/瓶/套）582249；发放计划生育特别扶助5044人次；参加青春健康进校园活动人数2400人；突发公共卫生事件报告及时率100%；适龄儿童国家免疫规划疫苗接种率≥97%；卫生健康监督协管信息报告率100%等。基本完成预算</w:t>
      </w:r>
      <w:r>
        <w:rPr>
          <w:rFonts w:hint="eastAsia" w:ascii="方正仿宋_GBK" w:hAnsi="宋体" w:eastAsia="方正仿宋_GBK" w:cs="宋体"/>
          <w:kern w:val="0"/>
          <w:sz w:val="32"/>
          <w:szCs w:val="32"/>
        </w:rPr>
        <w:t>绩效管理的各项指标要求。</w:t>
      </w:r>
    </w:p>
    <w:p w14:paraId="5C186C79">
      <w:pPr>
        <w:pStyle w:val="15"/>
        <w:tabs>
          <w:tab w:val="center" w:pos="4153"/>
          <w:tab w:val="left" w:pos="7275"/>
        </w:tabs>
        <w:spacing w:line="560" w:lineRule="exact"/>
        <w:ind w:firstLine="643"/>
        <w:rPr>
          <w:rFonts w:ascii="方正仿宋_GBK" w:hAnsi="宋体" w:eastAsia="方正仿宋_GBK" w:cs="宋体"/>
          <w:b/>
          <w:kern w:val="0"/>
          <w:sz w:val="32"/>
          <w:szCs w:val="32"/>
        </w:rPr>
      </w:pPr>
      <w:r>
        <w:rPr>
          <w:rFonts w:hint="eastAsia" w:ascii="方正仿宋_GBK" w:hAnsi="宋体" w:eastAsia="方正仿宋_GBK" w:cs="宋体"/>
          <w:b/>
          <w:kern w:val="0"/>
          <w:sz w:val="32"/>
          <w:szCs w:val="32"/>
        </w:rPr>
        <w:t>（二）绩效自评结果</w:t>
      </w:r>
    </w:p>
    <w:p w14:paraId="1BB9A0AF">
      <w:pPr>
        <w:pStyle w:val="15"/>
        <w:tabs>
          <w:tab w:val="center" w:pos="4153"/>
          <w:tab w:val="left" w:pos="7275"/>
        </w:tabs>
        <w:spacing w:line="560" w:lineRule="exact"/>
        <w:ind w:firstLine="643"/>
        <w:rPr>
          <w:rFonts w:ascii="方正仿宋_GBK" w:eastAsia="方正仿宋_GBK"/>
          <w:b/>
          <w:bCs/>
          <w:color w:val="FF0000"/>
          <w:sz w:val="32"/>
          <w:szCs w:val="32"/>
        </w:rPr>
      </w:pPr>
      <w:r>
        <w:rPr>
          <w:rFonts w:hint="eastAsia" w:ascii="方正仿宋_GBK" w:hAnsi="宋体" w:eastAsia="方正仿宋_GBK" w:cs="宋体"/>
          <w:b/>
          <w:kern w:val="0"/>
          <w:sz w:val="32"/>
          <w:szCs w:val="32"/>
        </w:rPr>
        <w:t>1.绩效自评表</w:t>
      </w:r>
    </w:p>
    <w:tbl>
      <w:tblPr>
        <w:tblStyle w:val="9"/>
        <w:tblW w:w="8500" w:type="dxa"/>
        <w:tblInd w:w="108" w:type="dxa"/>
        <w:tblLayout w:type="fixed"/>
        <w:tblCellMar>
          <w:top w:w="0" w:type="dxa"/>
          <w:left w:w="108" w:type="dxa"/>
          <w:bottom w:w="0" w:type="dxa"/>
          <w:right w:w="108" w:type="dxa"/>
        </w:tblCellMar>
      </w:tblPr>
      <w:tblGrid>
        <w:gridCol w:w="1030"/>
        <w:gridCol w:w="955"/>
        <w:gridCol w:w="472"/>
        <w:gridCol w:w="623"/>
        <w:gridCol w:w="616"/>
        <w:gridCol w:w="616"/>
        <w:gridCol w:w="832"/>
        <w:gridCol w:w="784"/>
        <w:gridCol w:w="832"/>
        <w:gridCol w:w="832"/>
        <w:gridCol w:w="908"/>
      </w:tblGrid>
      <w:tr w14:paraId="04BE1511">
        <w:tblPrEx>
          <w:tblCellMar>
            <w:top w:w="0" w:type="dxa"/>
            <w:left w:w="108" w:type="dxa"/>
            <w:bottom w:w="0" w:type="dxa"/>
            <w:right w:w="108" w:type="dxa"/>
          </w:tblCellMar>
        </w:tblPrEx>
        <w:trPr>
          <w:trHeight w:val="601" w:hRule="atLeast"/>
        </w:trPr>
        <w:tc>
          <w:tcPr>
            <w:tcW w:w="8500" w:type="dxa"/>
            <w:gridSpan w:val="11"/>
            <w:tcBorders>
              <w:top w:val="nil"/>
              <w:left w:val="nil"/>
              <w:bottom w:val="nil"/>
              <w:right w:val="nil"/>
            </w:tcBorders>
            <w:shd w:val="clear" w:color="auto" w:fill="auto"/>
            <w:vAlign w:val="center"/>
          </w:tcPr>
          <w:p w14:paraId="1FC7FFE2">
            <w:pPr>
              <w:autoSpaceDN w:val="0"/>
              <w:rPr>
                <w:rFonts w:ascii="方正小标宋_GBK" w:hAnsi="Calibri" w:eastAsia="方正小标宋_GBK"/>
                <w:color w:val="000000"/>
                <w:sz w:val="36"/>
                <w:szCs w:val="36"/>
              </w:rPr>
            </w:pPr>
          </w:p>
          <w:p w14:paraId="171447FE">
            <w:pPr>
              <w:autoSpaceDN w:val="0"/>
              <w:jc w:val="center"/>
              <w:rPr>
                <w:rFonts w:ascii="方正小标宋_GBK" w:eastAsia="方正小标宋_GBK"/>
                <w:color w:val="000000"/>
                <w:sz w:val="36"/>
                <w:szCs w:val="36"/>
              </w:rPr>
            </w:pPr>
          </w:p>
          <w:p w14:paraId="36815D17">
            <w:pPr>
              <w:autoSpaceDN w:val="0"/>
              <w:jc w:val="center"/>
              <w:rPr>
                <w:rFonts w:ascii="方正小标宋_GBK" w:hAnsi="Calibri" w:eastAsia="方正小标宋_GBK"/>
                <w:color w:val="000000"/>
                <w:sz w:val="36"/>
                <w:szCs w:val="36"/>
              </w:rPr>
            </w:pPr>
            <w:r>
              <w:rPr>
                <w:rFonts w:hint="eastAsia" w:ascii="方正小标宋_GBK" w:eastAsia="方正小标宋_GBK"/>
                <w:color w:val="000000"/>
                <w:sz w:val="36"/>
                <w:szCs w:val="36"/>
              </w:rPr>
              <w:t>一级项目绩效自评表样</w:t>
            </w:r>
          </w:p>
        </w:tc>
      </w:tr>
      <w:tr w14:paraId="61035372">
        <w:tblPrEx>
          <w:tblCellMar>
            <w:top w:w="0" w:type="dxa"/>
            <w:left w:w="108" w:type="dxa"/>
            <w:bottom w:w="0" w:type="dxa"/>
            <w:right w:w="108" w:type="dxa"/>
          </w:tblCellMar>
        </w:tblPrEx>
        <w:trPr>
          <w:trHeight w:val="601" w:hRule="atLeast"/>
        </w:trPr>
        <w:tc>
          <w:tcPr>
            <w:tcW w:w="1030" w:type="dxa"/>
            <w:tcBorders>
              <w:top w:val="single" w:color="auto" w:sz="4" w:space="0"/>
              <w:left w:val="single" w:color="auto" w:sz="4" w:space="0"/>
              <w:bottom w:val="single" w:color="auto" w:sz="4" w:space="0"/>
              <w:right w:val="single" w:color="auto" w:sz="4" w:space="0"/>
            </w:tcBorders>
            <w:shd w:val="clear" w:color="auto" w:fill="auto"/>
            <w:vAlign w:val="center"/>
          </w:tcPr>
          <w:p w14:paraId="3BB4D61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项目名称</w:t>
            </w:r>
          </w:p>
        </w:tc>
        <w:tc>
          <w:tcPr>
            <w:tcW w:w="1427" w:type="dxa"/>
            <w:gridSpan w:val="2"/>
            <w:tcBorders>
              <w:top w:val="single" w:color="auto" w:sz="4" w:space="0"/>
              <w:left w:val="nil"/>
              <w:bottom w:val="single" w:color="auto" w:sz="4" w:space="0"/>
              <w:right w:val="single" w:color="000000" w:sz="4" w:space="0"/>
            </w:tcBorders>
            <w:shd w:val="clear" w:color="auto" w:fill="auto"/>
            <w:vAlign w:val="center"/>
          </w:tcPr>
          <w:p w14:paraId="381F691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计划生育特殊家庭住院护理保险　</w:t>
            </w:r>
          </w:p>
        </w:tc>
        <w:tc>
          <w:tcPr>
            <w:tcW w:w="623" w:type="dxa"/>
            <w:tcBorders>
              <w:top w:val="single" w:color="auto" w:sz="4" w:space="0"/>
              <w:left w:val="nil"/>
              <w:bottom w:val="single" w:color="auto" w:sz="4" w:space="0"/>
              <w:right w:val="single" w:color="auto" w:sz="4" w:space="0"/>
            </w:tcBorders>
            <w:shd w:val="clear" w:color="auto" w:fill="auto"/>
            <w:vAlign w:val="center"/>
          </w:tcPr>
          <w:p w14:paraId="06118DD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项目编码</w:t>
            </w:r>
          </w:p>
        </w:tc>
        <w:tc>
          <w:tcPr>
            <w:tcW w:w="1232" w:type="dxa"/>
            <w:gridSpan w:val="2"/>
            <w:tcBorders>
              <w:top w:val="single" w:color="auto" w:sz="4" w:space="0"/>
              <w:left w:val="nil"/>
              <w:bottom w:val="single" w:color="auto" w:sz="4" w:space="0"/>
              <w:right w:val="single" w:color="000000" w:sz="4" w:space="0"/>
            </w:tcBorders>
            <w:shd w:val="clear" w:color="auto" w:fill="auto"/>
            <w:vAlign w:val="center"/>
          </w:tcPr>
          <w:p w14:paraId="6A2EE132">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2020A1047　</w:t>
            </w:r>
          </w:p>
        </w:tc>
        <w:tc>
          <w:tcPr>
            <w:tcW w:w="832" w:type="dxa"/>
            <w:tcBorders>
              <w:top w:val="single" w:color="auto" w:sz="4" w:space="0"/>
              <w:left w:val="nil"/>
              <w:bottom w:val="single" w:color="auto" w:sz="4" w:space="0"/>
              <w:right w:val="single" w:color="auto" w:sz="4" w:space="0"/>
            </w:tcBorders>
            <w:shd w:val="clear" w:color="auto" w:fill="auto"/>
            <w:vAlign w:val="center"/>
          </w:tcPr>
          <w:p w14:paraId="4AA4DA12">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自评总分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3356" w:type="dxa"/>
            <w:gridSpan w:val="4"/>
            <w:tcBorders>
              <w:top w:val="single" w:color="auto" w:sz="4" w:space="0"/>
              <w:left w:val="nil"/>
              <w:bottom w:val="single" w:color="auto" w:sz="4" w:space="0"/>
              <w:right w:val="single" w:color="000000" w:sz="4" w:space="0"/>
            </w:tcBorders>
            <w:shd w:val="clear" w:color="auto" w:fill="auto"/>
            <w:vAlign w:val="center"/>
          </w:tcPr>
          <w:p w14:paraId="10894F4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98　</w:t>
            </w:r>
          </w:p>
        </w:tc>
      </w:tr>
      <w:tr w14:paraId="0AC8E784">
        <w:tblPrEx>
          <w:tblCellMar>
            <w:top w:w="0" w:type="dxa"/>
            <w:left w:w="108" w:type="dxa"/>
            <w:bottom w:w="0" w:type="dxa"/>
            <w:right w:w="108" w:type="dxa"/>
          </w:tblCellMar>
        </w:tblPrEx>
        <w:trPr>
          <w:trHeight w:val="601" w:hRule="atLeast"/>
        </w:trPr>
        <w:tc>
          <w:tcPr>
            <w:tcW w:w="1030" w:type="dxa"/>
            <w:tcBorders>
              <w:top w:val="nil"/>
              <w:left w:val="single" w:color="auto" w:sz="4" w:space="0"/>
              <w:bottom w:val="single" w:color="auto" w:sz="4" w:space="0"/>
              <w:right w:val="single" w:color="auto" w:sz="4" w:space="0"/>
            </w:tcBorders>
            <w:shd w:val="clear" w:color="auto" w:fill="auto"/>
            <w:vAlign w:val="center"/>
          </w:tcPr>
          <w:p w14:paraId="214FD96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主管部门</w:t>
            </w:r>
          </w:p>
        </w:tc>
        <w:tc>
          <w:tcPr>
            <w:tcW w:w="1427" w:type="dxa"/>
            <w:gridSpan w:val="2"/>
            <w:tcBorders>
              <w:top w:val="single" w:color="auto" w:sz="4" w:space="0"/>
              <w:left w:val="nil"/>
              <w:bottom w:val="single" w:color="auto" w:sz="4" w:space="0"/>
              <w:right w:val="single" w:color="000000" w:sz="4" w:space="0"/>
            </w:tcBorders>
            <w:shd w:val="clear" w:color="auto" w:fill="auto"/>
            <w:vAlign w:val="center"/>
          </w:tcPr>
          <w:p w14:paraId="3A2FDEA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南岸区卫生健康委员会</w:t>
            </w:r>
          </w:p>
        </w:tc>
        <w:tc>
          <w:tcPr>
            <w:tcW w:w="623" w:type="dxa"/>
            <w:tcBorders>
              <w:top w:val="nil"/>
              <w:left w:val="nil"/>
              <w:bottom w:val="single" w:color="auto" w:sz="4" w:space="0"/>
              <w:right w:val="single" w:color="auto" w:sz="4" w:space="0"/>
            </w:tcBorders>
            <w:shd w:val="clear" w:color="auto" w:fill="auto"/>
            <w:vAlign w:val="center"/>
          </w:tcPr>
          <w:p w14:paraId="36B2577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财政处室</w:t>
            </w:r>
          </w:p>
        </w:tc>
        <w:tc>
          <w:tcPr>
            <w:tcW w:w="1232" w:type="dxa"/>
            <w:gridSpan w:val="2"/>
            <w:tcBorders>
              <w:top w:val="single" w:color="auto" w:sz="4" w:space="0"/>
              <w:left w:val="nil"/>
              <w:bottom w:val="single" w:color="auto" w:sz="4" w:space="0"/>
              <w:right w:val="single" w:color="000000" w:sz="4" w:space="0"/>
            </w:tcBorders>
            <w:shd w:val="clear" w:color="auto" w:fill="auto"/>
            <w:vAlign w:val="center"/>
          </w:tcPr>
          <w:p w14:paraId="1ADAD3D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社保科　</w:t>
            </w:r>
          </w:p>
        </w:tc>
        <w:tc>
          <w:tcPr>
            <w:tcW w:w="832" w:type="dxa"/>
            <w:tcBorders>
              <w:top w:val="nil"/>
              <w:left w:val="nil"/>
              <w:bottom w:val="single" w:color="auto" w:sz="4" w:space="0"/>
              <w:right w:val="single" w:color="auto" w:sz="4" w:space="0"/>
            </w:tcBorders>
            <w:shd w:val="clear" w:color="auto" w:fill="auto"/>
            <w:vAlign w:val="center"/>
          </w:tcPr>
          <w:p w14:paraId="51ECB3F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联系人</w:t>
            </w:r>
          </w:p>
        </w:tc>
        <w:tc>
          <w:tcPr>
            <w:tcW w:w="784" w:type="dxa"/>
            <w:tcBorders>
              <w:top w:val="nil"/>
              <w:left w:val="nil"/>
              <w:bottom w:val="single" w:color="auto" w:sz="4" w:space="0"/>
              <w:right w:val="single" w:color="auto" w:sz="4" w:space="0"/>
            </w:tcBorders>
            <w:shd w:val="clear" w:color="auto" w:fill="auto"/>
            <w:vAlign w:val="center"/>
          </w:tcPr>
          <w:p w14:paraId="1017CB9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彭芸　</w:t>
            </w:r>
          </w:p>
        </w:tc>
        <w:tc>
          <w:tcPr>
            <w:tcW w:w="832" w:type="dxa"/>
            <w:tcBorders>
              <w:top w:val="nil"/>
              <w:left w:val="nil"/>
              <w:bottom w:val="single" w:color="auto" w:sz="4" w:space="0"/>
              <w:right w:val="single" w:color="auto" w:sz="4" w:space="0"/>
            </w:tcBorders>
            <w:shd w:val="clear" w:color="auto" w:fill="auto"/>
            <w:vAlign w:val="center"/>
          </w:tcPr>
          <w:p w14:paraId="62585CA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联系电话</w:t>
            </w:r>
          </w:p>
        </w:tc>
        <w:tc>
          <w:tcPr>
            <w:tcW w:w="1740" w:type="dxa"/>
            <w:gridSpan w:val="2"/>
            <w:tcBorders>
              <w:top w:val="single" w:color="auto" w:sz="4" w:space="0"/>
              <w:left w:val="nil"/>
              <w:bottom w:val="single" w:color="auto" w:sz="4" w:space="0"/>
              <w:right w:val="single" w:color="000000" w:sz="4" w:space="0"/>
            </w:tcBorders>
            <w:shd w:val="clear" w:color="auto" w:fill="auto"/>
            <w:vAlign w:val="center"/>
          </w:tcPr>
          <w:p w14:paraId="5114C78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023-62948728　</w:t>
            </w:r>
          </w:p>
        </w:tc>
      </w:tr>
      <w:tr w14:paraId="09028782">
        <w:tblPrEx>
          <w:tblCellMar>
            <w:top w:w="0" w:type="dxa"/>
            <w:left w:w="108" w:type="dxa"/>
            <w:bottom w:w="0" w:type="dxa"/>
            <w:right w:w="108" w:type="dxa"/>
          </w:tblCellMar>
        </w:tblPrEx>
        <w:trPr>
          <w:cantSplit/>
          <w:trHeight w:val="601" w:hRule="atLeast"/>
        </w:trPr>
        <w:tc>
          <w:tcPr>
            <w:tcW w:w="1030" w:type="dxa"/>
            <w:vMerge w:val="restart"/>
            <w:tcBorders>
              <w:top w:val="nil"/>
              <w:left w:val="single" w:color="auto" w:sz="4" w:space="0"/>
              <w:bottom w:val="single" w:color="auto" w:sz="4" w:space="0"/>
              <w:right w:val="single" w:color="auto" w:sz="4" w:space="0"/>
            </w:tcBorders>
            <w:shd w:val="clear" w:color="auto" w:fill="auto"/>
            <w:vAlign w:val="center"/>
          </w:tcPr>
          <w:p w14:paraId="07A9E22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项目资金（万元）</w:t>
            </w:r>
          </w:p>
        </w:tc>
        <w:tc>
          <w:tcPr>
            <w:tcW w:w="955" w:type="dxa"/>
            <w:tcBorders>
              <w:top w:val="nil"/>
              <w:left w:val="nil"/>
              <w:bottom w:val="single" w:color="auto" w:sz="4" w:space="0"/>
              <w:right w:val="nil"/>
            </w:tcBorders>
            <w:shd w:val="clear" w:color="auto" w:fill="auto"/>
            <w:vAlign w:val="center"/>
          </w:tcPr>
          <w:p w14:paraId="1CD8B0A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109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D78759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年初预算数</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62BBEE0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全年（调整）预算数</w:t>
            </w: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3F8D82B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全年执行数</w:t>
            </w:r>
          </w:p>
        </w:tc>
        <w:tc>
          <w:tcPr>
            <w:tcW w:w="832" w:type="dxa"/>
            <w:tcBorders>
              <w:top w:val="nil"/>
              <w:left w:val="nil"/>
              <w:bottom w:val="single" w:color="auto" w:sz="4" w:space="0"/>
              <w:right w:val="single" w:color="auto" w:sz="4" w:space="0"/>
            </w:tcBorders>
            <w:shd w:val="clear" w:color="auto" w:fill="auto"/>
            <w:vAlign w:val="center"/>
          </w:tcPr>
          <w:p w14:paraId="2ABDB6F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832" w:type="dxa"/>
            <w:tcBorders>
              <w:top w:val="nil"/>
              <w:left w:val="nil"/>
              <w:bottom w:val="single" w:color="auto" w:sz="4" w:space="0"/>
              <w:right w:val="single" w:color="auto" w:sz="4" w:space="0"/>
            </w:tcBorders>
            <w:shd w:val="clear" w:color="auto" w:fill="auto"/>
            <w:vAlign w:val="center"/>
          </w:tcPr>
          <w:p w14:paraId="1378B40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权重</w:t>
            </w:r>
          </w:p>
        </w:tc>
        <w:tc>
          <w:tcPr>
            <w:tcW w:w="908" w:type="dxa"/>
            <w:tcBorders>
              <w:top w:val="nil"/>
              <w:left w:val="nil"/>
              <w:bottom w:val="single" w:color="auto" w:sz="4" w:space="0"/>
              <w:right w:val="single" w:color="auto" w:sz="4" w:space="0"/>
            </w:tcBorders>
            <w:shd w:val="clear" w:color="auto" w:fill="auto"/>
            <w:vAlign w:val="center"/>
          </w:tcPr>
          <w:p w14:paraId="1DC420CA">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r>
      <w:tr w14:paraId="52BF265B">
        <w:tblPrEx>
          <w:tblCellMar>
            <w:top w:w="0" w:type="dxa"/>
            <w:left w:w="108" w:type="dxa"/>
            <w:bottom w:w="0" w:type="dxa"/>
            <w:right w:w="108" w:type="dxa"/>
          </w:tblCellMar>
        </w:tblPrEx>
        <w:trPr>
          <w:cantSplit/>
          <w:trHeight w:val="601" w:hRule="atLeast"/>
        </w:trPr>
        <w:tc>
          <w:tcPr>
            <w:tcW w:w="1030" w:type="dxa"/>
            <w:vMerge w:val="continue"/>
            <w:tcBorders>
              <w:top w:val="nil"/>
              <w:left w:val="single" w:color="auto" w:sz="4" w:space="0"/>
              <w:bottom w:val="single" w:color="auto" w:sz="4" w:space="0"/>
              <w:right w:val="single" w:color="auto" w:sz="4" w:space="0"/>
            </w:tcBorders>
            <w:vAlign w:val="center"/>
          </w:tcPr>
          <w:p w14:paraId="6CBA91EA">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0B5D80C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年度总金额</w:t>
            </w:r>
          </w:p>
        </w:tc>
        <w:tc>
          <w:tcPr>
            <w:tcW w:w="109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8FBED8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50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4C58ED6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50　</w:t>
            </w: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72CCA95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50　</w:t>
            </w:r>
          </w:p>
        </w:tc>
        <w:tc>
          <w:tcPr>
            <w:tcW w:w="832" w:type="dxa"/>
            <w:tcBorders>
              <w:top w:val="nil"/>
              <w:left w:val="nil"/>
              <w:bottom w:val="single" w:color="auto" w:sz="4" w:space="0"/>
              <w:right w:val="single" w:color="auto" w:sz="4" w:space="0"/>
            </w:tcBorders>
            <w:shd w:val="clear" w:color="auto" w:fill="auto"/>
            <w:vAlign w:val="center"/>
          </w:tcPr>
          <w:p w14:paraId="4DE4F8D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832" w:type="dxa"/>
            <w:tcBorders>
              <w:top w:val="nil"/>
              <w:left w:val="nil"/>
              <w:bottom w:val="single" w:color="auto" w:sz="4" w:space="0"/>
              <w:right w:val="single" w:color="auto" w:sz="4" w:space="0"/>
            </w:tcBorders>
            <w:shd w:val="clear" w:color="auto" w:fill="auto"/>
            <w:vAlign w:val="center"/>
          </w:tcPr>
          <w:p w14:paraId="6CFD8A23">
            <w:pPr>
              <w:autoSpaceDN w:val="0"/>
              <w:jc w:val="center"/>
              <w:rPr>
                <w:rFonts w:ascii="方正仿宋_GBK" w:hAnsi="Calibri" w:eastAsia="方正仿宋_GBK"/>
                <w:sz w:val="18"/>
                <w:szCs w:val="18"/>
              </w:rPr>
            </w:pPr>
            <w:r>
              <w:rPr>
                <w:rFonts w:hint="eastAsia" w:ascii="方正仿宋_GBK" w:eastAsia="方正仿宋_GBK"/>
                <w:sz w:val="18"/>
                <w:szCs w:val="18"/>
              </w:rPr>
              <w:t>10　</w:t>
            </w:r>
          </w:p>
        </w:tc>
        <w:tc>
          <w:tcPr>
            <w:tcW w:w="908" w:type="dxa"/>
            <w:tcBorders>
              <w:top w:val="nil"/>
              <w:left w:val="nil"/>
              <w:bottom w:val="single" w:color="auto" w:sz="4" w:space="0"/>
              <w:right w:val="single" w:color="auto" w:sz="4" w:space="0"/>
            </w:tcBorders>
            <w:shd w:val="clear" w:color="auto" w:fill="auto"/>
            <w:vAlign w:val="center"/>
          </w:tcPr>
          <w:p w14:paraId="70BF643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r>
      <w:tr w14:paraId="1A4A965D">
        <w:tblPrEx>
          <w:tblCellMar>
            <w:top w:w="0" w:type="dxa"/>
            <w:left w:w="108" w:type="dxa"/>
            <w:bottom w:w="0" w:type="dxa"/>
            <w:right w:w="108" w:type="dxa"/>
          </w:tblCellMar>
        </w:tblPrEx>
        <w:trPr>
          <w:cantSplit/>
          <w:trHeight w:val="601" w:hRule="atLeast"/>
        </w:trPr>
        <w:tc>
          <w:tcPr>
            <w:tcW w:w="1030" w:type="dxa"/>
            <w:vMerge w:val="continue"/>
            <w:tcBorders>
              <w:top w:val="nil"/>
              <w:left w:val="single" w:color="auto" w:sz="4" w:space="0"/>
              <w:bottom w:val="single" w:color="auto" w:sz="4" w:space="0"/>
              <w:right w:val="single" w:color="auto" w:sz="4" w:space="0"/>
            </w:tcBorders>
            <w:vAlign w:val="center"/>
          </w:tcPr>
          <w:p w14:paraId="3AE1D33F">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7E7EF932">
            <w:pPr>
              <w:wordWrap w:val="0"/>
              <w:autoSpaceDN w:val="0"/>
              <w:jc w:val="right"/>
              <w:rPr>
                <w:rFonts w:ascii="方正仿宋_GBK" w:hAnsi="Calibri" w:eastAsia="方正仿宋_GBK"/>
                <w:color w:val="000000"/>
                <w:sz w:val="18"/>
                <w:szCs w:val="18"/>
              </w:rPr>
            </w:pPr>
            <w:r>
              <w:rPr>
                <w:rFonts w:hint="eastAsia" w:ascii="方正仿宋_GBK" w:eastAsia="方正仿宋_GBK"/>
                <w:color w:val="000000"/>
                <w:sz w:val="18"/>
                <w:szCs w:val="18"/>
              </w:rPr>
              <w:t>其中：区级支出</w:t>
            </w:r>
          </w:p>
        </w:tc>
        <w:tc>
          <w:tcPr>
            <w:tcW w:w="109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7435B4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50　</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797E7AD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50</w:t>
            </w: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329890E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50　</w:t>
            </w:r>
          </w:p>
        </w:tc>
        <w:tc>
          <w:tcPr>
            <w:tcW w:w="832" w:type="dxa"/>
            <w:tcBorders>
              <w:top w:val="nil"/>
              <w:left w:val="nil"/>
              <w:bottom w:val="single" w:color="auto" w:sz="4" w:space="0"/>
              <w:right w:val="single" w:color="auto" w:sz="4" w:space="0"/>
            </w:tcBorders>
            <w:shd w:val="clear" w:color="auto" w:fill="auto"/>
            <w:vAlign w:val="center"/>
          </w:tcPr>
          <w:p w14:paraId="7FE192F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832" w:type="dxa"/>
            <w:tcBorders>
              <w:top w:val="nil"/>
              <w:left w:val="nil"/>
              <w:bottom w:val="single" w:color="auto" w:sz="4" w:space="0"/>
              <w:right w:val="single" w:color="auto" w:sz="4" w:space="0"/>
            </w:tcBorders>
            <w:shd w:val="clear" w:color="auto" w:fill="auto"/>
            <w:vAlign w:val="center"/>
          </w:tcPr>
          <w:p w14:paraId="4DE666F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c>
          <w:tcPr>
            <w:tcW w:w="908" w:type="dxa"/>
            <w:tcBorders>
              <w:top w:val="nil"/>
              <w:left w:val="nil"/>
              <w:bottom w:val="single" w:color="auto" w:sz="4" w:space="0"/>
              <w:right w:val="single" w:color="auto" w:sz="4" w:space="0"/>
            </w:tcBorders>
            <w:shd w:val="clear" w:color="auto" w:fill="auto"/>
            <w:vAlign w:val="center"/>
          </w:tcPr>
          <w:p w14:paraId="5AF38FA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r>
      <w:tr w14:paraId="3DDCC2DF">
        <w:tblPrEx>
          <w:tblCellMar>
            <w:top w:w="0" w:type="dxa"/>
            <w:left w:w="108" w:type="dxa"/>
            <w:bottom w:w="0" w:type="dxa"/>
            <w:right w:w="108" w:type="dxa"/>
          </w:tblCellMar>
        </w:tblPrEx>
        <w:trPr>
          <w:cantSplit/>
          <w:trHeight w:val="601" w:hRule="atLeast"/>
        </w:trPr>
        <w:tc>
          <w:tcPr>
            <w:tcW w:w="1030" w:type="dxa"/>
            <w:vMerge w:val="restart"/>
            <w:tcBorders>
              <w:top w:val="nil"/>
              <w:left w:val="single" w:color="auto" w:sz="4" w:space="0"/>
              <w:bottom w:val="single" w:color="auto" w:sz="4" w:space="0"/>
              <w:right w:val="single" w:color="auto" w:sz="4" w:space="0"/>
            </w:tcBorders>
            <w:shd w:val="clear" w:color="auto" w:fill="auto"/>
            <w:vAlign w:val="center"/>
          </w:tcPr>
          <w:p w14:paraId="468BA6C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当年绩效目标</w:t>
            </w:r>
          </w:p>
        </w:tc>
        <w:tc>
          <w:tcPr>
            <w:tcW w:w="2050" w:type="dxa"/>
            <w:gridSpan w:val="3"/>
            <w:tcBorders>
              <w:top w:val="single" w:color="auto" w:sz="4" w:space="0"/>
              <w:left w:val="nil"/>
              <w:bottom w:val="single" w:color="auto" w:sz="4" w:space="0"/>
              <w:right w:val="single" w:color="000000" w:sz="4" w:space="0"/>
            </w:tcBorders>
            <w:shd w:val="clear" w:color="auto" w:fill="auto"/>
            <w:vAlign w:val="center"/>
          </w:tcPr>
          <w:p w14:paraId="303BE51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年初绩效目标</w:t>
            </w:r>
          </w:p>
        </w:tc>
        <w:tc>
          <w:tcPr>
            <w:tcW w:w="2848" w:type="dxa"/>
            <w:gridSpan w:val="4"/>
            <w:tcBorders>
              <w:top w:val="single" w:color="auto" w:sz="4" w:space="0"/>
              <w:left w:val="nil"/>
              <w:bottom w:val="single" w:color="auto" w:sz="4" w:space="0"/>
              <w:right w:val="single" w:color="000000" w:sz="4" w:space="0"/>
            </w:tcBorders>
            <w:shd w:val="clear" w:color="auto" w:fill="auto"/>
            <w:vAlign w:val="center"/>
          </w:tcPr>
          <w:p w14:paraId="29C36E3A">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全年（调整）绩效目标</w:t>
            </w:r>
          </w:p>
        </w:tc>
        <w:tc>
          <w:tcPr>
            <w:tcW w:w="2572" w:type="dxa"/>
            <w:gridSpan w:val="3"/>
            <w:tcBorders>
              <w:top w:val="single" w:color="auto" w:sz="4" w:space="0"/>
              <w:left w:val="nil"/>
              <w:bottom w:val="single" w:color="auto" w:sz="4" w:space="0"/>
              <w:right w:val="single" w:color="000000" w:sz="4" w:space="0"/>
            </w:tcBorders>
            <w:shd w:val="clear" w:color="auto" w:fill="auto"/>
            <w:vAlign w:val="center"/>
          </w:tcPr>
          <w:p w14:paraId="2B547F0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全年目标实际完成情况</w:t>
            </w:r>
          </w:p>
        </w:tc>
      </w:tr>
      <w:tr w14:paraId="2DA63F4A">
        <w:tblPrEx>
          <w:tblCellMar>
            <w:top w:w="0" w:type="dxa"/>
            <w:left w:w="108" w:type="dxa"/>
            <w:bottom w:w="0" w:type="dxa"/>
            <w:right w:w="108" w:type="dxa"/>
          </w:tblCellMar>
        </w:tblPrEx>
        <w:trPr>
          <w:cantSplit/>
          <w:trHeight w:val="1352" w:hRule="atLeast"/>
        </w:trPr>
        <w:tc>
          <w:tcPr>
            <w:tcW w:w="1030" w:type="dxa"/>
            <w:vMerge w:val="continue"/>
            <w:tcBorders>
              <w:top w:val="nil"/>
              <w:left w:val="single" w:color="auto" w:sz="4" w:space="0"/>
              <w:bottom w:val="single" w:color="auto" w:sz="4" w:space="0"/>
              <w:right w:val="single" w:color="auto" w:sz="4" w:space="0"/>
            </w:tcBorders>
            <w:vAlign w:val="center"/>
          </w:tcPr>
          <w:p w14:paraId="39F93423">
            <w:pPr>
              <w:rPr>
                <w:rFonts w:ascii="方正仿宋_GBK" w:hAnsi="Calibri" w:eastAsia="方正仿宋_GBK"/>
                <w:color w:val="000000"/>
                <w:sz w:val="18"/>
                <w:szCs w:val="18"/>
              </w:rPr>
            </w:pPr>
          </w:p>
        </w:tc>
        <w:tc>
          <w:tcPr>
            <w:tcW w:w="2050" w:type="dxa"/>
            <w:gridSpan w:val="3"/>
            <w:tcBorders>
              <w:top w:val="single" w:color="auto" w:sz="4" w:space="0"/>
              <w:left w:val="nil"/>
              <w:bottom w:val="single" w:color="auto" w:sz="4" w:space="0"/>
              <w:right w:val="single" w:color="000000" w:sz="4" w:space="0"/>
            </w:tcBorders>
            <w:shd w:val="clear" w:color="auto" w:fill="auto"/>
            <w:vAlign w:val="center"/>
          </w:tcPr>
          <w:p w14:paraId="5797EC3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完成计划生育特别扶助对象的独生子女伤残、死亡家庭父母住院护理保险</w:t>
            </w:r>
          </w:p>
        </w:tc>
        <w:tc>
          <w:tcPr>
            <w:tcW w:w="2848" w:type="dxa"/>
            <w:gridSpan w:val="4"/>
            <w:tcBorders>
              <w:top w:val="single" w:color="auto" w:sz="4" w:space="0"/>
              <w:left w:val="nil"/>
              <w:bottom w:val="single" w:color="auto" w:sz="4" w:space="0"/>
              <w:right w:val="single" w:color="000000" w:sz="4" w:space="0"/>
            </w:tcBorders>
            <w:shd w:val="clear" w:color="auto" w:fill="auto"/>
            <w:vAlign w:val="center"/>
          </w:tcPr>
          <w:p w14:paraId="3D500B4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无　</w:t>
            </w:r>
          </w:p>
        </w:tc>
        <w:tc>
          <w:tcPr>
            <w:tcW w:w="2572" w:type="dxa"/>
            <w:gridSpan w:val="3"/>
            <w:tcBorders>
              <w:top w:val="single" w:color="auto" w:sz="4" w:space="0"/>
              <w:left w:val="nil"/>
              <w:bottom w:val="single" w:color="auto" w:sz="4" w:space="0"/>
              <w:right w:val="single" w:color="000000" w:sz="4" w:space="0"/>
            </w:tcBorders>
            <w:shd w:val="clear" w:color="auto" w:fill="auto"/>
            <w:vAlign w:val="center"/>
          </w:tcPr>
          <w:p w14:paraId="7A68992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完成计划生育特别扶助对象的独生子女伤残、死亡家庭父母住院护理保险，据实结算。全年参保人数2664人　</w:t>
            </w:r>
          </w:p>
        </w:tc>
      </w:tr>
      <w:tr w14:paraId="59199B1C">
        <w:tblPrEx>
          <w:tblCellMar>
            <w:top w:w="0" w:type="dxa"/>
            <w:left w:w="108" w:type="dxa"/>
            <w:bottom w:w="0" w:type="dxa"/>
            <w:right w:w="108" w:type="dxa"/>
          </w:tblCellMar>
        </w:tblPrEx>
        <w:trPr>
          <w:cantSplit/>
          <w:trHeight w:val="601" w:hRule="atLeast"/>
        </w:trPr>
        <w:tc>
          <w:tcPr>
            <w:tcW w:w="1030"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14:paraId="34D1329A">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绩效指标</w:t>
            </w:r>
          </w:p>
        </w:tc>
        <w:tc>
          <w:tcPr>
            <w:tcW w:w="955" w:type="dxa"/>
            <w:tcBorders>
              <w:top w:val="nil"/>
              <w:left w:val="nil"/>
              <w:bottom w:val="single" w:color="auto" w:sz="4" w:space="0"/>
              <w:right w:val="nil"/>
            </w:tcBorders>
            <w:shd w:val="clear" w:color="auto" w:fill="auto"/>
            <w:vAlign w:val="center"/>
          </w:tcPr>
          <w:p w14:paraId="48F3E9B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指标名称</w:t>
            </w:r>
          </w:p>
        </w:tc>
        <w:tc>
          <w:tcPr>
            <w:tcW w:w="472" w:type="dxa"/>
            <w:tcBorders>
              <w:top w:val="nil"/>
              <w:left w:val="single" w:color="auto" w:sz="4" w:space="0"/>
              <w:bottom w:val="single" w:color="auto" w:sz="4" w:space="0"/>
              <w:right w:val="single" w:color="auto" w:sz="4" w:space="0"/>
            </w:tcBorders>
            <w:shd w:val="clear" w:color="auto" w:fill="auto"/>
            <w:vAlign w:val="center"/>
          </w:tcPr>
          <w:p w14:paraId="76E0A71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计量</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单位</w:t>
            </w:r>
          </w:p>
        </w:tc>
        <w:tc>
          <w:tcPr>
            <w:tcW w:w="623" w:type="dxa"/>
            <w:tcBorders>
              <w:top w:val="nil"/>
              <w:left w:val="nil"/>
              <w:bottom w:val="single" w:color="auto" w:sz="4" w:space="0"/>
              <w:right w:val="single" w:color="auto" w:sz="4" w:space="0"/>
            </w:tcBorders>
            <w:shd w:val="clear" w:color="auto" w:fill="auto"/>
            <w:vAlign w:val="center"/>
          </w:tcPr>
          <w:p w14:paraId="00C0D30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性质</w:t>
            </w:r>
          </w:p>
        </w:tc>
        <w:tc>
          <w:tcPr>
            <w:tcW w:w="616" w:type="dxa"/>
            <w:tcBorders>
              <w:top w:val="nil"/>
              <w:left w:val="nil"/>
              <w:bottom w:val="single" w:color="auto" w:sz="4" w:space="0"/>
              <w:right w:val="single" w:color="auto" w:sz="4" w:space="0"/>
            </w:tcBorders>
            <w:shd w:val="clear" w:color="auto" w:fill="auto"/>
            <w:vAlign w:val="center"/>
          </w:tcPr>
          <w:p w14:paraId="421F27F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616" w:type="dxa"/>
            <w:tcBorders>
              <w:top w:val="nil"/>
              <w:left w:val="nil"/>
              <w:bottom w:val="single" w:color="auto" w:sz="4" w:space="0"/>
              <w:right w:val="single" w:color="auto" w:sz="4" w:space="0"/>
            </w:tcBorders>
            <w:shd w:val="clear" w:color="auto" w:fill="auto"/>
            <w:vAlign w:val="center"/>
          </w:tcPr>
          <w:p w14:paraId="4CA48B9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调整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832" w:type="dxa"/>
            <w:tcBorders>
              <w:top w:val="nil"/>
              <w:left w:val="nil"/>
              <w:bottom w:val="single" w:color="auto" w:sz="4" w:space="0"/>
              <w:right w:val="single" w:color="auto" w:sz="4" w:space="0"/>
            </w:tcBorders>
            <w:shd w:val="clear" w:color="auto" w:fill="auto"/>
            <w:vAlign w:val="center"/>
          </w:tcPr>
          <w:p w14:paraId="3D446FE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完成值</w:t>
            </w:r>
          </w:p>
        </w:tc>
        <w:tc>
          <w:tcPr>
            <w:tcW w:w="784" w:type="dxa"/>
            <w:tcBorders>
              <w:top w:val="nil"/>
              <w:left w:val="nil"/>
              <w:bottom w:val="single" w:color="auto" w:sz="4" w:space="0"/>
              <w:right w:val="single" w:color="auto" w:sz="4" w:space="0"/>
            </w:tcBorders>
            <w:shd w:val="clear" w:color="auto" w:fill="auto"/>
            <w:vAlign w:val="center"/>
          </w:tcPr>
          <w:p w14:paraId="1E0BC10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得分系数</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832" w:type="dxa"/>
            <w:tcBorders>
              <w:top w:val="nil"/>
              <w:left w:val="nil"/>
              <w:bottom w:val="single" w:color="auto" w:sz="4" w:space="0"/>
              <w:right w:val="single" w:color="auto" w:sz="4" w:space="0"/>
            </w:tcBorders>
            <w:shd w:val="clear" w:color="auto" w:fill="auto"/>
            <w:vAlign w:val="center"/>
          </w:tcPr>
          <w:p w14:paraId="50EB802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指标权重</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832" w:type="dxa"/>
            <w:tcBorders>
              <w:top w:val="nil"/>
              <w:left w:val="nil"/>
              <w:bottom w:val="single" w:color="auto" w:sz="4" w:space="0"/>
              <w:right w:val="single" w:color="auto" w:sz="4" w:space="0"/>
            </w:tcBorders>
            <w:shd w:val="clear" w:color="auto" w:fill="auto"/>
            <w:vAlign w:val="center"/>
          </w:tcPr>
          <w:p w14:paraId="4F4E02A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908" w:type="dxa"/>
            <w:tcBorders>
              <w:top w:val="nil"/>
              <w:left w:val="nil"/>
              <w:bottom w:val="single" w:color="auto" w:sz="4" w:space="0"/>
              <w:right w:val="single" w:color="auto" w:sz="4" w:space="0"/>
            </w:tcBorders>
            <w:shd w:val="clear" w:color="auto" w:fill="auto"/>
            <w:vAlign w:val="center"/>
          </w:tcPr>
          <w:p w14:paraId="5B63AC2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是否核心</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w:t>
            </w:r>
          </w:p>
        </w:tc>
      </w:tr>
      <w:tr w14:paraId="647738A8">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331FA4FF">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0D23657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计划生育特别扶助对象的独生子女伤残、死亡家庭父母住院护理保险人数</w:t>
            </w:r>
          </w:p>
        </w:tc>
        <w:tc>
          <w:tcPr>
            <w:tcW w:w="472" w:type="dxa"/>
            <w:tcBorders>
              <w:top w:val="nil"/>
              <w:left w:val="single" w:color="auto" w:sz="4" w:space="0"/>
              <w:bottom w:val="single" w:color="auto" w:sz="4" w:space="0"/>
              <w:right w:val="nil"/>
            </w:tcBorders>
            <w:shd w:val="clear" w:color="auto" w:fill="auto"/>
            <w:vAlign w:val="center"/>
          </w:tcPr>
          <w:p w14:paraId="69E0BA3D">
            <w:pPr>
              <w:autoSpaceDN w:val="0"/>
              <w:jc w:val="center"/>
              <w:rPr>
                <w:rFonts w:ascii="方正仿宋_GBK" w:hAnsi="Calibri" w:eastAsia="方正仿宋_GBK"/>
                <w:color w:val="000000"/>
              </w:rPr>
            </w:pPr>
            <w:r>
              <w:rPr>
                <w:rFonts w:hint="eastAsia" w:ascii="方正仿宋_GBK" w:eastAsia="方正仿宋_GBK"/>
                <w:color w:val="000000"/>
              </w:rPr>
              <w:t>人　</w:t>
            </w:r>
          </w:p>
        </w:tc>
        <w:tc>
          <w:tcPr>
            <w:tcW w:w="623" w:type="dxa"/>
            <w:tcBorders>
              <w:top w:val="nil"/>
              <w:left w:val="single" w:color="auto" w:sz="4" w:space="0"/>
              <w:bottom w:val="single" w:color="auto" w:sz="4" w:space="0"/>
              <w:right w:val="nil"/>
            </w:tcBorders>
            <w:shd w:val="clear" w:color="auto" w:fill="auto"/>
            <w:vAlign w:val="center"/>
          </w:tcPr>
          <w:p w14:paraId="31149BE4">
            <w:pPr>
              <w:autoSpaceDN w:val="0"/>
              <w:jc w:val="center"/>
              <w:rPr>
                <w:rFonts w:ascii="方正仿宋_GBK" w:hAnsi="Calibri" w:eastAsia="方正仿宋_GBK"/>
                <w:color w:val="000000"/>
              </w:rPr>
            </w:pPr>
            <w:r>
              <w:rPr>
                <w:rFonts w:hint="eastAsia" w:ascii="方正仿宋_GBK" w:eastAsia="方正仿宋_GBK"/>
                <w:color w:val="000000"/>
              </w:rPr>
              <w:t>≥　</w:t>
            </w:r>
          </w:p>
        </w:tc>
        <w:tc>
          <w:tcPr>
            <w:tcW w:w="616" w:type="dxa"/>
            <w:tcBorders>
              <w:top w:val="nil"/>
              <w:left w:val="single" w:color="auto" w:sz="4" w:space="0"/>
              <w:bottom w:val="single" w:color="auto" w:sz="4" w:space="0"/>
              <w:right w:val="nil"/>
            </w:tcBorders>
            <w:shd w:val="clear" w:color="auto" w:fill="auto"/>
            <w:vAlign w:val="center"/>
          </w:tcPr>
          <w:p w14:paraId="3A8CB91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2650　</w:t>
            </w:r>
          </w:p>
        </w:tc>
        <w:tc>
          <w:tcPr>
            <w:tcW w:w="616" w:type="dxa"/>
            <w:tcBorders>
              <w:top w:val="nil"/>
              <w:left w:val="single" w:color="auto" w:sz="4" w:space="0"/>
              <w:bottom w:val="single" w:color="auto" w:sz="4" w:space="0"/>
              <w:right w:val="nil"/>
            </w:tcBorders>
            <w:shd w:val="clear" w:color="auto" w:fill="auto"/>
            <w:vAlign w:val="center"/>
          </w:tcPr>
          <w:p w14:paraId="2EEE49B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591107D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2664　</w:t>
            </w:r>
          </w:p>
        </w:tc>
        <w:tc>
          <w:tcPr>
            <w:tcW w:w="784" w:type="dxa"/>
            <w:tcBorders>
              <w:top w:val="nil"/>
              <w:left w:val="single" w:color="auto" w:sz="4" w:space="0"/>
              <w:bottom w:val="single" w:color="auto" w:sz="4" w:space="0"/>
              <w:right w:val="nil"/>
            </w:tcBorders>
            <w:shd w:val="clear" w:color="auto" w:fill="auto"/>
            <w:vAlign w:val="center"/>
          </w:tcPr>
          <w:p w14:paraId="4D2E7C1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832" w:type="dxa"/>
            <w:tcBorders>
              <w:top w:val="nil"/>
              <w:left w:val="single" w:color="auto" w:sz="4" w:space="0"/>
              <w:bottom w:val="single" w:color="auto" w:sz="4" w:space="0"/>
              <w:right w:val="nil"/>
            </w:tcBorders>
            <w:shd w:val="clear" w:color="auto" w:fill="auto"/>
            <w:vAlign w:val="center"/>
          </w:tcPr>
          <w:p w14:paraId="138281C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　</w:t>
            </w:r>
          </w:p>
        </w:tc>
        <w:tc>
          <w:tcPr>
            <w:tcW w:w="832" w:type="dxa"/>
            <w:tcBorders>
              <w:top w:val="nil"/>
              <w:left w:val="single" w:color="auto" w:sz="4" w:space="0"/>
              <w:bottom w:val="single" w:color="auto" w:sz="4" w:space="0"/>
              <w:right w:val="nil"/>
            </w:tcBorders>
            <w:shd w:val="clear" w:color="auto" w:fill="auto"/>
            <w:vAlign w:val="center"/>
          </w:tcPr>
          <w:p w14:paraId="18C21BA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20</w:t>
            </w:r>
          </w:p>
        </w:tc>
        <w:tc>
          <w:tcPr>
            <w:tcW w:w="908" w:type="dxa"/>
            <w:tcBorders>
              <w:top w:val="nil"/>
              <w:left w:val="single" w:color="auto" w:sz="4" w:space="0"/>
              <w:bottom w:val="single" w:color="auto" w:sz="4" w:space="0"/>
              <w:right w:val="single" w:color="auto" w:sz="4" w:space="0"/>
            </w:tcBorders>
            <w:shd w:val="clear" w:color="auto" w:fill="auto"/>
            <w:vAlign w:val="center"/>
          </w:tcPr>
          <w:p w14:paraId="23147BD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是</w:t>
            </w:r>
          </w:p>
        </w:tc>
      </w:tr>
      <w:tr w14:paraId="12360048">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0CC41B49">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430CB12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计划生育特别扶助对象的独生子女伤残、死亡家庭父母赔付率</w:t>
            </w:r>
          </w:p>
        </w:tc>
        <w:tc>
          <w:tcPr>
            <w:tcW w:w="472" w:type="dxa"/>
            <w:tcBorders>
              <w:top w:val="nil"/>
              <w:left w:val="single" w:color="auto" w:sz="4" w:space="0"/>
              <w:bottom w:val="single" w:color="auto" w:sz="4" w:space="0"/>
              <w:right w:val="nil"/>
            </w:tcBorders>
            <w:shd w:val="clear" w:color="auto" w:fill="auto"/>
            <w:vAlign w:val="center"/>
          </w:tcPr>
          <w:p w14:paraId="0EA41DFD">
            <w:pPr>
              <w:autoSpaceDN w:val="0"/>
              <w:jc w:val="center"/>
              <w:rPr>
                <w:rFonts w:ascii="方正仿宋_GBK" w:hAnsi="Calibri" w:eastAsia="方正仿宋_GBK"/>
                <w:color w:val="000000"/>
              </w:rPr>
            </w:pPr>
            <w:r>
              <w:rPr>
                <w:rFonts w:hint="eastAsia" w:ascii="方正仿宋_GBK" w:eastAsia="方正仿宋_GBK"/>
                <w:color w:val="000000"/>
              </w:rPr>
              <w:t>%　</w:t>
            </w:r>
          </w:p>
        </w:tc>
        <w:tc>
          <w:tcPr>
            <w:tcW w:w="623" w:type="dxa"/>
            <w:tcBorders>
              <w:top w:val="nil"/>
              <w:left w:val="single" w:color="auto" w:sz="4" w:space="0"/>
              <w:bottom w:val="single" w:color="auto" w:sz="4" w:space="0"/>
              <w:right w:val="nil"/>
            </w:tcBorders>
            <w:shd w:val="clear" w:color="auto" w:fill="auto"/>
            <w:vAlign w:val="center"/>
          </w:tcPr>
          <w:p w14:paraId="7A245D23">
            <w:pPr>
              <w:autoSpaceDN w:val="0"/>
              <w:jc w:val="center"/>
              <w:rPr>
                <w:rFonts w:ascii="方正仿宋_GBK" w:hAnsi="Calibri" w:eastAsia="方正仿宋_GBK"/>
                <w:color w:val="000000"/>
              </w:rPr>
            </w:pPr>
            <w:r>
              <w:rPr>
                <w:rFonts w:hint="eastAsia" w:ascii="方正仿宋_GBK" w:eastAsia="方正仿宋_GBK"/>
                <w:color w:val="000000"/>
              </w:rPr>
              <w:t>=　</w:t>
            </w:r>
          </w:p>
        </w:tc>
        <w:tc>
          <w:tcPr>
            <w:tcW w:w="616" w:type="dxa"/>
            <w:tcBorders>
              <w:top w:val="nil"/>
              <w:left w:val="single" w:color="auto" w:sz="4" w:space="0"/>
              <w:bottom w:val="single" w:color="auto" w:sz="4" w:space="0"/>
              <w:right w:val="nil"/>
            </w:tcBorders>
            <w:shd w:val="clear" w:color="auto" w:fill="auto"/>
            <w:vAlign w:val="center"/>
          </w:tcPr>
          <w:p w14:paraId="33B6681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616" w:type="dxa"/>
            <w:tcBorders>
              <w:top w:val="nil"/>
              <w:left w:val="single" w:color="auto" w:sz="4" w:space="0"/>
              <w:bottom w:val="single" w:color="auto" w:sz="4" w:space="0"/>
              <w:right w:val="nil"/>
            </w:tcBorders>
            <w:shd w:val="clear" w:color="auto" w:fill="auto"/>
            <w:vAlign w:val="center"/>
          </w:tcPr>
          <w:p w14:paraId="7C64D57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15CAAF9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784" w:type="dxa"/>
            <w:tcBorders>
              <w:top w:val="nil"/>
              <w:left w:val="single" w:color="auto" w:sz="4" w:space="0"/>
              <w:bottom w:val="single" w:color="auto" w:sz="4" w:space="0"/>
              <w:right w:val="nil"/>
            </w:tcBorders>
            <w:shd w:val="clear" w:color="auto" w:fill="auto"/>
            <w:vAlign w:val="center"/>
          </w:tcPr>
          <w:p w14:paraId="305017A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832" w:type="dxa"/>
            <w:tcBorders>
              <w:top w:val="nil"/>
              <w:left w:val="single" w:color="auto" w:sz="4" w:space="0"/>
              <w:bottom w:val="single" w:color="auto" w:sz="4" w:space="0"/>
              <w:right w:val="nil"/>
            </w:tcBorders>
            <w:shd w:val="clear" w:color="auto" w:fill="auto"/>
            <w:vAlign w:val="center"/>
          </w:tcPr>
          <w:p w14:paraId="648E748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　</w:t>
            </w:r>
          </w:p>
        </w:tc>
        <w:tc>
          <w:tcPr>
            <w:tcW w:w="832" w:type="dxa"/>
            <w:tcBorders>
              <w:top w:val="nil"/>
              <w:left w:val="single" w:color="auto" w:sz="4" w:space="0"/>
              <w:bottom w:val="single" w:color="auto" w:sz="4" w:space="0"/>
              <w:right w:val="nil"/>
            </w:tcBorders>
            <w:shd w:val="clear" w:color="auto" w:fill="auto"/>
            <w:vAlign w:val="center"/>
          </w:tcPr>
          <w:p w14:paraId="30BD2F3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　</w:t>
            </w:r>
          </w:p>
        </w:tc>
        <w:tc>
          <w:tcPr>
            <w:tcW w:w="908" w:type="dxa"/>
            <w:tcBorders>
              <w:top w:val="nil"/>
              <w:left w:val="single" w:color="auto" w:sz="4" w:space="0"/>
              <w:bottom w:val="single" w:color="auto" w:sz="4" w:space="0"/>
              <w:right w:val="single" w:color="auto" w:sz="4" w:space="0"/>
            </w:tcBorders>
            <w:shd w:val="clear" w:color="auto" w:fill="auto"/>
            <w:vAlign w:val="center"/>
          </w:tcPr>
          <w:p w14:paraId="38A5413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否　</w:t>
            </w:r>
          </w:p>
        </w:tc>
      </w:tr>
      <w:tr w14:paraId="46BC1961">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527B3828">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73E4FB9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计划生育特别扶助对象的独生子女伤残、死亡家庭父母知晓率</w:t>
            </w:r>
          </w:p>
        </w:tc>
        <w:tc>
          <w:tcPr>
            <w:tcW w:w="472" w:type="dxa"/>
            <w:tcBorders>
              <w:top w:val="nil"/>
              <w:left w:val="single" w:color="auto" w:sz="4" w:space="0"/>
              <w:bottom w:val="single" w:color="auto" w:sz="4" w:space="0"/>
              <w:right w:val="nil"/>
            </w:tcBorders>
            <w:shd w:val="clear" w:color="auto" w:fill="auto"/>
            <w:vAlign w:val="center"/>
          </w:tcPr>
          <w:p w14:paraId="298EAA17">
            <w:pPr>
              <w:autoSpaceDN w:val="0"/>
              <w:jc w:val="center"/>
              <w:rPr>
                <w:rFonts w:ascii="方正仿宋_GBK" w:hAnsi="Calibri" w:eastAsia="方正仿宋_GBK"/>
                <w:color w:val="000000"/>
              </w:rPr>
            </w:pPr>
            <w:r>
              <w:rPr>
                <w:rFonts w:hint="eastAsia" w:ascii="方正仿宋_GBK" w:eastAsia="方正仿宋_GBK"/>
                <w:color w:val="000000"/>
              </w:rPr>
              <w:t>　%</w:t>
            </w:r>
          </w:p>
        </w:tc>
        <w:tc>
          <w:tcPr>
            <w:tcW w:w="623" w:type="dxa"/>
            <w:tcBorders>
              <w:top w:val="nil"/>
              <w:left w:val="single" w:color="auto" w:sz="4" w:space="0"/>
              <w:bottom w:val="single" w:color="auto" w:sz="4" w:space="0"/>
              <w:right w:val="nil"/>
            </w:tcBorders>
            <w:shd w:val="clear" w:color="auto" w:fill="auto"/>
            <w:vAlign w:val="center"/>
          </w:tcPr>
          <w:p w14:paraId="33FB3036">
            <w:pPr>
              <w:autoSpaceDN w:val="0"/>
              <w:jc w:val="center"/>
              <w:rPr>
                <w:rFonts w:ascii="方正仿宋_GBK" w:hAnsi="Calibri" w:eastAsia="方正仿宋_GBK"/>
                <w:color w:val="000000"/>
              </w:rPr>
            </w:pPr>
            <w:r>
              <w:rPr>
                <w:rFonts w:hint="eastAsia" w:ascii="方正仿宋_GBK" w:eastAsia="方正仿宋_GBK"/>
                <w:color w:val="000000"/>
              </w:rPr>
              <w:t>≥　</w:t>
            </w:r>
          </w:p>
        </w:tc>
        <w:tc>
          <w:tcPr>
            <w:tcW w:w="616" w:type="dxa"/>
            <w:tcBorders>
              <w:top w:val="nil"/>
              <w:left w:val="single" w:color="auto" w:sz="4" w:space="0"/>
              <w:bottom w:val="single" w:color="auto" w:sz="4" w:space="0"/>
              <w:right w:val="nil"/>
            </w:tcBorders>
            <w:shd w:val="clear" w:color="auto" w:fill="auto"/>
            <w:vAlign w:val="center"/>
          </w:tcPr>
          <w:p w14:paraId="4ACB77A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90%　</w:t>
            </w:r>
          </w:p>
        </w:tc>
        <w:tc>
          <w:tcPr>
            <w:tcW w:w="616" w:type="dxa"/>
            <w:tcBorders>
              <w:top w:val="nil"/>
              <w:left w:val="single" w:color="auto" w:sz="4" w:space="0"/>
              <w:bottom w:val="single" w:color="auto" w:sz="4" w:space="0"/>
              <w:right w:val="nil"/>
            </w:tcBorders>
            <w:shd w:val="clear" w:color="auto" w:fill="auto"/>
            <w:vAlign w:val="center"/>
          </w:tcPr>
          <w:p w14:paraId="7863766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41C00D32">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90%　</w:t>
            </w:r>
          </w:p>
        </w:tc>
        <w:tc>
          <w:tcPr>
            <w:tcW w:w="784" w:type="dxa"/>
            <w:tcBorders>
              <w:top w:val="nil"/>
              <w:left w:val="single" w:color="auto" w:sz="4" w:space="0"/>
              <w:bottom w:val="single" w:color="auto" w:sz="4" w:space="0"/>
              <w:right w:val="nil"/>
            </w:tcBorders>
            <w:shd w:val="clear" w:color="auto" w:fill="auto"/>
            <w:vAlign w:val="center"/>
          </w:tcPr>
          <w:p w14:paraId="0C1A94C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832" w:type="dxa"/>
            <w:tcBorders>
              <w:top w:val="nil"/>
              <w:left w:val="single" w:color="auto" w:sz="4" w:space="0"/>
              <w:bottom w:val="single" w:color="auto" w:sz="4" w:space="0"/>
              <w:right w:val="nil"/>
            </w:tcBorders>
            <w:shd w:val="clear" w:color="auto" w:fill="auto"/>
            <w:vAlign w:val="center"/>
          </w:tcPr>
          <w:p w14:paraId="3B23B8A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15　</w:t>
            </w:r>
          </w:p>
        </w:tc>
        <w:tc>
          <w:tcPr>
            <w:tcW w:w="832" w:type="dxa"/>
            <w:tcBorders>
              <w:top w:val="nil"/>
              <w:left w:val="single" w:color="auto" w:sz="4" w:space="0"/>
              <w:bottom w:val="single" w:color="auto" w:sz="4" w:space="0"/>
              <w:right w:val="nil"/>
            </w:tcBorders>
            <w:shd w:val="clear" w:color="auto" w:fill="auto"/>
            <w:vAlign w:val="center"/>
          </w:tcPr>
          <w:p w14:paraId="0C81FAF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15</w:t>
            </w:r>
          </w:p>
        </w:tc>
        <w:tc>
          <w:tcPr>
            <w:tcW w:w="908" w:type="dxa"/>
            <w:tcBorders>
              <w:top w:val="nil"/>
              <w:left w:val="single" w:color="auto" w:sz="4" w:space="0"/>
              <w:bottom w:val="single" w:color="auto" w:sz="4" w:space="0"/>
              <w:right w:val="single" w:color="auto" w:sz="4" w:space="0"/>
            </w:tcBorders>
            <w:shd w:val="clear" w:color="auto" w:fill="auto"/>
            <w:vAlign w:val="center"/>
          </w:tcPr>
          <w:p w14:paraId="43F119D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否　</w:t>
            </w:r>
          </w:p>
        </w:tc>
      </w:tr>
      <w:tr w14:paraId="72B8A9EC">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23166041">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7085270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计划生育特别扶助对象的独生子女伤残、死亡家庭父母对象风险保障期限　</w:t>
            </w:r>
          </w:p>
        </w:tc>
        <w:tc>
          <w:tcPr>
            <w:tcW w:w="472" w:type="dxa"/>
            <w:tcBorders>
              <w:top w:val="nil"/>
              <w:left w:val="single" w:color="auto" w:sz="4" w:space="0"/>
              <w:bottom w:val="single" w:color="auto" w:sz="4" w:space="0"/>
              <w:right w:val="nil"/>
            </w:tcBorders>
            <w:shd w:val="clear" w:color="auto" w:fill="auto"/>
            <w:vAlign w:val="center"/>
          </w:tcPr>
          <w:p w14:paraId="27A6C2CB">
            <w:pPr>
              <w:autoSpaceDN w:val="0"/>
              <w:jc w:val="center"/>
              <w:rPr>
                <w:rFonts w:ascii="方正仿宋_GBK" w:hAnsi="Calibri" w:eastAsia="方正仿宋_GBK"/>
                <w:color w:val="000000"/>
              </w:rPr>
            </w:pPr>
            <w:r>
              <w:rPr>
                <w:rFonts w:hint="eastAsia" w:ascii="方正仿宋_GBK" w:eastAsia="方正仿宋_GBK"/>
                <w:color w:val="000000"/>
              </w:rPr>
              <w:t>　年</w:t>
            </w:r>
          </w:p>
        </w:tc>
        <w:tc>
          <w:tcPr>
            <w:tcW w:w="623" w:type="dxa"/>
            <w:tcBorders>
              <w:top w:val="nil"/>
              <w:left w:val="single" w:color="auto" w:sz="4" w:space="0"/>
              <w:bottom w:val="single" w:color="auto" w:sz="4" w:space="0"/>
              <w:right w:val="nil"/>
            </w:tcBorders>
            <w:shd w:val="clear" w:color="auto" w:fill="auto"/>
            <w:vAlign w:val="center"/>
          </w:tcPr>
          <w:p w14:paraId="3A7A2B9C">
            <w:pPr>
              <w:autoSpaceDN w:val="0"/>
              <w:jc w:val="center"/>
              <w:rPr>
                <w:rFonts w:ascii="方正仿宋_GBK" w:hAnsi="Calibri" w:eastAsia="方正仿宋_GBK"/>
                <w:color w:val="000000"/>
              </w:rPr>
            </w:pPr>
            <w:r>
              <w:rPr>
                <w:rFonts w:hint="eastAsia" w:ascii="方正仿宋_GBK" w:eastAsia="方正仿宋_GBK"/>
                <w:color w:val="000000"/>
              </w:rPr>
              <w:t>=　</w:t>
            </w:r>
          </w:p>
        </w:tc>
        <w:tc>
          <w:tcPr>
            <w:tcW w:w="616" w:type="dxa"/>
            <w:tcBorders>
              <w:top w:val="nil"/>
              <w:left w:val="single" w:color="auto" w:sz="4" w:space="0"/>
              <w:bottom w:val="single" w:color="auto" w:sz="4" w:space="0"/>
              <w:right w:val="nil"/>
            </w:tcBorders>
            <w:shd w:val="clear" w:color="auto" w:fill="auto"/>
            <w:vAlign w:val="center"/>
          </w:tcPr>
          <w:p w14:paraId="53756F1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1年</w:t>
            </w:r>
          </w:p>
        </w:tc>
        <w:tc>
          <w:tcPr>
            <w:tcW w:w="616" w:type="dxa"/>
            <w:tcBorders>
              <w:top w:val="nil"/>
              <w:left w:val="single" w:color="auto" w:sz="4" w:space="0"/>
              <w:bottom w:val="single" w:color="auto" w:sz="4" w:space="0"/>
              <w:right w:val="nil"/>
            </w:tcBorders>
            <w:shd w:val="clear" w:color="auto" w:fill="auto"/>
            <w:vAlign w:val="center"/>
          </w:tcPr>
          <w:p w14:paraId="58AEB26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686AFA0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1年　</w:t>
            </w:r>
          </w:p>
        </w:tc>
        <w:tc>
          <w:tcPr>
            <w:tcW w:w="784" w:type="dxa"/>
            <w:tcBorders>
              <w:top w:val="nil"/>
              <w:left w:val="single" w:color="auto" w:sz="4" w:space="0"/>
              <w:bottom w:val="single" w:color="auto" w:sz="4" w:space="0"/>
              <w:right w:val="nil"/>
            </w:tcBorders>
            <w:shd w:val="clear" w:color="auto" w:fill="auto"/>
            <w:vAlign w:val="center"/>
          </w:tcPr>
          <w:p w14:paraId="549FC33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832" w:type="dxa"/>
            <w:tcBorders>
              <w:top w:val="nil"/>
              <w:left w:val="single" w:color="auto" w:sz="4" w:space="0"/>
              <w:bottom w:val="single" w:color="auto" w:sz="4" w:space="0"/>
              <w:right w:val="nil"/>
            </w:tcBorders>
            <w:shd w:val="clear" w:color="auto" w:fill="auto"/>
            <w:vAlign w:val="center"/>
          </w:tcPr>
          <w:p w14:paraId="33C31082">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15</w:t>
            </w:r>
          </w:p>
        </w:tc>
        <w:tc>
          <w:tcPr>
            <w:tcW w:w="832" w:type="dxa"/>
            <w:tcBorders>
              <w:top w:val="nil"/>
              <w:left w:val="single" w:color="auto" w:sz="4" w:space="0"/>
              <w:bottom w:val="single" w:color="auto" w:sz="4" w:space="0"/>
              <w:right w:val="nil"/>
            </w:tcBorders>
            <w:shd w:val="clear" w:color="auto" w:fill="auto"/>
            <w:vAlign w:val="center"/>
          </w:tcPr>
          <w:p w14:paraId="20DEFDE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15　</w:t>
            </w:r>
          </w:p>
        </w:tc>
        <w:tc>
          <w:tcPr>
            <w:tcW w:w="908" w:type="dxa"/>
            <w:tcBorders>
              <w:top w:val="nil"/>
              <w:left w:val="single" w:color="auto" w:sz="4" w:space="0"/>
              <w:bottom w:val="single" w:color="auto" w:sz="4" w:space="0"/>
              <w:right w:val="single" w:color="auto" w:sz="4" w:space="0"/>
            </w:tcBorders>
            <w:shd w:val="clear" w:color="auto" w:fill="auto"/>
            <w:vAlign w:val="center"/>
          </w:tcPr>
          <w:p w14:paraId="3BD3D7C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否　</w:t>
            </w:r>
          </w:p>
        </w:tc>
      </w:tr>
      <w:tr w14:paraId="4DC99463">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435E2589">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198633F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计划生育特别扶助对象的独生子女伤残、死亡家庭父母对住院护理保险赔付情况满意度　</w:t>
            </w:r>
          </w:p>
        </w:tc>
        <w:tc>
          <w:tcPr>
            <w:tcW w:w="472" w:type="dxa"/>
            <w:tcBorders>
              <w:top w:val="nil"/>
              <w:left w:val="single" w:color="auto" w:sz="4" w:space="0"/>
              <w:bottom w:val="single" w:color="auto" w:sz="4" w:space="0"/>
              <w:right w:val="nil"/>
            </w:tcBorders>
            <w:shd w:val="clear" w:color="auto" w:fill="auto"/>
            <w:vAlign w:val="center"/>
          </w:tcPr>
          <w:p w14:paraId="201D8D4F">
            <w:pPr>
              <w:autoSpaceDN w:val="0"/>
              <w:jc w:val="center"/>
              <w:rPr>
                <w:rFonts w:ascii="方正仿宋_GBK" w:hAnsi="Calibri" w:eastAsia="方正仿宋_GBK"/>
                <w:color w:val="000000"/>
              </w:rPr>
            </w:pPr>
            <w:r>
              <w:rPr>
                <w:rFonts w:hint="eastAsia" w:ascii="方正仿宋_GBK" w:eastAsia="方正仿宋_GBK"/>
                <w:color w:val="000000"/>
              </w:rPr>
              <w:t>%　</w:t>
            </w:r>
          </w:p>
        </w:tc>
        <w:tc>
          <w:tcPr>
            <w:tcW w:w="623" w:type="dxa"/>
            <w:tcBorders>
              <w:top w:val="nil"/>
              <w:left w:val="single" w:color="auto" w:sz="4" w:space="0"/>
              <w:bottom w:val="single" w:color="auto" w:sz="4" w:space="0"/>
              <w:right w:val="nil"/>
            </w:tcBorders>
            <w:shd w:val="clear" w:color="auto" w:fill="auto"/>
            <w:vAlign w:val="center"/>
          </w:tcPr>
          <w:p w14:paraId="1A71B8AF">
            <w:pPr>
              <w:autoSpaceDN w:val="0"/>
              <w:jc w:val="center"/>
              <w:rPr>
                <w:rFonts w:ascii="方正仿宋_GBK" w:hAnsi="Calibri" w:eastAsia="方正仿宋_GBK"/>
                <w:color w:val="000000"/>
              </w:rPr>
            </w:pPr>
            <w:r>
              <w:rPr>
                <w:rFonts w:hint="eastAsia" w:ascii="方正仿宋_GBK" w:eastAsia="方正仿宋_GBK"/>
                <w:color w:val="000000"/>
              </w:rPr>
              <w:t>≥　</w:t>
            </w:r>
          </w:p>
        </w:tc>
        <w:tc>
          <w:tcPr>
            <w:tcW w:w="616" w:type="dxa"/>
            <w:tcBorders>
              <w:top w:val="nil"/>
              <w:left w:val="single" w:color="auto" w:sz="4" w:space="0"/>
              <w:bottom w:val="single" w:color="auto" w:sz="4" w:space="0"/>
              <w:right w:val="nil"/>
            </w:tcBorders>
            <w:shd w:val="clear" w:color="auto" w:fill="auto"/>
            <w:vAlign w:val="center"/>
          </w:tcPr>
          <w:p w14:paraId="7EF1741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90%　</w:t>
            </w:r>
          </w:p>
        </w:tc>
        <w:tc>
          <w:tcPr>
            <w:tcW w:w="616" w:type="dxa"/>
            <w:tcBorders>
              <w:top w:val="nil"/>
              <w:left w:val="single" w:color="auto" w:sz="4" w:space="0"/>
              <w:bottom w:val="single" w:color="auto" w:sz="4" w:space="0"/>
              <w:right w:val="nil"/>
            </w:tcBorders>
            <w:shd w:val="clear" w:color="auto" w:fill="auto"/>
            <w:vAlign w:val="center"/>
          </w:tcPr>
          <w:p w14:paraId="1F7B362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73F5251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85%</w:t>
            </w:r>
          </w:p>
        </w:tc>
        <w:tc>
          <w:tcPr>
            <w:tcW w:w="784" w:type="dxa"/>
            <w:tcBorders>
              <w:top w:val="nil"/>
              <w:left w:val="single" w:color="auto" w:sz="4" w:space="0"/>
              <w:bottom w:val="single" w:color="auto" w:sz="4" w:space="0"/>
              <w:right w:val="nil"/>
            </w:tcBorders>
            <w:shd w:val="clear" w:color="auto" w:fill="auto"/>
            <w:vAlign w:val="center"/>
          </w:tcPr>
          <w:p w14:paraId="7E11FAA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94%</w:t>
            </w:r>
          </w:p>
        </w:tc>
        <w:tc>
          <w:tcPr>
            <w:tcW w:w="832" w:type="dxa"/>
            <w:tcBorders>
              <w:top w:val="nil"/>
              <w:left w:val="single" w:color="auto" w:sz="4" w:space="0"/>
              <w:bottom w:val="single" w:color="auto" w:sz="4" w:space="0"/>
              <w:right w:val="nil"/>
            </w:tcBorders>
            <w:shd w:val="clear" w:color="auto" w:fill="auto"/>
            <w:vAlign w:val="center"/>
          </w:tcPr>
          <w:p w14:paraId="557FDF0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　</w:t>
            </w:r>
          </w:p>
        </w:tc>
        <w:tc>
          <w:tcPr>
            <w:tcW w:w="832" w:type="dxa"/>
            <w:tcBorders>
              <w:top w:val="nil"/>
              <w:left w:val="single" w:color="auto" w:sz="4" w:space="0"/>
              <w:bottom w:val="single" w:color="auto" w:sz="4" w:space="0"/>
              <w:right w:val="nil"/>
            </w:tcBorders>
            <w:shd w:val="clear" w:color="auto" w:fill="auto"/>
            <w:vAlign w:val="center"/>
          </w:tcPr>
          <w:p w14:paraId="149C458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18　</w:t>
            </w:r>
          </w:p>
        </w:tc>
        <w:tc>
          <w:tcPr>
            <w:tcW w:w="908" w:type="dxa"/>
            <w:tcBorders>
              <w:top w:val="nil"/>
              <w:left w:val="single" w:color="auto" w:sz="4" w:space="0"/>
              <w:bottom w:val="single" w:color="auto" w:sz="4" w:space="0"/>
              <w:right w:val="single" w:color="auto" w:sz="4" w:space="0"/>
            </w:tcBorders>
            <w:shd w:val="clear" w:color="auto" w:fill="auto"/>
            <w:vAlign w:val="center"/>
          </w:tcPr>
          <w:p w14:paraId="3ECAD54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否　</w:t>
            </w:r>
          </w:p>
        </w:tc>
      </w:tr>
      <w:tr w14:paraId="02B24B42">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3FEB792E">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0C30C96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资金执行率</w:t>
            </w:r>
          </w:p>
        </w:tc>
        <w:tc>
          <w:tcPr>
            <w:tcW w:w="472" w:type="dxa"/>
            <w:tcBorders>
              <w:top w:val="nil"/>
              <w:left w:val="single" w:color="auto" w:sz="4" w:space="0"/>
              <w:bottom w:val="single" w:color="auto" w:sz="4" w:space="0"/>
              <w:right w:val="nil"/>
            </w:tcBorders>
            <w:shd w:val="clear" w:color="auto" w:fill="auto"/>
            <w:vAlign w:val="center"/>
          </w:tcPr>
          <w:p w14:paraId="43A5BDE1">
            <w:pPr>
              <w:autoSpaceDN w:val="0"/>
              <w:jc w:val="center"/>
              <w:rPr>
                <w:rFonts w:ascii="方正仿宋_GBK" w:hAnsi="Calibri" w:eastAsia="方正仿宋_GBK"/>
                <w:color w:val="000000"/>
              </w:rPr>
            </w:pPr>
            <w:r>
              <w:rPr>
                <w:rFonts w:hint="eastAsia" w:ascii="方正仿宋_GBK" w:eastAsia="方正仿宋_GBK"/>
                <w:color w:val="000000"/>
              </w:rPr>
              <w:t>%　</w:t>
            </w:r>
          </w:p>
        </w:tc>
        <w:tc>
          <w:tcPr>
            <w:tcW w:w="623" w:type="dxa"/>
            <w:tcBorders>
              <w:top w:val="nil"/>
              <w:left w:val="single" w:color="auto" w:sz="4" w:space="0"/>
              <w:bottom w:val="single" w:color="auto" w:sz="4" w:space="0"/>
              <w:right w:val="nil"/>
            </w:tcBorders>
            <w:shd w:val="clear" w:color="auto" w:fill="auto"/>
            <w:vAlign w:val="center"/>
          </w:tcPr>
          <w:p w14:paraId="1D2F06EB">
            <w:pPr>
              <w:autoSpaceDN w:val="0"/>
              <w:jc w:val="center"/>
              <w:rPr>
                <w:rFonts w:ascii="方正仿宋_GBK" w:hAnsi="Calibri" w:eastAsia="方正仿宋_GBK"/>
                <w:color w:val="000000"/>
              </w:rPr>
            </w:pPr>
            <w:r>
              <w:rPr>
                <w:rFonts w:hint="eastAsia" w:ascii="方正仿宋_GBK" w:eastAsia="方正仿宋_GBK"/>
                <w:color w:val="000000"/>
              </w:rPr>
              <w:t>=　</w:t>
            </w:r>
          </w:p>
        </w:tc>
        <w:tc>
          <w:tcPr>
            <w:tcW w:w="616" w:type="dxa"/>
            <w:tcBorders>
              <w:top w:val="nil"/>
              <w:left w:val="single" w:color="auto" w:sz="4" w:space="0"/>
              <w:bottom w:val="single" w:color="auto" w:sz="4" w:space="0"/>
              <w:right w:val="nil"/>
            </w:tcBorders>
            <w:shd w:val="clear" w:color="auto" w:fill="auto"/>
            <w:vAlign w:val="center"/>
          </w:tcPr>
          <w:p w14:paraId="7D6FCAC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616" w:type="dxa"/>
            <w:tcBorders>
              <w:top w:val="nil"/>
              <w:left w:val="single" w:color="auto" w:sz="4" w:space="0"/>
              <w:bottom w:val="single" w:color="auto" w:sz="4" w:space="0"/>
              <w:right w:val="nil"/>
            </w:tcBorders>
            <w:shd w:val="clear" w:color="auto" w:fill="auto"/>
            <w:vAlign w:val="center"/>
          </w:tcPr>
          <w:p w14:paraId="1FDEF98A">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20EED46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784" w:type="dxa"/>
            <w:tcBorders>
              <w:top w:val="nil"/>
              <w:left w:val="single" w:color="auto" w:sz="4" w:space="0"/>
              <w:bottom w:val="single" w:color="auto" w:sz="4" w:space="0"/>
              <w:right w:val="nil"/>
            </w:tcBorders>
            <w:shd w:val="clear" w:color="auto" w:fill="auto"/>
            <w:vAlign w:val="center"/>
          </w:tcPr>
          <w:p w14:paraId="7BEDE79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832" w:type="dxa"/>
            <w:tcBorders>
              <w:top w:val="nil"/>
              <w:left w:val="single" w:color="auto" w:sz="4" w:space="0"/>
              <w:bottom w:val="single" w:color="auto" w:sz="4" w:space="0"/>
              <w:right w:val="nil"/>
            </w:tcBorders>
            <w:shd w:val="clear" w:color="auto" w:fill="auto"/>
            <w:vAlign w:val="center"/>
          </w:tcPr>
          <w:p w14:paraId="6BEE36B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c>
          <w:tcPr>
            <w:tcW w:w="832" w:type="dxa"/>
            <w:tcBorders>
              <w:top w:val="nil"/>
              <w:left w:val="single" w:color="auto" w:sz="4" w:space="0"/>
              <w:bottom w:val="single" w:color="auto" w:sz="4" w:space="0"/>
              <w:right w:val="nil"/>
            </w:tcBorders>
            <w:shd w:val="clear" w:color="auto" w:fill="auto"/>
            <w:vAlign w:val="center"/>
          </w:tcPr>
          <w:p w14:paraId="12B0B66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c>
          <w:tcPr>
            <w:tcW w:w="908" w:type="dxa"/>
            <w:tcBorders>
              <w:top w:val="nil"/>
              <w:left w:val="single" w:color="auto" w:sz="4" w:space="0"/>
              <w:bottom w:val="single" w:color="auto" w:sz="4" w:space="0"/>
              <w:right w:val="single" w:color="auto" w:sz="4" w:space="0"/>
            </w:tcBorders>
            <w:shd w:val="clear" w:color="auto" w:fill="auto"/>
            <w:vAlign w:val="center"/>
          </w:tcPr>
          <w:p w14:paraId="4FA77C5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否　</w:t>
            </w:r>
          </w:p>
        </w:tc>
      </w:tr>
      <w:tr w14:paraId="09064B37">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6250AD4A">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41E20E6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472" w:type="dxa"/>
            <w:tcBorders>
              <w:top w:val="nil"/>
              <w:left w:val="single" w:color="auto" w:sz="4" w:space="0"/>
              <w:bottom w:val="single" w:color="auto" w:sz="4" w:space="0"/>
              <w:right w:val="nil"/>
            </w:tcBorders>
            <w:shd w:val="clear" w:color="auto" w:fill="auto"/>
            <w:vAlign w:val="center"/>
          </w:tcPr>
          <w:p w14:paraId="24B8F2E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623" w:type="dxa"/>
            <w:tcBorders>
              <w:top w:val="nil"/>
              <w:left w:val="single" w:color="auto" w:sz="4" w:space="0"/>
              <w:bottom w:val="single" w:color="auto" w:sz="4" w:space="0"/>
              <w:right w:val="nil"/>
            </w:tcBorders>
            <w:shd w:val="clear" w:color="auto" w:fill="auto"/>
            <w:vAlign w:val="center"/>
          </w:tcPr>
          <w:p w14:paraId="1A35C9A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616" w:type="dxa"/>
            <w:tcBorders>
              <w:top w:val="nil"/>
              <w:left w:val="single" w:color="auto" w:sz="4" w:space="0"/>
              <w:bottom w:val="single" w:color="auto" w:sz="4" w:space="0"/>
              <w:right w:val="nil"/>
            </w:tcBorders>
            <w:shd w:val="clear" w:color="auto" w:fill="auto"/>
            <w:vAlign w:val="center"/>
          </w:tcPr>
          <w:p w14:paraId="361205B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616" w:type="dxa"/>
            <w:tcBorders>
              <w:top w:val="nil"/>
              <w:left w:val="single" w:color="auto" w:sz="4" w:space="0"/>
              <w:bottom w:val="single" w:color="auto" w:sz="4" w:space="0"/>
              <w:right w:val="nil"/>
            </w:tcBorders>
            <w:shd w:val="clear" w:color="auto" w:fill="auto"/>
            <w:vAlign w:val="center"/>
          </w:tcPr>
          <w:p w14:paraId="5EA4273A">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3D2270C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784" w:type="dxa"/>
            <w:tcBorders>
              <w:top w:val="nil"/>
              <w:left w:val="single" w:color="auto" w:sz="4" w:space="0"/>
              <w:bottom w:val="single" w:color="auto" w:sz="4" w:space="0"/>
              <w:right w:val="nil"/>
            </w:tcBorders>
            <w:shd w:val="clear" w:color="auto" w:fill="auto"/>
            <w:vAlign w:val="center"/>
          </w:tcPr>
          <w:p w14:paraId="4A9A8B5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3C410BB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017CE1F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908" w:type="dxa"/>
            <w:tcBorders>
              <w:top w:val="nil"/>
              <w:left w:val="single" w:color="auto" w:sz="4" w:space="0"/>
              <w:bottom w:val="single" w:color="auto" w:sz="4" w:space="0"/>
              <w:right w:val="single" w:color="auto" w:sz="4" w:space="0"/>
            </w:tcBorders>
            <w:shd w:val="clear" w:color="auto" w:fill="auto"/>
            <w:vAlign w:val="center"/>
          </w:tcPr>
          <w:p w14:paraId="2E375BA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r>
      <w:tr w14:paraId="208DC265">
        <w:tblPrEx>
          <w:tblCellMar>
            <w:top w:w="0" w:type="dxa"/>
            <w:left w:w="108" w:type="dxa"/>
            <w:bottom w:w="0" w:type="dxa"/>
            <w:right w:w="108" w:type="dxa"/>
          </w:tblCellMar>
        </w:tblPrEx>
        <w:trPr>
          <w:trHeight w:val="755" w:hRule="atLeast"/>
        </w:trPr>
        <w:tc>
          <w:tcPr>
            <w:tcW w:w="1030" w:type="dxa"/>
            <w:tcBorders>
              <w:top w:val="nil"/>
              <w:left w:val="single" w:color="auto" w:sz="4" w:space="0"/>
              <w:bottom w:val="single" w:color="auto" w:sz="4" w:space="0"/>
              <w:right w:val="single" w:color="auto" w:sz="4" w:space="0"/>
            </w:tcBorders>
            <w:shd w:val="clear" w:color="auto" w:fill="auto"/>
            <w:vAlign w:val="center"/>
          </w:tcPr>
          <w:p w14:paraId="6C545C3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说明</w:t>
            </w:r>
          </w:p>
        </w:tc>
        <w:tc>
          <w:tcPr>
            <w:tcW w:w="7470" w:type="dxa"/>
            <w:gridSpan w:val="10"/>
            <w:tcBorders>
              <w:top w:val="single" w:color="auto" w:sz="4" w:space="0"/>
              <w:left w:val="nil"/>
              <w:bottom w:val="single" w:color="auto" w:sz="4" w:space="0"/>
              <w:right w:val="single" w:color="auto" w:sz="4" w:space="0"/>
            </w:tcBorders>
            <w:shd w:val="clear" w:color="auto" w:fill="auto"/>
            <w:vAlign w:val="center"/>
          </w:tcPr>
          <w:p w14:paraId="4DF5D496">
            <w:pPr>
              <w:autoSpaceDN w:val="0"/>
              <w:rPr>
                <w:rFonts w:ascii="方正仿宋_GBK" w:hAnsi="Calibri" w:eastAsia="方正仿宋_GBK"/>
                <w:color w:val="000000"/>
                <w:sz w:val="18"/>
                <w:szCs w:val="18"/>
              </w:rPr>
            </w:pPr>
            <w:r>
              <w:rPr>
                <w:rFonts w:hint="eastAsia" w:ascii="方正仿宋_GBK" w:eastAsia="方正仿宋_GBK"/>
                <w:color w:val="000000"/>
                <w:sz w:val="18"/>
                <w:szCs w:val="18"/>
              </w:rPr>
              <w:t>　</w:t>
            </w:r>
          </w:p>
        </w:tc>
      </w:tr>
      <w:tr w14:paraId="7436913E">
        <w:tblPrEx>
          <w:tblCellMar>
            <w:top w:w="0" w:type="dxa"/>
            <w:left w:w="108" w:type="dxa"/>
            <w:bottom w:w="0" w:type="dxa"/>
            <w:right w:w="108" w:type="dxa"/>
          </w:tblCellMar>
        </w:tblPrEx>
        <w:trPr>
          <w:trHeight w:val="601" w:hRule="atLeast"/>
        </w:trPr>
        <w:tc>
          <w:tcPr>
            <w:tcW w:w="8500" w:type="dxa"/>
            <w:gridSpan w:val="11"/>
            <w:tcBorders>
              <w:top w:val="nil"/>
              <w:left w:val="nil"/>
              <w:bottom w:val="nil"/>
              <w:right w:val="nil"/>
            </w:tcBorders>
            <w:shd w:val="clear" w:color="auto" w:fill="auto"/>
            <w:vAlign w:val="center"/>
          </w:tcPr>
          <w:p w14:paraId="3D8CB155">
            <w:pPr>
              <w:autoSpaceDN w:val="0"/>
              <w:rPr>
                <w:rFonts w:ascii="方正小标宋_GBK" w:hAnsi="Calibri" w:eastAsia="方正小标宋_GBK"/>
                <w:color w:val="000000"/>
                <w:sz w:val="36"/>
                <w:szCs w:val="36"/>
              </w:rPr>
            </w:pPr>
          </w:p>
          <w:p w14:paraId="7CBBB1F2">
            <w:pPr>
              <w:autoSpaceDN w:val="0"/>
              <w:rPr>
                <w:rFonts w:ascii="方正小标宋_GBK" w:hAnsi="Calibri" w:eastAsia="方正小标宋_GBK"/>
                <w:color w:val="000000"/>
                <w:sz w:val="36"/>
                <w:szCs w:val="36"/>
              </w:rPr>
            </w:pPr>
          </w:p>
          <w:p w14:paraId="67B513DF">
            <w:pPr>
              <w:autoSpaceDN w:val="0"/>
              <w:rPr>
                <w:rFonts w:ascii="方正小标宋_GBK" w:hAnsi="Calibri" w:eastAsia="方正小标宋_GBK"/>
                <w:color w:val="000000"/>
                <w:sz w:val="36"/>
                <w:szCs w:val="36"/>
              </w:rPr>
            </w:pPr>
          </w:p>
          <w:p w14:paraId="26140D0F">
            <w:pPr>
              <w:autoSpaceDN w:val="0"/>
              <w:rPr>
                <w:rFonts w:ascii="方正小标宋_GBK" w:hAnsi="Calibri" w:eastAsia="方正小标宋_GBK"/>
                <w:color w:val="000000"/>
                <w:sz w:val="36"/>
                <w:szCs w:val="36"/>
              </w:rPr>
            </w:pPr>
          </w:p>
          <w:p w14:paraId="7104120E">
            <w:pPr>
              <w:autoSpaceDN w:val="0"/>
              <w:rPr>
                <w:rFonts w:ascii="方正小标宋_GBK" w:hAnsi="Calibri" w:eastAsia="方正小标宋_GBK"/>
                <w:color w:val="000000"/>
                <w:sz w:val="36"/>
                <w:szCs w:val="36"/>
              </w:rPr>
            </w:pPr>
          </w:p>
          <w:p w14:paraId="001EFBFF">
            <w:pPr>
              <w:autoSpaceDN w:val="0"/>
              <w:rPr>
                <w:rFonts w:ascii="方正小标宋_GBK" w:hAnsi="Calibri" w:eastAsia="方正小标宋_GBK"/>
                <w:color w:val="000000"/>
                <w:sz w:val="36"/>
                <w:szCs w:val="36"/>
              </w:rPr>
            </w:pPr>
          </w:p>
          <w:p w14:paraId="2BF6937B">
            <w:pPr>
              <w:autoSpaceDN w:val="0"/>
              <w:rPr>
                <w:rFonts w:ascii="方正小标宋_GBK" w:hAnsi="Calibri" w:eastAsia="方正小标宋_GBK"/>
                <w:color w:val="000000"/>
                <w:sz w:val="36"/>
                <w:szCs w:val="36"/>
              </w:rPr>
            </w:pPr>
          </w:p>
          <w:p w14:paraId="016CC2C1">
            <w:pPr>
              <w:autoSpaceDN w:val="0"/>
              <w:jc w:val="center"/>
              <w:rPr>
                <w:rFonts w:ascii="方正小标宋_GBK" w:hAnsi="Calibri" w:eastAsia="方正小标宋_GBK"/>
                <w:color w:val="000000"/>
                <w:sz w:val="36"/>
                <w:szCs w:val="36"/>
              </w:rPr>
            </w:pPr>
            <w:r>
              <w:rPr>
                <w:rFonts w:hint="eastAsia" w:ascii="方正小标宋_GBK" w:eastAsia="方正小标宋_GBK"/>
                <w:color w:val="000000"/>
                <w:sz w:val="36"/>
                <w:szCs w:val="36"/>
              </w:rPr>
              <w:t>二级项目绩效自评表样</w:t>
            </w:r>
          </w:p>
        </w:tc>
      </w:tr>
      <w:tr w14:paraId="431A95A8">
        <w:tblPrEx>
          <w:tblCellMar>
            <w:top w:w="0" w:type="dxa"/>
            <w:left w:w="108" w:type="dxa"/>
            <w:bottom w:w="0" w:type="dxa"/>
            <w:right w:w="108" w:type="dxa"/>
          </w:tblCellMar>
        </w:tblPrEx>
        <w:trPr>
          <w:trHeight w:val="601" w:hRule="atLeast"/>
        </w:trPr>
        <w:tc>
          <w:tcPr>
            <w:tcW w:w="1030" w:type="dxa"/>
            <w:tcBorders>
              <w:top w:val="single" w:color="auto" w:sz="4" w:space="0"/>
              <w:left w:val="single" w:color="auto" w:sz="4" w:space="0"/>
              <w:bottom w:val="single" w:color="auto" w:sz="4" w:space="0"/>
              <w:right w:val="single" w:color="auto" w:sz="4" w:space="0"/>
            </w:tcBorders>
            <w:shd w:val="clear" w:color="auto" w:fill="auto"/>
            <w:vAlign w:val="center"/>
          </w:tcPr>
          <w:p w14:paraId="3B48A01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项目名称</w:t>
            </w:r>
          </w:p>
        </w:tc>
        <w:tc>
          <w:tcPr>
            <w:tcW w:w="1427" w:type="dxa"/>
            <w:gridSpan w:val="2"/>
            <w:tcBorders>
              <w:top w:val="single" w:color="auto" w:sz="4" w:space="0"/>
              <w:left w:val="nil"/>
              <w:bottom w:val="single" w:color="auto" w:sz="4" w:space="0"/>
              <w:right w:val="single" w:color="000000" w:sz="4" w:space="0"/>
            </w:tcBorders>
            <w:shd w:val="clear" w:color="auto" w:fill="auto"/>
            <w:vAlign w:val="center"/>
          </w:tcPr>
          <w:p w14:paraId="79EC6DFF">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五院房屋租金</w:t>
            </w:r>
          </w:p>
        </w:tc>
        <w:tc>
          <w:tcPr>
            <w:tcW w:w="623" w:type="dxa"/>
            <w:tcBorders>
              <w:top w:val="single" w:color="auto" w:sz="4" w:space="0"/>
              <w:left w:val="nil"/>
              <w:bottom w:val="single" w:color="auto" w:sz="4" w:space="0"/>
              <w:right w:val="single" w:color="auto" w:sz="4" w:space="0"/>
            </w:tcBorders>
            <w:shd w:val="clear" w:color="auto" w:fill="auto"/>
            <w:vAlign w:val="center"/>
          </w:tcPr>
          <w:p w14:paraId="46AE54E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项目编码</w:t>
            </w:r>
          </w:p>
        </w:tc>
        <w:tc>
          <w:tcPr>
            <w:tcW w:w="1232" w:type="dxa"/>
            <w:gridSpan w:val="2"/>
            <w:tcBorders>
              <w:top w:val="single" w:color="auto" w:sz="4" w:space="0"/>
              <w:left w:val="nil"/>
              <w:bottom w:val="single" w:color="auto" w:sz="4" w:space="0"/>
              <w:right w:val="single" w:color="000000" w:sz="4" w:space="0"/>
            </w:tcBorders>
            <w:shd w:val="clear" w:color="auto" w:fill="auto"/>
            <w:vAlign w:val="center"/>
          </w:tcPr>
          <w:p w14:paraId="2AAC4A0C">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2020A1047　</w:t>
            </w:r>
          </w:p>
        </w:tc>
        <w:tc>
          <w:tcPr>
            <w:tcW w:w="832" w:type="dxa"/>
            <w:tcBorders>
              <w:top w:val="single" w:color="auto" w:sz="4" w:space="0"/>
              <w:left w:val="nil"/>
              <w:bottom w:val="single" w:color="auto" w:sz="4" w:space="0"/>
              <w:right w:val="single" w:color="auto" w:sz="4" w:space="0"/>
            </w:tcBorders>
            <w:shd w:val="clear" w:color="auto" w:fill="auto"/>
            <w:vAlign w:val="center"/>
          </w:tcPr>
          <w:p w14:paraId="1DB06E8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自评总分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3356" w:type="dxa"/>
            <w:gridSpan w:val="4"/>
            <w:tcBorders>
              <w:top w:val="single" w:color="auto" w:sz="4" w:space="0"/>
              <w:left w:val="nil"/>
              <w:bottom w:val="single" w:color="auto" w:sz="4" w:space="0"/>
              <w:right w:val="single" w:color="000000" w:sz="4" w:space="0"/>
            </w:tcBorders>
            <w:shd w:val="clear" w:color="auto" w:fill="auto"/>
            <w:vAlign w:val="center"/>
          </w:tcPr>
          <w:p w14:paraId="7EE9829A">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r>
      <w:tr w14:paraId="738E3CD1">
        <w:tblPrEx>
          <w:tblCellMar>
            <w:top w:w="0" w:type="dxa"/>
            <w:left w:w="108" w:type="dxa"/>
            <w:bottom w:w="0" w:type="dxa"/>
            <w:right w:w="108" w:type="dxa"/>
          </w:tblCellMar>
        </w:tblPrEx>
        <w:trPr>
          <w:trHeight w:val="601" w:hRule="atLeast"/>
        </w:trPr>
        <w:tc>
          <w:tcPr>
            <w:tcW w:w="1030" w:type="dxa"/>
            <w:tcBorders>
              <w:top w:val="nil"/>
              <w:left w:val="single" w:color="auto" w:sz="4" w:space="0"/>
              <w:bottom w:val="single" w:color="auto" w:sz="4" w:space="0"/>
              <w:right w:val="single" w:color="auto" w:sz="4" w:space="0"/>
            </w:tcBorders>
            <w:shd w:val="clear" w:color="auto" w:fill="auto"/>
            <w:vAlign w:val="center"/>
          </w:tcPr>
          <w:p w14:paraId="41FDD76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主管部门</w:t>
            </w:r>
          </w:p>
        </w:tc>
        <w:tc>
          <w:tcPr>
            <w:tcW w:w="1427" w:type="dxa"/>
            <w:gridSpan w:val="2"/>
            <w:tcBorders>
              <w:top w:val="single" w:color="auto" w:sz="4" w:space="0"/>
              <w:left w:val="nil"/>
              <w:bottom w:val="single" w:color="auto" w:sz="4" w:space="0"/>
              <w:right w:val="single" w:color="000000" w:sz="4" w:space="0"/>
            </w:tcBorders>
            <w:shd w:val="clear" w:color="auto" w:fill="auto"/>
            <w:vAlign w:val="center"/>
          </w:tcPr>
          <w:p w14:paraId="64A0075F">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南岸区卫生健康委员会</w:t>
            </w:r>
          </w:p>
        </w:tc>
        <w:tc>
          <w:tcPr>
            <w:tcW w:w="623" w:type="dxa"/>
            <w:tcBorders>
              <w:top w:val="nil"/>
              <w:left w:val="nil"/>
              <w:bottom w:val="single" w:color="auto" w:sz="4" w:space="0"/>
              <w:right w:val="single" w:color="auto" w:sz="4" w:space="0"/>
            </w:tcBorders>
            <w:shd w:val="clear" w:color="auto" w:fill="auto"/>
            <w:vAlign w:val="center"/>
          </w:tcPr>
          <w:p w14:paraId="503DB29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财政处室</w:t>
            </w:r>
          </w:p>
        </w:tc>
        <w:tc>
          <w:tcPr>
            <w:tcW w:w="1232" w:type="dxa"/>
            <w:gridSpan w:val="2"/>
            <w:tcBorders>
              <w:top w:val="single" w:color="auto" w:sz="4" w:space="0"/>
              <w:left w:val="nil"/>
              <w:bottom w:val="single" w:color="auto" w:sz="4" w:space="0"/>
              <w:right w:val="single" w:color="000000" w:sz="4" w:space="0"/>
            </w:tcBorders>
            <w:shd w:val="clear" w:color="auto" w:fill="auto"/>
            <w:vAlign w:val="center"/>
          </w:tcPr>
          <w:p w14:paraId="4AD78032">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社保科　</w:t>
            </w:r>
          </w:p>
        </w:tc>
        <w:tc>
          <w:tcPr>
            <w:tcW w:w="832" w:type="dxa"/>
            <w:tcBorders>
              <w:top w:val="nil"/>
              <w:left w:val="nil"/>
              <w:bottom w:val="single" w:color="auto" w:sz="4" w:space="0"/>
              <w:right w:val="single" w:color="auto" w:sz="4" w:space="0"/>
            </w:tcBorders>
            <w:shd w:val="clear" w:color="auto" w:fill="auto"/>
            <w:vAlign w:val="center"/>
          </w:tcPr>
          <w:p w14:paraId="518B2D3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联系人</w:t>
            </w:r>
          </w:p>
        </w:tc>
        <w:tc>
          <w:tcPr>
            <w:tcW w:w="784" w:type="dxa"/>
            <w:tcBorders>
              <w:top w:val="nil"/>
              <w:left w:val="nil"/>
              <w:bottom w:val="single" w:color="auto" w:sz="4" w:space="0"/>
              <w:right w:val="single" w:color="auto" w:sz="4" w:space="0"/>
            </w:tcBorders>
            <w:shd w:val="clear" w:color="auto" w:fill="auto"/>
            <w:vAlign w:val="center"/>
          </w:tcPr>
          <w:p w14:paraId="0AEC8CA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张雪平　</w:t>
            </w:r>
          </w:p>
        </w:tc>
        <w:tc>
          <w:tcPr>
            <w:tcW w:w="832" w:type="dxa"/>
            <w:tcBorders>
              <w:top w:val="nil"/>
              <w:left w:val="nil"/>
              <w:bottom w:val="single" w:color="auto" w:sz="4" w:space="0"/>
              <w:right w:val="single" w:color="auto" w:sz="4" w:space="0"/>
            </w:tcBorders>
            <w:shd w:val="clear" w:color="auto" w:fill="auto"/>
            <w:vAlign w:val="center"/>
          </w:tcPr>
          <w:p w14:paraId="123AB8E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联系电话</w:t>
            </w:r>
          </w:p>
        </w:tc>
        <w:tc>
          <w:tcPr>
            <w:tcW w:w="1740" w:type="dxa"/>
            <w:gridSpan w:val="2"/>
            <w:tcBorders>
              <w:top w:val="single" w:color="auto" w:sz="4" w:space="0"/>
              <w:left w:val="nil"/>
              <w:bottom w:val="single" w:color="auto" w:sz="4" w:space="0"/>
              <w:right w:val="single" w:color="000000" w:sz="4" w:space="0"/>
            </w:tcBorders>
            <w:shd w:val="clear" w:color="auto" w:fill="auto"/>
            <w:vAlign w:val="center"/>
          </w:tcPr>
          <w:p w14:paraId="55CA8D8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023-62896001　</w:t>
            </w:r>
          </w:p>
        </w:tc>
      </w:tr>
      <w:tr w14:paraId="4A95F810">
        <w:tblPrEx>
          <w:tblCellMar>
            <w:top w:w="0" w:type="dxa"/>
            <w:left w:w="108" w:type="dxa"/>
            <w:bottom w:w="0" w:type="dxa"/>
            <w:right w:w="108" w:type="dxa"/>
          </w:tblCellMar>
        </w:tblPrEx>
        <w:trPr>
          <w:cantSplit/>
          <w:trHeight w:val="601" w:hRule="atLeast"/>
        </w:trPr>
        <w:tc>
          <w:tcPr>
            <w:tcW w:w="1030" w:type="dxa"/>
            <w:vMerge w:val="restart"/>
            <w:tcBorders>
              <w:top w:val="nil"/>
              <w:left w:val="single" w:color="auto" w:sz="4" w:space="0"/>
              <w:bottom w:val="single" w:color="auto" w:sz="4" w:space="0"/>
              <w:right w:val="single" w:color="auto" w:sz="4" w:space="0"/>
            </w:tcBorders>
            <w:shd w:val="clear" w:color="auto" w:fill="auto"/>
            <w:vAlign w:val="center"/>
          </w:tcPr>
          <w:p w14:paraId="1A89A11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项目资金（万元）</w:t>
            </w:r>
          </w:p>
        </w:tc>
        <w:tc>
          <w:tcPr>
            <w:tcW w:w="955" w:type="dxa"/>
            <w:tcBorders>
              <w:top w:val="nil"/>
              <w:left w:val="nil"/>
              <w:bottom w:val="single" w:color="auto" w:sz="4" w:space="0"/>
              <w:right w:val="nil"/>
            </w:tcBorders>
            <w:shd w:val="clear" w:color="auto" w:fill="auto"/>
            <w:vAlign w:val="center"/>
          </w:tcPr>
          <w:p w14:paraId="31BE00C9">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109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FF4A2F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年初预算数</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4EC57FF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全年（调整）预算数</w:t>
            </w: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546D3C76">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全年执行数</w:t>
            </w:r>
          </w:p>
        </w:tc>
        <w:tc>
          <w:tcPr>
            <w:tcW w:w="832" w:type="dxa"/>
            <w:tcBorders>
              <w:top w:val="nil"/>
              <w:left w:val="nil"/>
              <w:bottom w:val="single" w:color="auto" w:sz="4" w:space="0"/>
              <w:right w:val="single" w:color="auto" w:sz="4" w:space="0"/>
            </w:tcBorders>
            <w:shd w:val="clear" w:color="auto" w:fill="auto"/>
            <w:vAlign w:val="center"/>
          </w:tcPr>
          <w:p w14:paraId="366E4DC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832" w:type="dxa"/>
            <w:tcBorders>
              <w:top w:val="nil"/>
              <w:left w:val="nil"/>
              <w:bottom w:val="single" w:color="auto" w:sz="4" w:space="0"/>
              <w:right w:val="single" w:color="auto" w:sz="4" w:space="0"/>
            </w:tcBorders>
            <w:shd w:val="clear" w:color="auto" w:fill="auto"/>
            <w:vAlign w:val="center"/>
          </w:tcPr>
          <w:p w14:paraId="0144927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权重</w:t>
            </w:r>
          </w:p>
        </w:tc>
        <w:tc>
          <w:tcPr>
            <w:tcW w:w="908" w:type="dxa"/>
            <w:tcBorders>
              <w:top w:val="nil"/>
              <w:left w:val="nil"/>
              <w:bottom w:val="single" w:color="auto" w:sz="4" w:space="0"/>
              <w:right w:val="single" w:color="auto" w:sz="4" w:space="0"/>
            </w:tcBorders>
            <w:shd w:val="clear" w:color="auto" w:fill="auto"/>
            <w:vAlign w:val="center"/>
          </w:tcPr>
          <w:p w14:paraId="0BC9C44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r>
      <w:tr w14:paraId="4E00BCB6">
        <w:tblPrEx>
          <w:tblCellMar>
            <w:top w:w="0" w:type="dxa"/>
            <w:left w:w="108" w:type="dxa"/>
            <w:bottom w:w="0" w:type="dxa"/>
            <w:right w:w="108" w:type="dxa"/>
          </w:tblCellMar>
        </w:tblPrEx>
        <w:trPr>
          <w:cantSplit/>
          <w:trHeight w:val="601" w:hRule="atLeast"/>
        </w:trPr>
        <w:tc>
          <w:tcPr>
            <w:tcW w:w="1030" w:type="dxa"/>
            <w:vMerge w:val="continue"/>
            <w:tcBorders>
              <w:top w:val="nil"/>
              <w:left w:val="single" w:color="auto" w:sz="4" w:space="0"/>
              <w:bottom w:val="single" w:color="auto" w:sz="4" w:space="0"/>
              <w:right w:val="single" w:color="auto" w:sz="4" w:space="0"/>
            </w:tcBorders>
            <w:vAlign w:val="center"/>
          </w:tcPr>
          <w:p w14:paraId="5C802ABC">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054995D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年度总金额</w:t>
            </w:r>
          </w:p>
        </w:tc>
        <w:tc>
          <w:tcPr>
            <w:tcW w:w="109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6D157B1C">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280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29499126">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280</w:t>
            </w: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29D0E101">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280</w:t>
            </w:r>
          </w:p>
        </w:tc>
        <w:tc>
          <w:tcPr>
            <w:tcW w:w="832" w:type="dxa"/>
            <w:tcBorders>
              <w:top w:val="nil"/>
              <w:left w:val="nil"/>
              <w:bottom w:val="single" w:color="auto" w:sz="4" w:space="0"/>
              <w:right w:val="single" w:color="auto" w:sz="4" w:space="0"/>
            </w:tcBorders>
            <w:shd w:val="clear" w:color="auto" w:fill="auto"/>
            <w:vAlign w:val="center"/>
          </w:tcPr>
          <w:p w14:paraId="601E5E26">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nil"/>
              <w:bottom w:val="single" w:color="auto" w:sz="4" w:space="0"/>
              <w:right w:val="single" w:color="auto" w:sz="4" w:space="0"/>
            </w:tcBorders>
            <w:shd w:val="clear" w:color="auto" w:fill="auto"/>
            <w:vAlign w:val="center"/>
          </w:tcPr>
          <w:p w14:paraId="65E0D4F5">
            <w:pPr>
              <w:autoSpaceDN w:val="0"/>
              <w:jc w:val="center"/>
              <w:rPr>
                <w:rFonts w:ascii="方正仿宋_GBK" w:hAnsi="Calibri" w:eastAsia="方正仿宋_GBK"/>
                <w:sz w:val="18"/>
                <w:szCs w:val="18"/>
              </w:rPr>
            </w:pPr>
            <w:r>
              <w:rPr>
                <w:rFonts w:hint="eastAsia" w:ascii="方正仿宋_GBK" w:hAnsi="Calibri" w:eastAsia="方正仿宋_GBK"/>
                <w:sz w:val="18"/>
                <w:szCs w:val="18"/>
              </w:rPr>
              <w:t>10</w:t>
            </w:r>
          </w:p>
        </w:tc>
        <w:tc>
          <w:tcPr>
            <w:tcW w:w="908" w:type="dxa"/>
            <w:tcBorders>
              <w:top w:val="nil"/>
              <w:left w:val="nil"/>
              <w:bottom w:val="single" w:color="auto" w:sz="4" w:space="0"/>
              <w:right w:val="single" w:color="auto" w:sz="4" w:space="0"/>
            </w:tcBorders>
            <w:shd w:val="clear" w:color="auto" w:fill="auto"/>
            <w:vAlign w:val="center"/>
          </w:tcPr>
          <w:p w14:paraId="05664B81">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w:t>
            </w:r>
          </w:p>
        </w:tc>
      </w:tr>
      <w:tr w14:paraId="2A29D0D8">
        <w:tblPrEx>
          <w:tblCellMar>
            <w:top w:w="0" w:type="dxa"/>
            <w:left w:w="108" w:type="dxa"/>
            <w:bottom w:w="0" w:type="dxa"/>
            <w:right w:w="108" w:type="dxa"/>
          </w:tblCellMar>
        </w:tblPrEx>
        <w:trPr>
          <w:cantSplit/>
          <w:trHeight w:val="601" w:hRule="atLeast"/>
        </w:trPr>
        <w:tc>
          <w:tcPr>
            <w:tcW w:w="1030" w:type="dxa"/>
            <w:vMerge w:val="continue"/>
            <w:tcBorders>
              <w:top w:val="nil"/>
              <w:left w:val="single" w:color="auto" w:sz="4" w:space="0"/>
              <w:bottom w:val="single" w:color="auto" w:sz="4" w:space="0"/>
              <w:right w:val="single" w:color="auto" w:sz="4" w:space="0"/>
            </w:tcBorders>
            <w:vAlign w:val="center"/>
          </w:tcPr>
          <w:p w14:paraId="4BA038F1">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242FE552">
            <w:pPr>
              <w:wordWrap w:val="0"/>
              <w:autoSpaceDN w:val="0"/>
              <w:jc w:val="right"/>
              <w:rPr>
                <w:rFonts w:ascii="方正仿宋_GBK" w:hAnsi="Calibri" w:eastAsia="方正仿宋_GBK"/>
                <w:color w:val="000000"/>
                <w:sz w:val="18"/>
                <w:szCs w:val="18"/>
              </w:rPr>
            </w:pPr>
            <w:r>
              <w:rPr>
                <w:rFonts w:hint="eastAsia" w:ascii="方正仿宋_GBK" w:eastAsia="方正仿宋_GBK"/>
                <w:color w:val="000000"/>
                <w:sz w:val="18"/>
                <w:szCs w:val="18"/>
              </w:rPr>
              <w:t>其中：区级支出</w:t>
            </w:r>
          </w:p>
        </w:tc>
        <w:tc>
          <w:tcPr>
            <w:tcW w:w="109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5569DBD">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280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26C76F84">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280</w:t>
            </w: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72C0946F">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280</w:t>
            </w:r>
          </w:p>
        </w:tc>
        <w:tc>
          <w:tcPr>
            <w:tcW w:w="832" w:type="dxa"/>
            <w:tcBorders>
              <w:top w:val="nil"/>
              <w:left w:val="nil"/>
              <w:bottom w:val="single" w:color="auto" w:sz="4" w:space="0"/>
              <w:right w:val="single" w:color="auto" w:sz="4" w:space="0"/>
            </w:tcBorders>
            <w:shd w:val="clear" w:color="auto" w:fill="auto"/>
            <w:vAlign w:val="center"/>
          </w:tcPr>
          <w:p w14:paraId="7CA58969">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nil"/>
              <w:bottom w:val="single" w:color="auto" w:sz="4" w:space="0"/>
              <w:right w:val="single" w:color="auto" w:sz="4" w:space="0"/>
            </w:tcBorders>
            <w:shd w:val="clear" w:color="auto" w:fill="auto"/>
            <w:vAlign w:val="center"/>
          </w:tcPr>
          <w:p w14:paraId="16815095">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w:t>
            </w:r>
          </w:p>
        </w:tc>
        <w:tc>
          <w:tcPr>
            <w:tcW w:w="908" w:type="dxa"/>
            <w:tcBorders>
              <w:top w:val="nil"/>
              <w:left w:val="nil"/>
              <w:bottom w:val="single" w:color="auto" w:sz="4" w:space="0"/>
              <w:right w:val="single" w:color="auto" w:sz="4" w:space="0"/>
            </w:tcBorders>
            <w:shd w:val="clear" w:color="auto" w:fill="auto"/>
            <w:vAlign w:val="center"/>
          </w:tcPr>
          <w:p w14:paraId="4DBAC103">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w:t>
            </w:r>
          </w:p>
        </w:tc>
      </w:tr>
      <w:tr w14:paraId="65E069A6">
        <w:tblPrEx>
          <w:tblCellMar>
            <w:top w:w="0" w:type="dxa"/>
            <w:left w:w="108" w:type="dxa"/>
            <w:bottom w:w="0" w:type="dxa"/>
            <w:right w:w="108" w:type="dxa"/>
          </w:tblCellMar>
        </w:tblPrEx>
        <w:trPr>
          <w:cantSplit/>
          <w:trHeight w:val="601" w:hRule="atLeast"/>
        </w:trPr>
        <w:tc>
          <w:tcPr>
            <w:tcW w:w="1030" w:type="dxa"/>
            <w:vMerge w:val="restart"/>
            <w:tcBorders>
              <w:top w:val="nil"/>
              <w:left w:val="single" w:color="auto" w:sz="4" w:space="0"/>
              <w:bottom w:val="single" w:color="auto" w:sz="4" w:space="0"/>
              <w:right w:val="single" w:color="auto" w:sz="4" w:space="0"/>
            </w:tcBorders>
            <w:shd w:val="clear" w:color="auto" w:fill="auto"/>
            <w:vAlign w:val="center"/>
          </w:tcPr>
          <w:p w14:paraId="709CAE8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当年绩效目标</w:t>
            </w:r>
          </w:p>
        </w:tc>
        <w:tc>
          <w:tcPr>
            <w:tcW w:w="2050" w:type="dxa"/>
            <w:gridSpan w:val="3"/>
            <w:tcBorders>
              <w:top w:val="single" w:color="auto" w:sz="4" w:space="0"/>
              <w:left w:val="nil"/>
              <w:bottom w:val="single" w:color="auto" w:sz="4" w:space="0"/>
              <w:right w:val="single" w:color="000000" w:sz="4" w:space="0"/>
            </w:tcBorders>
            <w:shd w:val="clear" w:color="auto" w:fill="auto"/>
            <w:vAlign w:val="center"/>
          </w:tcPr>
          <w:p w14:paraId="58251B4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年初绩效目标</w:t>
            </w:r>
          </w:p>
        </w:tc>
        <w:tc>
          <w:tcPr>
            <w:tcW w:w="2848" w:type="dxa"/>
            <w:gridSpan w:val="4"/>
            <w:tcBorders>
              <w:top w:val="single" w:color="auto" w:sz="4" w:space="0"/>
              <w:left w:val="nil"/>
              <w:bottom w:val="single" w:color="auto" w:sz="4" w:space="0"/>
              <w:right w:val="single" w:color="000000" w:sz="4" w:space="0"/>
            </w:tcBorders>
            <w:shd w:val="clear" w:color="auto" w:fill="auto"/>
            <w:vAlign w:val="center"/>
          </w:tcPr>
          <w:p w14:paraId="22C9BB4A">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全年（调整）绩效目标</w:t>
            </w:r>
          </w:p>
        </w:tc>
        <w:tc>
          <w:tcPr>
            <w:tcW w:w="2572" w:type="dxa"/>
            <w:gridSpan w:val="3"/>
            <w:tcBorders>
              <w:top w:val="single" w:color="auto" w:sz="4" w:space="0"/>
              <w:left w:val="nil"/>
              <w:bottom w:val="single" w:color="auto" w:sz="4" w:space="0"/>
              <w:right w:val="single" w:color="000000" w:sz="4" w:space="0"/>
            </w:tcBorders>
            <w:shd w:val="clear" w:color="auto" w:fill="auto"/>
            <w:vAlign w:val="center"/>
          </w:tcPr>
          <w:p w14:paraId="0E38565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全年目标实际完成情况</w:t>
            </w:r>
          </w:p>
        </w:tc>
      </w:tr>
      <w:tr w14:paraId="5FF94727">
        <w:tblPrEx>
          <w:tblCellMar>
            <w:top w:w="0" w:type="dxa"/>
            <w:left w:w="108" w:type="dxa"/>
            <w:bottom w:w="0" w:type="dxa"/>
            <w:right w:w="108" w:type="dxa"/>
          </w:tblCellMar>
        </w:tblPrEx>
        <w:trPr>
          <w:cantSplit/>
          <w:trHeight w:val="1352" w:hRule="atLeast"/>
        </w:trPr>
        <w:tc>
          <w:tcPr>
            <w:tcW w:w="1030" w:type="dxa"/>
            <w:vMerge w:val="continue"/>
            <w:tcBorders>
              <w:top w:val="nil"/>
              <w:left w:val="single" w:color="auto" w:sz="4" w:space="0"/>
              <w:bottom w:val="single" w:color="auto" w:sz="4" w:space="0"/>
              <w:right w:val="single" w:color="auto" w:sz="4" w:space="0"/>
            </w:tcBorders>
            <w:vAlign w:val="center"/>
          </w:tcPr>
          <w:p w14:paraId="00C9BB2D">
            <w:pPr>
              <w:rPr>
                <w:rFonts w:ascii="方正仿宋_GBK" w:hAnsi="Calibri" w:eastAsia="方正仿宋_GBK"/>
                <w:color w:val="000000"/>
                <w:sz w:val="18"/>
                <w:szCs w:val="18"/>
              </w:rPr>
            </w:pPr>
          </w:p>
        </w:tc>
        <w:tc>
          <w:tcPr>
            <w:tcW w:w="2050" w:type="dxa"/>
            <w:gridSpan w:val="3"/>
            <w:tcBorders>
              <w:top w:val="single" w:color="auto" w:sz="4" w:space="0"/>
              <w:left w:val="nil"/>
              <w:bottom w:val="single" w:color="auto" w:sz="4" w:space="0"/>
              <w:right w:val="single" w:color="000000" w:sz="4" w:space="0"/>
            </w:tcBorders>
            <w:shd w:val="clear" w:color="auto" w:fill="auto"/>
            <w:vAlign w:val="center"/>
          </w:tcPr>
          <w:p w14:paraId="7A4111AC">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完成五院体检业务开展及行政办公以及教学及设备科办公楼租赁</w:t>
            </w:r>
          </w:p>
        </w:tc>
        <w:tc>
          <w:tcPr>
            <w:tcW w:w="2848" w:type="dxa"/>
            <w:gridSpan w:val="4"/>
            <w:tcBorders>
              <w:top w:val="single" w:color="auto" w:sz="4" w:space="0"/>
              <w:left w:val="nil"/>
              <w:bottom w:val="single" w:color="auto" w:sz="4" w:space="0"/>
              <w:right w:val="single" w:color="000000" w:sz="4" w:space="0"/>
            </w:tcBorders>
            <w:shd w:val="clear" w:color="auto" w:fill="auto"/>
            <w:vAlign w:val="center"/>
          </w:tcPr>
          <w:p w14:paraId="2B77BB04">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无</w:t>
            </w:r>
          </w:p>
        </w:tc>
        <w:tc>
          <w:tcPr>
            <w:tcW w:w="2572" w:type="dxa"/>
            <w:gridSpan w:val="3"/>
            <w:tcBorders>
              <w:top w:val="single" w:color="auto" w:sz="4" w:space="0"/>
              <w:left w:val="nil"/>
              <w:bottom w:val="single" w:color="auto" w:sz="4" w:space="0"/>
              <w:right w:val="single" w:color="000000" w:sz="4" w:space="0"/>
            </w:tcBorders>
            <w:shd w:val="clear" w:color="auto" w:fill="auto"/>
            <w:vAlign w:val="center"/>
          </w:tcPr>
          <w:p w14:paraId="4BE2D0D5">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完成五院体检业务开展及行政办公以及教学及设备科办公楼租赁，以租赁协议为准，据实结算</w:t>
            </w:r>
          </w:p>
        </w:tc>
      </w:tr>
      <w:tr w14:paraId="65D76CC0">
        <w:tblPrEx>
          <w:tblCellMar>
            <w:top w:w="0" w:type="dxa"/>
            <w:left w:w="108" w:type="dxa"/>
            <w:bottom w:w="0" w:type="dxa"/>
            <w:right w:w="108" w:type="dxa"/>
          </w:tblCellMar>
        </w:tblPrEx>
        <w:trPr>
          <w:cantSplit/>
          <w:trHeight w:val="601" w:hRule="atLeast"/>
        </w:trPr>
        <w:tc>
          <w:tcPr>
            <w:tcW w:w="1030"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14:paraId="18734D8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绩效指标</w:t>
            </w:r>
          </w:p>
        </w:tc>
        <w:tc>
          <w:tcPr>
            <w:tcW w:w="955" w:type="dxa"/>
            <w:tcBorders>
              <w:top w:val="nil"/>
              <w:left w:val="nil"/>
              <w:bottom w:val="single" w:color="auto" w:sz="4" w:space="0"/>
              <w:right w:val="nil"/>
            </w:tcBorders>
            <w:shd w:val="clear" w:color="auto" w:fill="auto"/>
            <w:vAlign w:val="center"/>
          </w:tcPr>
          <w:p w14:paraId="62CAAFC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指标名称</w:t>
            </w:r>
          </w:p>
        </w:tc>
        <w:tc>
          <w:tcPr>
            <w:tcW w:w="472" w:type="dxa"/>
            <w:tcBorders>
              <w:top w:val="nil"/>
              <w:left w:val="single" w:color="auto" w:sz="4" w:space="0"/>
              <w:bottom w:val="single" w:color="auto" w:sz="4" w:space="0"/>
              <w:right w:val="single" w:color="auto" w:sz="4" w:space="0"/>
            </w:tcBorders>
            <w:shd w:val="clear" w:color="auto" w:fill="auto"/>
            <w:vAlign w:val="center"/>
          </w:tcPr>
          <w:p w14:paraId="21FC293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计量</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单位</w:t>
            </w:r>
          </w:p>
        </w:tc>
        <w:tc>
          <w:tcPr>
            <w:tcW w:w="623" w:type="dxa"/>
            <w:tcBorders>
              <w:top w:val="nil"/>
              <w:left w:val="nil"/>
              <w:bottom w:val="single" w:color="auto" w:sz="4" w:space="0"/>
              <w:right w:val="single" w:color="auto" w:sz="4" w:space="0"/>
            </w:tcBorders>
            <w:shd w:val="clear" w:color="auto" w:fill="auto"/>
            <w:vAlign w:val="center"/>
          </w:tcPr>
          <w:p w14:paraId="72375EB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性质</w:t>
            </w:r>
          </w:p>
        </w:tc>
        <w:tc>
          <w:tcPr>
            <w:tcW w:w="616" w:type="dxa"/>
            <w:tcBorders>
              <w:top w:val="nil"/>
              <w:left w:val="nil"/>
              <w:bottom w:val="single" w:color="auto" w:sz="4" w:space="0"/>
              <w:right w:val="single" w:color="auto" w:sz="4" w:space="0"/>
            </w:tcBorders>
            <w:shd w:val="clear" w:color="auto" w:fill="auto"/>
            <w:vAlign w:val="center"/>
          </w:tcPr>
          <w:p w14:paraId="4A18050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616" w:type="dxa"/>
            <w:tcBorders>
              <w:top w:val="nil"/>
              <w:left w:val="nil"/>
              <w:bottom w:val="single" w:color="auto" w:sz="4" w:space="0"/>
              <w:right w:val="single" w:color="auto" w:sz="4" w:space="0"/>
            </w:tcBorders>
            <w:shd w:val="clear" w:color="auto" w:fill="auto"/>
            <w:vAlign w:val="center"/>
          </w:tcPr>
          <w:p w14:paraId="7D8196A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调整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832" w:type="dxa"/>
            <w:tcBorders>
              <w:top w:val="nil"/>
              <w:left w:val="nil"/>
              <w:bottom w:val="single" w:color="auto" w:sz="4" w:space="0"/>
              <w:right w:val="single" w:color="auto" w:sz="4" w:space="0"/>
            </w:tcBorders>
            <w:shd w:val="clear" w:color="auto" w:fill="auto"/>
            <w:vAlign w:val="center"/>
          </w:tcPr>
          <w:p w14:paraId="67179960">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完成值</w:t>
            </w:r>
          </w:p>
        </w:tc>
        <w:tc>
          <w:tcPr>
            <w:tcW w:w="784" w:type="dxa"/>
            <w:tcBorders>
              <w:top w:val="nil"/>
              <w:left w:val="nil"/>
              <w:bottom w:val="single" w:color="auto" w:sz="4" w:space="0"/>
              <w:right w:val="single" w:color="auto" w:sz="4" w:space="0"/>
            </w:tcBorders>
            <w:shd w:val="clear" w:color="auto" w:fill="auto"/>
            <w:vAlign w:val="center"/>
          </w:tcPr>
          <w:p w14:paraId="22834D03">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得分系数</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832" w:type="dxa"/>
            <w:tcBorders>
              <w:top w:val="nil"/>
              <w:left w:val="nil"/>
              <w:bottom w:val="single" w:color="auto" w:sz="4" w:space="0"/>
              <w:right w:val="single" w:color="auto" w:sz="4" w:space="0"/>
            </w:tcBorders>
            <w:shd w:val="clear" w:color="auto" w:fill="auto"/>
            <w:vAlign w:val="center"/>
          </w:tcPr>
          <w:p w14:paraId="6A679CEA">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指标权重</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832" w:type="dxa"/>
            <w:tcBorders>
              <w:top w:val="nil"/>
              <w:left w:val="nil"/>
              <w:bottom w:val="single" w:color="auto" w:sz="4" w:space="0"/>
              <w:right w:val="single" w:color="auto" w:sz="4" w:space="0"/>
            </w:tcBorders>
            <w:shd w:val="clear" w:color="auto" w:fill="auto"/>
            <w:vAlign w:val="center"/>
          </w:tcPr>
          <w:p w14:paraId="065BAF6B">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908" w:type="dxa"/>
            <w:tcBorders>
              <w:top w:val="nil"/>
              <w:left w:val="nil"/>
              <w:bottom w:val="single" w:color="auto" w:sz="4" w:space="0"/>
              <w:right w:val="single" w:color="auto" w:sz="4" w:space="0"/>
            </w:tcBorders>
            <w:shd w:val="clear" w:color="auto" w:fill="auto"/>
            <w:vAlign w:val="center"/>
          </w:tcPr>
          <w:p w14:paraId="2DAA67F8">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是否核心</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w:t>
            </w:r>
          </w:p>
        </w:tc>
      </w:tr>
      <w:tr w14:paraId="7AE75417">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7A71CFB8">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19FF7748">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办公人数</w:t>
            </w:r>
          </w:p>
        </w:tc>
        <w:tc>
          <w:tcPr>
            <w:tcW w:w="472" w:type="dxa"/>
            <w:tcBorders>
              <w:top w:val="nil"/>
              <w:left w:val="single" w:color="auto" w:sz="4" w:space="0"/>
              <w:bottom w:val="single" w:color="auto" w:sz="4" w:space="0"/>
              <w:right w:val="nil"/>
            </w:tcBorders>
            <w:shd w:val="clear" w:color="auto" w:fill="auto"/>
            <w:vAlign w:val="center"/>
          </w:tcPr>
          <w:p w14:paraId="73B27539">
            <w:pPr>
              <w:autoSpaceDN w:val="0"/>
              <w:jc w:val="center"/>
              <w:rPr>
                <w:rFonts w:ascii="方正仿宋_GBK" w:hAnsi="Calibri" w:eastAsia="方正仿宋_GBK"/>
                <w:color w:val="000000"/>
              </w:rPr>
            </w:pPr>
            <w:r>
              <w:rPr>
                <w:rFonts w:hint="eastAsia" w:ascii="方正仿宋_GBK" w:hAnsi="Calibri" w:eastAsia="方正仿宋_GBK"/>
                <w:color w:val="000000"/>
              </w:rPr>
              <w:t>人</w:t>
            </w:r>
          </w:p>
        </w:tc>
        <w:tc>
          <w:tcPr>
            <w:tcW w:w="623" w:type="dxa"/>
            <w:tcBorders>
              <w:top w:val="nil"/>
              <w:left w:val="single" w:color="auto" w:sz="4" w:space="0"/>
              <w:bottom w:val="single" w:color="auto" w:sz="4" w:space="0"/>
              <w:right w:val="nil"/>
            </w:tcBorders>
            <w:shd w:val="clear" w:color="auto" w:fill="auto"/>
            <w:vAlign w:val="center"/>
          </w:tcPr>
          <w:p w14:paraId="28E952BE">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16" w:type="dxa"/>
            <w:tcBorders>
              <w:top w:val="nil"/>
              <w:left w:val="single" w:color="auto" w:sz="4" w:space="0"/>
              <w:bottom w:val="single" w:color="auto" w:sz="4" w:space="0"/>
              <w:right w:val="nil"/>
            </w:tcBorders>
            <w:shd w:val="clear" w:color="auto" w:fill="auto"/>
            <w:vAlign w:val="center"/>
          </w:tcPr>
          <w:p w14:paraId="570752D7">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137</w:t>
            </w:r>
          </w:p>
        </w:tc>
        <w:tc>
          <w:tcPr>
            <w:tcW w:w="616" w:type="dxa"/>
            <w:tcBorders>
              <w:top w:val="nil"/>
              <w:left w:val="single" w:color="auto" w:sz="4" w:space="0"/>
              <w:bottom w:val="single" w:color="auto" w:sz="4" w:space="0"/>
              <w:right w:val="nil"/>
            </w:tcBorders>
            <w:shd w:val="clear" w:color="auto" w:fill="auto"/>
            <w:vAlign w:val="center"/>
          </w:tcPr>
          <w:p w14:paraId="2FD4CFCA">
            <w:pPr>
              <w:autoSpaceDN w:val="0"/>
              <w:jc w:val="center"/>
              <w:rPr>
                <w:rFonts w:ascii="方正仿宋_GBK" w:hAnsi="Calibri" w:eastAsia="方正仿宋_GBK"/>
                <w:color w:val="000000"/>
                <w:sz w:val="18"/>
                <w:szCs w:val="18"/>
              </w:rPr>
            </w:pPr>
          </w:p>
        </w:tc>
        <w:tc>
          <w:tcPr>
            <w:tcW w:w="832" w:type="dxa"/>
            <w:tcBorders>
              <w:top w:val="nil"/>
              <w:left w:val="single" w:color="auto" w:sz="4" w:space="0"/>
              <w:bottom w:val="single" w:color="auto" w:sz="4" w:space="0"/>
              <w:right w:val="nil"/>
            </w:tcBorders>
            <w:shd w:val="clear" w:color="auto" w:fill="auto"/>
            <w:vAlign w:val="center"/>
          </w:tcPr>
          <w:p w14:paraId="1CDEE9A7">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137</w:t>
            </w:r>
          </w:p>
        </w:tc>
        <w:tc>
          <w:tcPr>
            <w:tcW w:w="784" w:type="dxa"/>
            <w:tcBorders>
              <w:top w:val="nil"/>
              <w:left w:val="single" w:color="auto" w:sz="4" w:space="0"/>
              <w:bottom w:val="single" w:color="auto" w:sz="4" w:space="0"/>
              <w:right w:val="nil"/>
            </w:tcBorders>
            <w:shd w:val="clear" w:color="auto" w:fill="auto"/>
            <w:vAlign w:val="center"/>
          </w:tcPr>
          <w:p w14:paraId="576C4758">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single" w:color="auto" w:sz="4" w:space="0"/>
              <w:bottom w:val="single" w:color="auto" w:sz="4" w:space="0"/>
              <w:right w:val="nil"/>
            </w:tcBorders>
            <w:shd w:val="clear" w:color="auto" w:fill="auto"/>
            <w:vAlign w:val="center"/>
          </w:tcPr>
          <w:p w14:paraId="6F98731E">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20</w:t>
            </w:r>
          </w:p>
        </w:tc>
        <w:tc>
          <w:tcPr>
            <w:tcW w:w="832" w:type="dxa"/>
            <w:tcBorders>
              <w:top w:val="nil"/>
              <w:left w:val="single" w:color="auto" w:sz="4" w:space="0"/>
              <w:bottom w:val="single" w:color="auto" w:sz="4" w:space="0"/>
              <w:right w:val="nil"/>
            </w:tcBorders>
            <w:shd w:val="clear" w:color="auto" w:fill="auto"/>
            <w:vAlign w:val="center"/>
          </w:tcPr>
          <w:p w14:paraId="540B783B">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20</w:t>
            </w:r>
          </w:p>
        </w:tc>
        <w:tc>
          <w:tcPr>
            <w:tcW w:w="908" w:type="dxa"/>
            <w:tcBorders>
              <w:top w:val="nil"/>
              <w:left w:val="single" w:color="auto" w:sz="4" w:space="0"/>
              <w:bottom w:val="single" w:color="auto" w:sz="4" w:space="0"/>
              <w:right w:val="single" w:color="auto" w:sz="4" w:space="0"/>
            </w:tcBorders>
            <w:shd w:val="clear" w:color="auto" w:fill="auto"/>
            <w:vAlign w:val="center"/>
          </w:tcPr>
          <w:p w14:paraId="6F188D15">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否</w:t>
            </w:r>
          </w:p>
        </w:tc>
      </w:tr>
      <w:tr w14:paraId="5DC3667C">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045FCCB2">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0A130973">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办公面积</w:t>
            </w:r>
          </w:p>
        </w:tc>
        <w:tc>
          <w:tcPr>
            <w:tcW w:w="472" w:type="dxa"/>
            <w:tcBorders>
              <w:top w:val="nil"/>
              <w:left w:val="single" w:color="auto" w:sz="4" w:space="0"/>
              <w:bottom w:val="single" w:color="auto" w:sz="4" w:space="0"/>
              <w:right w:val="nil"/>
            </w:tcBorders>
            <w:shd w:val="clear" w:color="auto" w:fill="auto"/>
            <w:vAlign w:val="center"/>
          </w:tcPr>
          <w:p w14:paraId="63883541">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23" w:type="dxa"/>
            <w:tcBorders>
              <w:top w:val="nil"/>
              <w:left w:val="single" w:color="auto" w:sz="4" w:space="0"/>
              <w:bottom w:val="single" w:color="auto" w:sz="4" w:space="0"/>
              <w:right w:val="nil"/>
            </w:tcBorders>
            <w:shd w:val="clear" w:color="auto" w:fill="auto"/>
            <w:vAlign w:val="center"/>
          </w:tcPr>
          <w:p w14:paraId="2DC86072">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16" w:type="dxa"/>
            <w:tcBorders>
              <w:top w:val="nil"/>
              <w:left w:val="single" w:color="auto" w:sz="4" w:space="0"/>
              <w:bottom w:val="single" w:color="auto" w:sz="4" w:space="0"/>
              <w:right w:val="nil"/>
            </w:tcBorders>
            <w:shd w:val="clear" w:color="auto" w:fill="auto"/>
            <w:vAlign w:val="center"/>
          </w:tcPr>
          <w:p w14:paraId="73209CC3">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3386</w:t>
            </w:r>
          </w:p>
        </w:tc>
        <w:tc>
          <w:tcPr>
            <w:tcW w:w="616" w:type="dxa"/>
            <w:tcBorders>
              <w:top w:val="nil"/>
              <w:left w:val="single" w:color="auto" w:sz="4" w:space="0"/>
              <w:bottom w:val="single" w:color="auto" w:sz="4" w:space="0"/>
              <w:right w:val="nil"/>
            </w:tcBorders>
            <w:shd w:val="clear" w:color="auto" w:fill="auto"/>
            <w:vAlign w:val="center"/>
          </w:tcPr>
          <w:p w14:paraId="44DEDF07">
            <w:pPr>
              <w:autoSpaceDN w:val="0"/>
              <w:jc w:val="center"/>
              <w:rPr>
                <w:rFonts w:ascii="方正仿宋_GBK" w:hAnsi="Calibri" w:eastAsia="方正仿宋_GBK"/>
                <w:color w:val="000000"/>
                <w:sz w:val="18"/>
                <w:szCs w:val="18"/>
              </w:rPr>
            </w:pPr>
          </w:p>
        </w:tc>
        <w:tc>
          <w:tcPr>
            <w:tcW w:w="832" w:type="dxa"/>
            <w:tcBorders>
              <w:top w:val="nil"/>
              <w:left w:val="single" w:color="auto" w:sz="4" w:space="0"/>
              <w:bottom w:val="single" w:color="auto" w:sz="4" w:space="0"/>
              <w:right w:val="nil"/>
            </w:tcBorders>
            <w:shd w:val="clear" w:color="auto" w:fill="auto"/>
            <w:vAlign w:val="center"/>
          </w:tcPr>
          <w:p w14:paraId="36B409BA">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3386</w:t>
            </w:r>
          </w:p>
        </w:tc>
        <w:tc>
          <w:tcPr>
            <w:tcW w:w="784" w:type="dxa"/>
            <w:tcBorders>
              <w:top w:val="nil"/>
              <w:left w:val="single" w:color="auto" w:sz="4" w:space="0"/>
              <w:bottom w:val="single" w:color="auto" w:sz="4" w:space="0"/>
              <w:right w:val="nil"/>
            </w:tcBorders>
            <w:shd w:val="clear" w:color="auto" w:fill="auto"/>
            <w:vAlign w:val="center"/>
          </w:tcPr>
          <w:p w14:paraId="094ACF64">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single" w:color="auto" w:sz="4" w:space="0"/>
              <w:bottom w:val="single" w:color="auto" w:sz="4" w:space="0"/>
              <w:right w:val="nil"/>
            </w:tcBorders>
            <w:shd w:val="clear" w:color="auto" w:fill="auto"/>
            <w:vAlign w:val="center"/>
          </w:tcPr>
          <w:p w14:paraId="3FCE8FA9">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20</w:t>
            </w:r>
          </w:p>
        </w:tc>
        <w:tc>
          <w:tcPr>
            <w:tcW w:w="832" w:type="dxa"/>
            <w:tcBorders>
              <w:top w:val="nil"/>
              <w:left w:val="single" w:color="auto" w:sz="4" w:space="0"/>
              <w:bottom w:val="single" w:color="auto" w:sz="4" w:space="0"/>
              <w:right w:val="nil"/>
            </w:tcBorders>
            <w:shd w:val="clear" w:color="auto" w:fill="auto"/>
            <w:vAlign w:val="center"/>
          </w:tcPr>
          <w:p w14:paraId="1F1225EC">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20</w:t>
            </w:r>
          </w:p>
        </w:tc>
        <w:tc>
          <w:tcPr>
            <w:tcW w:w="908" w:type="dxa"/>
            <w:tcBorders>
              <w:top w:val="nil"/>
              <w:left w:val="single" w:color="auto" w:sz="4" w:space="0"/>
              <w:bottom w:val="single" w:color="auto" w:sz="4" w:space="0"/>
              <w:right w:val="single" w:color="auto" w:sz="4" w:space="0"/>
            </w:tcBorders>
            <w:shd w:val="clear" w:color="auto" w:fill="auto"/>
            <w:vAlign w:val="center"/>
          </w:tcPr>
          <w:p w14:paraId="2A03A956">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是</w:t>
            </w:r>
          </w:p>
        </w:tc>
      </w:tr>
      <w:tr w14:paraId="7FDC3895">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3210DFBD">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73707E25">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提供就业岗位</w:t>
            </w:r>
          </w:p>
        </w:tc>
        <w:tc>
          <w:tcPr>
            <w:tcW w:w="472" w:type="dxa"/>
            <w:tcBorders>
              <w:top w:val="nil"/>
              <w:left w:val="single" w:color="auto" w:sz="4" w:space="0"/>
              <w:bottom w:val="single" w:color="auto" w:sz="4" w:space="0"/>
              <w:right w:val="nil"/>
            </w:tcBorders>
            <w:shd w:val="clear" w:color="auto" w:fill="auto"/>
            <w:vAlign w:val="center"/>
          </w:tcPr>
          <w:p w14:paraId="3D385097">
            <w:pPr>
              <w:autoSpaceDN w:val="0"/>
              <w:jc w:val="center"/>
              <w:rPr>
                <w:rFonts w:ascii="方正仿宋_GBK" w:hAnsi="Calibri" w:eastAsia="方正仿宋_GBK"/>
                <w:color w:val="000000"/>
              </w:rPr>
            </w:pPr>
            <w:r>
              <w:rPr>
                <w:rFonts w:hint="eastAsia" w:ascii="方正仿宋_GBK" w:hAnsi="Calibri" w:eastAsia="方正仿宋_GBK"/>
                <w:color w:val="000000"/>
              </w:rPr>
              <w:t>人次</w:t>
            </w:r>
          </w:p>
        </w:tc>
        <w:tc>
          <w:tcPr>
            <w:tcW w:w="623" w:type="dxa"/>
            <w:tcBorders>
              <w:top w:val="nil"/>
              <w:left w:val="single" w:color="auto" w:sz="4" w:space="0"/>
              <w:bottom w:val="single" w:color="auto" w:sz="4" w:space="0"/>
              <w:right w:val="nil"/>
            </w:tcBorders>
            <w:shd w:val="clear" w:color="auto" w:fill="auto"/>
            <w:vAlign w:val="center"/>
          </w:tcPr>
          <w:p w14:paraId="13854878">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16" w:type="dxa"/>
            <w:tcBorders>
              <w:top w:val="nil"/>
              <w:left w:val="single" w:color="auto" w:sz="4" w:space="0"/>
              <w:bottom w:val="single" w:color="auto" w:sz="4" w:space="0"/>
              <w:right w:val="nil"/>
            </w:tcBorders>
            <w:shd w:val="clear" w:color="auto" w:fill="auto"/>
            <w:vAlign w:val="center"/>
          </w:tcPr>
          <w:p w14:paraId="7B11B747">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137</w:t>
            </w:r>
          </w:p>
        </w:tc>
        <w:tc>
          <w:tcPr>
            <w:tcW w:w="616" w:type="dxa"/>
            <w:tcBorders>
              <w:top w:val="nil"/>
              <w:left w:val="single" w:color="auto" w:sz="4" w:space="0"/>
              <w:bottom w:val="single" w:color="auto" w:sz="4" w:space="0"/>
              <w:right w:val="nil"/>
            </w:tcBorders>
            <w:shd w:val="clear" w:color="auto" w:fill="auto"/>
            <w:vAlign w:val="center"/>
          </w:tcPr>
          <w:p w14:paraId="3C15E4E7">
            <w:pPr>
              <w:autoSpaceDN w:val="0"/>
              <w:jc w:val="center"/>
              <w:rPr>
                <w:rFonts w:ascii="方正仿宋_GBK" w:hAnsi="Calibri" w:eastAsia="方正仿宋_GBK"/>
                <w:color w:val="000000"/>
                <w:sz w:val="18"/>
                <w:szCs w:val="18"/>
              </w:rPr>
            </w:pPr>
          </w:p>
        </w:tc>
        <w:tc>
          <w:tcPr>
            <w:tcW w:w="832" w:type="dxa"/>
            <w:tcBorders>
              <w:top w:val="nil"/>
              <w:left w:val="single" w:color="auto" w:sz="4" w:space="0"/>
              <w:bottom w:val="single" w:color="auto" w:sz="4" w:space="0"/>
              <w:right w:val="nil"/>
            </w:tcBorders>
            <w:shd w:val="clear" w:color="auto" w:fill="auto"/>
            <w:vAlign w:val="center"/>
          </w:tcPr>
          <w:p w14:paraId="381DD5D5">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137</w:t>
            </w:r>
          </w:p>
        </w:tc>
        <w:tc>
          <w:tcPr>
            <w:tcW w:w="784" w:type="dxa"/>
            <w:tcBorders>
              <w:top w:val="nil"/>
              <w:left w:val="single" w:color="auto" w:sz="4" w:space="0"/>
              <w:bottom w:val="single" w:color="auto" w:sz="4" w:space="0"/>
              <w:right w:val="nil"/>
            </w:tcBorders>
            <w:shd w:val="clear" w:color="auto" w:fill="auto"/>
            <w:vAlign w:val="center"/>
          </w:tcPr>
          <w:p w14:paraId="07028C8B">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single" w:color="auto" w:sz="4" w:space="0"/>
              <w:bottom w:val="single" w:color="auto" w:sz="4" w:space="0"/>
              <w:right w:val="nil"/>
            </w:tcBorders>
            <w:shd w:val="clear" w:color="auto" w:fill="auto"/>
            <w:vAlign w:val="center"/>
          </w:tcPr>
          <w:p w14:paraId="59AD021B">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15</w:t>
            </w:r>
          </w:p>
        </w:tc>
        <w:tc>
          <w:tcPr>
            <w:tcW w:w="832" w:type="dxa"/>
            <w:tcBorders>
              <w:top w:val="nil"/>
              <w:left w:val="single" w:color="auto" w:sz="4" w:space="0"/>
              <w:bottom w:val="single" w:color="auto" w:sz="4" w:space="0"/>
              <w:right w:val="nil"/>
            </w:tcBorders>
            <w:shd w:val="clear" w:color="auto" w:fill="auto"/>
            <w:vAlign w:val="center"/>
          </w:tcPr>
          <w:p w14:paraId="564C3F69">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15</w:t>
            </w:r>
          </w:p>
        </w:tc>
        <w:tc>
          <w:tcPr>
            <w:tcW w:w="908" w:type="dxa"/>
            <w:tcBorders>
              <w:top w:val="nil"/>
              <w:left w:val="single" w:color="auto" w:sz="4" w:space="0"/>
              <w:bottom w:val="single" w:color="auto" w:sz="4" w:space="0"/>
              <w:right w:val="single" w:color="auto" w:sz="4" w:space="0"/>
            </w:tcBorders>
            <w:shd w:val="clear" w:color="auto" w:fill="auto"/>
            <w:vAlign w:val="center"/>
          </w:tcPr>
          <w:p w14:paraId="2F6E1C66">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否</w:t>
            </w:r>
          </w:p>
        </w:tc>
      </w:tr>
      <w:tr w14:paraId="0D03EA68">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604B1674">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4E35F34F">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房屋使用率</w:t>
            </w:r>
          </w:p>
        </w:tc>
        <w:tc>
          <w:tcPr>
            <w:tcW w:w="472" w:type="dxa"/>
            <w:tcBorders>
              <w:top w:val="nil"/>
              <w:left w:val="single" w:color="auto" w:sz="4" w:space="0"/>
              <w:bottom w:val="single" w:color="auto" w:sz="4" w:space="0"/>
              <w:right w:val="nil"/>
            </w:tcBorders>
            <w:shd w:val="clear" w:color="auto" w:fill="auto"/>
            <w:vAlign w:val="center"/>
          </w:tcPr>
          <w:p w14:paraId="4369E7CA">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23" w:type="dxa"/>
            <w:tcBorders>
              <w:top w:val="nil"/>
              <w:left w:val="single" w:color="auto" w:sz="4" w:space="0"/>
              <w:bottom w:val="single" w:color="auto" w:sz="4" w:space="0"/>
              <w:right w:val="nil"/>
            </w:tcBorders>
            <w:shd w:val="clear" w:color="auto" w:fill="auto"/>
            <w:vAlign w:val="center"/>
          </w:tcPr>
          <w:p w14:paraId="5D5846B8">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16" w:type="dxa"/>
            <w:tcBorders>
              <w:top w:val="nil"/>
              <w:left w:val="single" w:color="auto" w:sz="4" w:space="0"/>
              <w:bottom w:val="single" w:color="auto" w:sz="4" w:space="0"/>
              <w:right w:val="nil"/>
            </w:tcBorders>
            <w:shd w:val="clear" w:color="auto" w:fill="auto"/>
            <w:vAlign w:val="center"/>
          </w:tcPr>
          <w:p w14:paraId="63A4C794">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616" w:type="dxa"/>
            <w:tcBorders>
              <w:top w:val="nil"/>
              <w:left w:val="single" w:color="auto" w:sz="4" w:space="0"/>
              <w:bottom w:val="single" w:color="auto" w:sz="4" w:space="0"/>
              <w:right w:val="nil"/>
            </w:tcBorders>
            <w:shd w:val="clear" w:color="auto" w:fill="auto"/>
            <w:vAlign w:val="center"/>
          </w:tcPr>
          <w:p w14:paraId="02B91BB5">
            <w:pPr>
              <w:autoSpaceDN w:val="0"/>
              <w:jc w:val="center"/>
              <w:rPr>
                <w:rFonts w:ascii="方正仿宋_GBK" w:hAnsi="Calibri" w:eastAsia="方正仿宋_GBK"/>
                <w:color w:val="000000"/>
                <w:sz w:val="18"/>
                <w:szCs w:val="18"/>
              </w:rPr>
            </w:pPr>
          </w:p>
        </w:tc>
        <w:tc>
          <w:tcPr>
            <w:tcW w:w="832" w:type="dxa"/>
            <w:tcBorders>
              <w:top w:val="nil"/>
              <w:left w:val="single" w:color="auto" w:sz="4" w:space="0"/>
              <w:bottom w:val="single" w:color="auto" w:sz="4" w:space="0"/>
              <w:right w:val="nil"/>
            </w:tcBorders>
            <w:shd w:val="clear" w:color="auto" w:fill="auto"/>
            <w:vAlign w:val="center"/>
          </w:tcPr>
          <w:p w14:paraId="79DCD609">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784" w:type="dxa"/>
            <w:tcBorders>
              <w:top w:val="nil"/>
              <w:left w:val="single" w:color="auto" w:sz="4" w:space="0"/>
              <w:bottom w:val="single" w:color="auto" w:sz="4" w:space="0"/>
              <w:right w:val="nil"/>
            </w:tcBorders>
            <w:shd w:val="clear" w:color="auto" w:fill="auto"/>
            <w:vAlign w:val="center"/>
          </w:tcPr>
          <w:p w14:paraId="773B93A7">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single" w:color="auto" w:sz="4" w:space="0"/>
              <w:bottom w:val="single" w:color="auto" w:sz="4" w:space="0"/>
              <w:right w:val="nil"/>
            </w:tcBorders>
            <w:shd w:val="clear" w:color="auto" w:fill="auto"/>
            <w:vAlign w:val="center"/>
          </w:tcPr>
          <w:p w14:paraId="1D4138E8">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15</w:t>
            </w:r>
          </w:p>
        </w:tc>
        <w:tc>
          <w:tcPr>
            <w:tcW w:w="832" w:type="dxa"/>
            <w:tcBorders>
              <w:top w:val="nil"/>
              <w:left w:val="single" w:color="auto" w:sz="4" w:space="0"/>
              <w:bottom w:val="single" w:color="auto" w:sz="4" w:space="0"/>
              <w:right w:val="nil"/>
            </w:tcBorders>
            <w:shd w:val="clear" w:color="auto" w:fill="auto"/>
            <w:vAlign w:val="center"/>
          </w:tcPr>
          <w:p w14:paraId="616E8F92">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15</w:t>
            </w:r>
          </w:p>
        </w:tc>
        <w:tc>
          <w:tcPr>
            <w:tcW w:w="908" w:type="dxa"/>
            <w:tcBorders>
              <w:top w:val="nil"/>
              <w:left w:val="single" w:color="auto" w:sz="4" w:space="0"/>
              <w:bottom w:val="single" w:color="auto" w:sz="4" w:space="0"/>
              <w:right w:val="single" w:color="auto" w:sz="4" w:space="0"/>
            </w:tcBorders>
            <w:shd w:val="clear" w:color="auto" w:fill="auto"/>
            <w:vAlign w:val="center"/>
          </w:tcPr>
          <w:p w14:paraId="0A85F2E1">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否</w:t>
            </w:r>
          </w:p>
        </w:tc>
      </w:tr>
      <w:tr w14:paraId="5D5FE383">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3F9EDFA3">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3C97CEDF">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来院检查人员满意度</w:t>
            </w:r>
          </w:p>
        </w:tc>
        <w:tc>
          <w:tcPr>
            <w:tcW w:w="472" w:type="dxa"/>
            <w:tcBorders>
              <w:top w:val="nil"/>
              <w:left w:val="single" w:color="auto" w:sz="4" w:space="0"/>
              <w:bottom w:val="single" w:color="auto" w:sz="4" w:space="0"/>
              <w:right w:val="nil"/>
            </w:tcBorders>
            <w:shd w:val="clear" w:color="auto" w:fill="auto"/>
            <w:vAlign w:val="center"/>
          </w:tcPr>
          <w:p w14:paraId="4C75F505">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23" w:type="dxa"/>
            <w:tcBorders>
              <w:top w:val="nil"/>
              <w:left w:val="single" w:color="auto" w:sz="4" w:space="0"/>
              <w:bottom w:val="single" w:color="auto" w:sz="4" w:space="0"/>
              <w:right w:val="nil"/>
            </w:tcBorders>
            <w:shd w:val="clear" w:color="auto" w:fill="auto"/>
            <w:vAlign w:val="center"/>
          </w:tcPr>
          <w:p w14:paraId="650B457B">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16" w:type="dxa"/>
            <w:tcBorders>
              <w:top w:val="nil"/>
              <w:left w:val="single" w:color="auto" w:sz="4" w:space="0"/>
              <w:bottom w:val="single" w:color="auto" w:sz="4" w:space="0"/>
              <w:right w:val="nil"/>
            </w:tcBorders>
            <w:shd w:val="clear" w:color="auto" w:fill="auto"/>
            <w:vAlign w:val="center"/>
          </w:tcPr>
          <w:p w14:paraId="3F65B1D2">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95%</w:t>
            </w:r>
          </w:p>
        </w:tc>
        <w:tc>
          <w:tcPr>
            <w:tcW w:w="616" w:type="dxa"/>
            <w:tcBorders>
              <w:top w:val="nil"/>
              <w:left w:val="single" w:color="auto" w:sz="4" w:space="0"/>
              <w:bottom w:val="single" w:color="auto" w:sz="4" w:space="0"/>
              <w:right w:val="nil"/>
            </w:tcBorders>
            <w:shd w:val="clear" w:color="auto" w:fill="auto"/>
            <w:vAlign w:val="center"/>
          </w:tcPr>
          <w:p w14:paraId="58B1D9B2">
            <w:pPr>
              <w:autoSpaceDN w:val="0"/>
              <w:jc w:val="center"/>
              <w:rPr>
                <w:rFonts w:ascii="方正仿宋_GBK" w:hAnsi="Calibri" w:eastAsia="方正仿宋_GBK"/>
                <w:color w:val="000000"/>
                <w:sz w:val="18"/>
                <w:szCs w:val="18"/>
              </w:rPr>
            </w:pPr>
          </w:p>
        </w:tc>
        <w:tc>
          <w:tcPr>
            <w:tcW w:w="832" w:type="dxa"/>
            <w:tcBorders>
              <w:top w:val="nil"/>
              <w:left w:val="single" w:color="auto" w:sz="4" w:space="0"/>
              <w:bottom w:val="single" w:color="auto" w:sz="4" w:space="0"/>
              <w:right w:val="nil"/>
            </w:tcBorders>
            <w:shd w:val="clear" w:color="auto" w:fill="auto"/>
            <w:vAlign w:val="center"/>
          </w:tcPr>
          <w:p w14:paraId="55A1132C">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95%</w:t>
            </w:r>
          </w:p>
        </w:tc>
        <w:tc>
          <w:tcPr>
            <w:tcW w:w="784" w:type="dxa"/>
            <w:tcBorders>
              <w:top w:val="nil"/>
              <w:left w:val="single" w:color="auto" w:sz="4" w:space="0"/>
              <w:bottom w:val="single" w:color="auto" w:sz="4" w:space="0"/>
              <w:right w:val="nil"/>
            </w:tcBorders>
            <w:shd w:val="clear" w:color="auto" w:fill="auto"/>
            <w:vAlign w:val="center"/>
          </w:tcPr>
          <w:p w14:paraId="588B630D">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single" w:color="auto" w:sz="4" w:space="0"/>
              <w:bottom w:val="single" w:color="auto" w:sz="4" w:space="0"/>
              <w:right w:val="nil"/>
            </w:tcBorders>
            <w:shd w:val="clear" w:color="auto" w:fill="auto"/>
            <w:vAlign w:val="center"/>
          </w:tcPr>
          <w:p w14:paraId="085376BE">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20</w:t>
            </w:r>
          </w:p>
        </w:tc>
        <w:tc>
          <w:tcPr>
            <w:tcW w:w="832" w:type="dxa"/>
            <w:tcBorders>
              <w:top w:val="nil"/>
              <w:left w:val="single" w:color="auto" w:sz="4" w:space="0"/>
              <w:bottom w:val="single" w:color="auto" w:sz="4" w:space="0"/>
              <w:right w:val="nil"/>
            </w:tcBorders>
            <w:shd w:val="clear" w:color="auto" w:fill="auto"/>
            <w:vAlign w:val="center"/>
          </w:tcPr>
          <w:p w14:paraId="77ED09F6">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20</w:t>
            </w:r>
          </w:p>
        </w:tc>
        <w:tc>
          <w:tcPr>
            <w:tcW w:w="908" w:type="dxa"/>
            <w:tcBorders>
              <w:top w:val="nil"/>
              <w:left w:val="single" w:color="auto" w:sz="4" w:space="0"/>
              <w:bottom w:val="single" w:color="auto" w:sz="4" w:space="0"/>
              <w:right w:val="single" w:color="auto" w:sz="4" w:space="0"/>
            </w:tcBorders>
            <w:shd w:val="clear" w:color="auto" w:fill="auto"/>
            <w:vAlign w:val="center"/>
          </w:tcPr>
          <w:p w14:paraId="2D9763BB">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否</w:t>
            </w:r>
          </w:p>
        </w:tc>
      </w:tr>
      <w:tr w14:paraId="5870520A">
        <w:tblPrEx>
          <w:tblCellMar>
            <w:top w:w="0" w:type="dxa"/>
            <w:left w:w="108" w:type="dxa"/>
            <w:bottom w:w="0" w:type="dxa"/>
            <w:right w:w="108" w:type="dxa"/>
          </w:tblCellMar>
        </w:tblPrEx>
        <w:trPr>
          <w:cantSplit/>
          <w:trHeight w:val="523" w:hRule="atLeast"/>
        </w:trPr>
        <w:tc>
          <w:tcPr>
            <w:tcW w:w="1030" w:type="dxa"/>
            <w:vMerge w:val="continue"/>
            <w:tcBorders>
              <w:top w:val="nil"/>
              <w:left w:val="single" w:color="auto" w:sz="4" w:space="0"/>
              <w:bottom w:val="single" w:color="auto" w:sz="4" w:space="0"/>
              <w:right w:val="single" w:color="auto" w:sz="4" w:space="0"/>
            </w:tcBorders>
            <w:vAlign w:val="center"/>
          </w:tcPr>
          <w:p w14:paraId="7E82BA0A">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77F26B4B">
            <w:pPr>
              <w:autoSpaceDN w:val="0"/>
              <w:jc w:val="both"/>
              <w:rPr>
                <w:rFonts w:ascii="方正仿宋_GBK" w:hAnsi="Calibri" w:eastAsia="方正仿宋_GBK"/>
                <w:color w:val="000000"/>
                <w:sz w:val="18"/>
                <w:szCs w:val="18"/>
              </w:rPr>
            </w:pPr>
            <w:r>
              <w:rPr>
                <w:rFonts w:hint="eastAsia" w:ascii="方正仿宋_GBK" w:hAnsi="Calibri" w:eastAsia="方正仿宋_GBK"/>
                <w:color w:val="000000"/>
                <w:sz w:val="18"/>
                <w:szCs w:val="18"/>
              </w:rPr>
              <w:t>资金执行率</w:t>
            </w:r>
          </w:p>
        </w:tc>
        <w:tc>
          <w:tcPr>
            <w:tcW w:w="472" w:type="dxa"/>
            <w:tcBorders>
              <w:top w:val="nil"/>
              <w:left w:val="single" w:color="auto" w:sz="4" w:space="0"/>
              <w:bottom w:val="single" w:color="auto" w:sz="4" w:space="0"/>
              <w:right w:val="nil"/>
            </w:tcBorders>
            <w:shd w:val="clear" w:color="auto" w:fill="auto"/>
            <w:vAlign w:val="center"/>
          </w:tcPr>
          <w:p w14:paraId="100623D3">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23" w:type="dxa"/>
            <w:tcBorders>
              <w:top w:val="nil"/>
              <w:left w:val="single" w:color="auto" w:sz="4" w:space="0"/>
              <w:bottom w:val="single" w:color="auto" w:sz="4" w:space="0"/>
              <w:right w:val="nil"/>
            </w:tcBorders>
            <w:shd w:val="clear" w:color="auto" w:fill="auto"/>
            <w:vAlign w:val="center"/>
          </w:tcPr>
          <w:p w14:paraId="4C681B26">
            <w:pPr>
              <w:autoSpaceDN w:val="0"/>
              <w:jc w:val="center"/>
              <w:rPr>
                <w:rFonts w:ascii="方正仿宋_GBK" w:hAnsi="Calibri" w:eastAsia="方正仿宋_GBK"/>
                <w:color w:val="000000"/>
              </w:rPr>
            </w:pPr>
            <w:r>
              <w:rPr>
                <w:rFonts w:hint="eastAsia" w:ascii="方正仿宋_GBK" w:hAnsi="Calibri" w:eastAsia="方正仿宋_GBK"/>
                <w:color w:val="000000"/>
              </w:rPr>
              <w:t>=</w:t>
            </w:r>
          </w:p>
        </w:tc>
        <w:tc>
          <w:tcPr>
            <w:tcW w:w="616" w:type="dxa"/>
            <w:tcBorders>
              <w:top w:val="nil"/>
              <w:left w:val="single" w:color="auto" w:sz="4" w:space="0"/>
              <w:bottom w:val="single" w:color="auto" w:sz="4" w:space="0"/>
              <w:right w:val="nil"/>
            </w:tcBorders>
            <w:shd w:val="clear" w:color="auto" w:fill="auto"/>
            <w:vAlign w:val="center"/>
          </w:tcPr>
          <w:p w14:paraId="69068DFB">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616" w:type="dxa"/>
            <w:tcBorders>
              <w:top w:val="nil"/>
              <w:left w:val="single" w:color="auto" w:sz="4" w:space="0"/>
              <w:bottom w:val="single" w:color="auto" w:sz="4" w:space="0"/>
              <w:right w:val="nil"/>
            </w:tcBorders>
            <w:shd w:val="clear" w:color="auto" w:fill="auto"/>
            <w:vAlign w:val="center"/>
          </w:tcPr>
          <w:p w14:paraId="53DF1FE7">
            <w:pPr>
              <w:autoSpaceDN w:val="0"/>
              <w:jc w:val="center"/>
              <w:rPr>
                <w:rFonts w:ascii="方正仿宋_GBK" w:hAnsi="Calibri" w:eastAsia="方正仿宋_GBK"/>
                <w:color w:val="000000"/>
                <w:sz w:val="18"/>
                <w:szCs w:val="18"/>
              </w:rPr>
            </w:pPr>
          </w:p>
        </w:tc>
        <w:tc>
          <w:tcPr>
            <w:tcW w:w="832" w:type="dxa"/>
            <w:tcBorders>
              <w:top w:val="nil"/>
              <w:left w:val="single" w:color="auto" w:sz="4" w:space="0"/>
              <w:bottom w:val="single" w:color="auto" w:sz="4" w:space="0"/>
              <w:right w:val="nil"/>
            </w:tcBorders>
            <w:shd w:val="clear" w:color="auto" w:fill="auto"/>
            <w:vAlign w:val="center"/>
          </w:tcPr>
          <w:p w14:paraId="034E6645">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784" w:type="dxa"/>
            <w:tcBorders>
              <w:top w:val="nil"/>
              <w:left w:val="single" w:color="auto" w:sz="4" w:space="0"/>
              <w:bottom w:val="single" w:color="auto" w:sz="4" w:space="0"/>
              <w:right w:val="nil"/>
            </w:tcBorders>
            <w:shd w:val="clear" w:color="auto" w:fill="auto"/>
            <w:vAlign w:val="center"/>
          </w:tcPr>
          <w:p w14:paraId="75762D68">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832" w:type="dxa"/>
            <w:tcBorders>
              <w:top w:val="nil"/>
              <w:left w:val="single" w:color="auto" w:sz="4" w:space="0"/>
              <w:bottom w:val="single" w:color="auto" w:sz="4" w:space="0"/>
              <w:right w:val="nil"/>
            </w:tcBorders>
            <w:shd w:val="clear" w:color="auto" w:fill="auto"/>
            <w:vAlign w:val="center"/>
          </w:tcPr>
          <w:p w14:paraId="6BBCD3CD">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w:t>
            </w:r>
          </w:p>
        </w:tc>
        <w:tc>
          <w:tcPr>
            <w:tcW w:w="832" w:type="dxa"/>
            <w:tcBorders>
              <w:top w:val="nil"/>
              <w:left w:val="single" w:color="auto" w:sz="4" w:space="0"/>
              <w:bottom w:val="single" w:color="auto" w:sz="4" w:space="0"/>
              <w:right w:val="nil"/>
            </w:tcBorders>
            <w:shd w:val="clear" w:color="auto" w:fill="auto"/>
            <w:vAlign w:val="center"/>
          </w:tcPr>
          <w:p w14:paraId="3A9B40A9">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w:t>
            </w:r>
          </w:p>
        </w:tc>
        <w:tc>
          <w:tcPr>
            <w:tcW w:w="908" w:type="dxa"/>
            <w:tcBorders>
              <w:top w:val="nil"/>
              <w:left w:val="single" w:color="auto" w:sz="4" w:space="0"/>
              <w:bottom w:val="single" w:color="auto" w:sz="4" w:space="0"/>
              <w:right w:val="single" w:color="auto" w:sz="4" w:space="0"/>
            </w:tcBorders>
            <w:shd w:val="clear" w:color="auto" w:fill="auto"/>
            <w:vAlign w:val="center"/>
          </w:tcPr>
          <w:p w14:paraId="72126605">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否</w:t>
            </w:r>
          </w:p>
        </w:tc>
      </w:tr>
      <w:tr w14:paraId="1A4BF59D">
        <w:tblPrEx>
          <w:tblCellMar>
            <w:top w:w="0" w:type="dxa"/>
            <w:left w:w="108" w:type="dxa"/>
            <w:bottom w:w="0" w:type="dxa"/>
            <w:right w:w="108" w:type="dxa"/>
          </w:tblCellMar>
        </w:tblPrEx>
        <w:trPr>
          <w:cantSplit/>
          <w:trHeight w:val="509" w:hRule="atLeast"/>
        </w:trPr>
        <w:tc>
          <w:tcPr>
            <w:tcW w:w="1030" w:type="dxa"/>
            <w:vMerge w:val="continue"/>
            <w:tcBorders>
              <w:top w:val="nil"/>
              <w:left w:val="single" w:color="auto" w:sz="4" w:space="0"/>
              <w:bottom w:val="single" w:color="auto" w:sz="4" w:space="0"/>
              <w:right w:val="single" w:color="auto" w:sz="4" w:space="0"/>
            </w:tcBorders>
            <w:vAlign w:val="center"/>
          </w:tcPr>
          <w:p w14:paraId="59D0C2BA">
            <w:pPr>
              <w:rPr>
                <w:rFonts w:ascii="方正仿宋_GBK" w:hAnsi="Calibri" w:eastAsia="方正仿宋_GBK"/>
                <w:color w:val="000000"/>
                <w:sz w:val="18"/>
                <w:szCs w:val="18"/>
              </w:rPr>
            </w:pPr>
          </w:p>
        </w:tc>
        <w:tc>
          <w:tcPr>
            <w:tcW w:w="955" w:type="dxa"/>
            <w:tcBorders>
              <w:top w:val="nil"/>
              <w:left w:val="nil"/>
              <w:bottom w:val="single" w:color="auto" w:sz="4" w:space="0"/>
              <w:right w:val="nil"/>
            </w:tcBorders>
            <w:shd w:val="clear" w:color="auto" w:fill="auto"/>
            <w:vAlign w:val="center"/>
          </w:tcPr>
          <w:p w14:paraId="5DD81AF4">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472" w:type="dxa"/>
            <w:tcBorders>
              <w:top w:val="nil"/>
              <w:left w:val="single" w:color="auto" w:sz="4" w:space="0"/>
              <w:bottom w:val="single" w:color="auto" w:sz="4" w:space="0"/>
              <w:right w:val="nil"/>
            </w:tcBorders>
            <w:shd w:val="clear" w:color="auto" w:fill="auto"/>
            <w:vAlign w:val="center"/>
          </w:tcPr>
          <w:p w14:paraId="5B5C476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623" w:type="dxa"/>
            <w:tcBorders>
              <w:top w:val="nil"/>
              <w:left w:val="single" w:color="auto" w:sz="4" w:space="0"/>
              <w:bottom w:val="single" w:color="auto" w:sz="4" w:space="0"/>
              <w:right w:val="nil"/>
            </w:tcBorders>
            <w:shd w:val="clear" w:color="auto" w:fill="auto"/>
            <w:vAlign w:val="center"/>
          </w:tcPr>
          <w:p w14:paraId="71EC4CC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616" w:type="dxa"/>
            <w:tcBorders>
              <w:top w:val="nil"/>
              <w:left w:val="single" w:color="auto" w:sz="4" w:space="0"/>
              <w:bottom w:val="single" w:color="auto" w:sz="4" w:space="0"/>
              <w:right w:val="nil"/>
            </w:tcBorders>
            <w:shd w:val="clear" w:color="auto" w:fill="auto"/>
            <w:vAlign w:val="center"/>
          </w:tcPr>
          <w:p w14:paraId="7A944B9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616" w:type="dxa"/>
            <w:tcBorders>
              <w:top w:val="nil"/>
              <w:left w:val="single" w:color="auto" w:sz="4" w:space="0"/>
              <w:bottom w:val="single" w:color="auto" w:sz="4" w:space="0"/>
              <w:right w:val="nil"/>
            </w:tcBorders>
            <w:shd w:val="clear" w:color="auto" w:fill="auto"/>
            <w:vAlign w:val="center"/>
          </w:tcPr>
          <w:p w14:paraId="0A50C7D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078110AE">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784" w:type="dxa"/>
            <w:tcBorders>
              <w:top w:val="nil"/>
              <w:left w:val="single" w:color="auto" w:sz="4" w:space="0"/>
              <w:bottom w:val="single" w:color="auto" w:sz="4" w:space="0"/>
              <w:right w:val="nil"/>
            </w:tcBorders>
            <w:shd w:val="clear" w:color="auto" w:fill="auto"/>
            <w:vAlign w:val="center"/>
          </w:tcPr>
          <w:p w14:paraId="1B5A95C1">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3EF13747">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832" w:type="dxa"/>
            <w:tcBorders>
              <w:top w:val="nil"/>
              <w:left w:val="single" w:color="auto" w:sz="4" w:space="0"/>
              <w:bottom w:val="single" w:color="auto" w:sz="4" w:space="0"/>
              <w:right w:val="nil"/>
            </w:tcBorders>
            <w:shd w:val="clear" w:color="auto" w:fill="auto"/>
            <w:vAlign w:val="center"/>
          </w:tcPr>
          <w:p w14:paraId="58E143CF">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908" w:type="dxa"/>
            <w:tcBorders>
              <w:top w:val="nil"/>
              <w:left w:val="single" w:color="auto" w:sz="4" w:space="0"/>
              <w:bottom w:val="single" w:color="auto" w:sz="4" w:space="0"/>
              <w:right w:val="single" w:color="auto" w:sz="4" w:space="0"/>
            </w:tcBorders>
            <w:shd w:val="clear" w:color="auto" w:fill="auto"/>
            <w:vAlign w:val="center"/>
          </w:tcPr>
          <w:p w14:paraId="23A8A84D">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r>
      <w:tr w14:paraId="0F204F68">
        <w:tblPrEx>
          <w:tblCellMar>
            <w:top w:w="0" w:type="dxa"/>
            <w:left w:w="108" w:type="dxa"/>
            <w:bottom w:w="0" w:type="dxa"/>
            <w:right w:w="108" w:type="dxa"/>
          </w:tblCellMar>
        </w:tblPrEx>
        <w:trPr>
          <w:trHeight w:val="755" w:hRule="atLeast"/>
        </w:trPr>
        <w:tc>
          <w:tcPr>
            <w:tcW w:w="1030" w:type="dxa"/>
            <w:tcBorders>
              <w:top w:val="nil"/>
              <w:left w:val="single" w:color="auto" w:sz="4" w:space="0"/>
              <w:bottom w:val="single" w:color="auto" w:sz="4" w:space="0"/>
              <w:right w:val="single" w:color="auto" w:sz="4" w:space="0"/>
            </w:tcBorders>
            <w:shd w:val="clear" w:color="auto" w:fill="auto"/>
            <w:vAlign w:val="center"/>
          </w:tcPr>
          <w:p w14:paraId="7815ED55">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说明</w:t>
            </w:r>
          </w:p>
        </w:tc>
        <w:tc>
          <w:tcPr>
            <w:tcW w:w="7470" w:type="dxa"/>
            <w:gridSpan w:val="10"/>
            <w:tcBorders>
              <w:top w:val="single" w:color="auto" w:sz="4" w:space="0"/>
              <w:left w:val="nil"/>
              <w:bottom w:val="single" w:color="auto" w:sz="4" w:space="0"/>
              <w:right w:val="single" w:color="auto" w:sz="4" w:space="0"/>
            </w:tcBorders>
            <w:shd w:val="clear" w:color="auto" w:fill="auto"/>
            <w:vAlign w:val="center"/>
          </w:tcPr>
          <w:p w14:paraId="4FEF23A7">
            <w:pPr>
              <w:autoSpaceDN w:val="0"/>
              <w:rPr>
                <w:rFonts w:ascii="方正仿宋_GBK" w:hAnsi="Calibri" w:eastAsia="方正仿宋_GBK"/>
                <w:color w:val="000000"/>
                <w:sz w:val="18"/>
                <w:szCs w:val="18"/>
              </w:rPr>
            </w:pPr>
            <w:r>
              <w:rPr>
                <w:rFonts w:hint="eastAsia" w:ascii="方正仿宋_GBK" w:eastAsia="方正仿宋_GBK"/>
                <w:color w:val="000000"/>
                <w:sz w:val="18"/>
                <w:szCs w:val="18"/>
              </w:rPr>
              <w:t>　</w:t>
            </w:r>
          </w:p>
        </w:tc>
      </w:tr>
    </w:tbl>
    <w:p w14:paraId="05DA1B00">
      <w:pPr>
        <w:pStyle w:val="15"/>
        <w:tabs>
          <w:tab w:val="center" w:pos="4153"/>
          <w:tab w:val="left" w:pos="7275"/>
        </w:tabs>
        <w:spacing w:line="600" w:lineRule="exact"/>
        <w:ind w:firstLine="0" w:firstLineChars="0"/>
        <w:rPr>
          <w:rFonts w:ascii="方正仿宋_GBK" w:hAnsi="宋体" w:eastAsia="方正仿宋_GBK" w:cs="宋体"/>
          <w:b/>
          <w:kern w:val="0"/>
          <w:sz w:val="32"/>
          <w:szCs w:val="32"/>
        </w:rPr>
      </w:pPr>
    </w:p>
    <w:p w14:paraId="4C789612">
      <w:pPr>
        <w:pStyle w:val="15"/>
        <w:tabs>
          <w:tab w:val="center" w:pos="4153"/>
          <w:tab w:val="left" w:pos="7275"/>
        </w:tabs>
        <w:spacing w:line="600" w:lineRule="exact"/>
        <w:ind w:firstLine="643"/>
        <w:rPr>
          <w:rFonts w:ascii="方正仿宋_GBK" w:hAnsi="宋体" w:eastAsia="方正仿宋_GBK" w:cs="宋体"/>
          <w:kern w:val="0"/>
          <w:sz w:val="32"/>
          <w:szCs w:val="32"/>
        </w:rPr>
      </w:pPr>
      <w:r>
        <w:rPr>
          <w:rFonts w:hint="eastAsia" w:ascii="方正仿宋_GBK" w:hAnsi="宋体" w:eastAsia="方正仿宋_GBK" w:cs="宋体"/>
          <w:b/>
          <w:kern w:val="0"/>
          <w:sz w:val="32"/>
          <w:szCs w:val="32"/>
        </w:rPr>
        <w:t>2.绩效自评报告或案例</w:t>
      </w:r>
    </w:p>
    <w:p w14:paraId="7285B957">
      <w:pPr>
        <w:pStyle w:val="15"/>
        <w:tabs>
          <w:tab w:val="center" w:pos="4153"/>
          <w:tab w:val="left" w:pos="7275"/>
        </w:tabs>
        <w:spacing w:line="600" w:lineRule="exact"/>
        <w:ind w:firstLine="0" w:firstLineChars="0"/>
        <w:jc w:val="center"/>
        <w:rPr>
          <w:rFonts w:ascii="黑体" w:eastAsia="黑体" w:cs="Arial"/>
          <w:bCs/>
          <w:sz w:val="32"/>
          <w:szCs w:val="32"/>
        </w:rPr>
      </w:pPr>
    </w:p>
    <w:p w14:paraId="6016F02D">
      <w:pPr>
        <w:pStyle w:val="15"/>
        <w:tabs>
          <w:tab w:val="center" w:pos="4153"/>
          <w:tab w:val="left" w:pos="7275"/>
        </w:tabs>
        <w:spacing w:line="600" w:lineRule="exact"/>
        <w:ind w:firstLine="0" w:firstLineChars="0"/>
        <w:jc w:val="center"/>
        <w:rPr>
          <w:rFonts w:ascii="黑体" w:eastAsia="黑体" w:cs="Arial"/>
          <w:bCs/>
          <w:sz w:val="32"/>
          <w:szCs w:val="32"/>
        </w:rPr>
      </w:pPr>
      <w:r>
        <w:rPr>
          <w:rFonts w:hint="eastAsia" w:ascii="黑体" w:eastAsia="黑体" w:cs="Arial"/>
          <w:bCs/>
          <w:sz w:val="32"/>
          <w:szCs w:val="32"/>
        </w:rPr>
        <w:t>2020年度重庆市南岸区卫生健康委员会</w:t>
      </w:r>
    </w:p>
    <w:p w14:paraId="08C60D55">
      <w:pPr>
        <w:pStyle w:val="15"/>
        <w:tabs>
          <w:tab w:val="center" w:pos="4153"/>
          <w:tab w:val="left" w:pos="7275"/>
        </w:tabs>
        <w:spacing w:line="600" w:lineRule="exact"/>
        <w:ind w:firstLine="0" w:firstLineChars="0"/>
        <w:jc w:val="center"/>
        <w:rPr>
          <w:rFonts w:ascii="黑体" w:eastAsia="黑体" w:cs="Arial"/>
          <w:bCs/>
          <w:sz w:val="32"/>
          <w:szCs w:val="32"/>
        </w:rPr>
      </w:pPr>
      <w:r>
        <w:rPr>
          <w:rFonts w:hint="eastAsia" w:ascii="黑体" w:eastAsia="黑体" w:cs="Arial"/>
          <w:bCs/>
          <w:sz w:val="32"/>
          <w:szCs w:val="32"/>
        </w:rPr>
        <w:t>应急物资保障体系建设项目</w:t>
      </w:r>
    </w:p>
    <w:p w14:paraId="73A5E92F">
      <w:pPr>
        <w:pStyle w:val="15"/>
        <w:tabs>
          <w:tab w:val="center" w:pos="4153"/>
          <w:tab w:val="left" w:pos="7275"/>
        </w:tabs>
        <w:spacing w:line="600" w:lineRule="exact"/>
        <w:ind w:firstLine="0" w:firstLineChars="0"/>
        <w:jc w:val="center"/>
        <w:rPr>
          <w:rFonts w:ascii="黑体" w:eastAsia="黑体" w:cs="Arial"/>
          <w:bCs/>
          <w:sz w:val="32"/>
          <w:szCs w:val="32"/>
        </w:rPr>
      </w:pPr>
      <w:r>
        <w:rPr>
          <w:rFonts w:hint="eastAsia" w:ascii="黑体" w:eastAsia="黑体" w:cs="Arial"/>
          <w:bCs/>
          <w:sz w:val="32"/>
          <w:szCs w:val="32"/>
        </w:rPr>
        <w:t>绩效评价报告</w:t>
      </w:r>
    </w:p>
    <w:p w14:paraId="3B394DA7">
      <w:pPr>
        <w:pStyle w:val="15"/>
        <w:tabs>
          <w:tab w:val="center" w:pos="4153"/>
          <w:tab w:val="left" w:pos="7275"/>
        </w:tabs>
        <w:spacing w:line="600" w:lineRule="exact"/>
        <w:ind w:firstLine="480"/>
        <w:rPr>
          <w:rFonts w:ascii="黑体" w:eastAsia="黑体" w:cs="Arial"/>
          <w:bCs/>
          <w:sz w:val="24"/>
          <w:szCs w:val="24"/>
        </w:rPr>
      </w:pPr>
    </w:p>
    <w:p w14:paraId="1DC7E1EC">
      <w:pPr>
        <w:pStyle w:val="15"/>
        <w:tabs>
          <w:tab w:val="center" w:pos="4153"/>
          <w:tab w:val="left" w:pos="7275"/>
        </w:tabs>
        <w:spacing w:line="600" w:lineRule="exact"/>
        <w:ind w:firstLine="480"/>
        <w:rPr>
          <w:rFonts w:ascii="华文宋体" w:hAnsi="华文宋体" w:eastAsia="华文宋体" w:cs="宋体"/>
          <w:bCs/>
          <w:sz w:val="24"/>
          <w:szCs w:val="24"/>
        </w:rPr>
      </w:pPr>
      <w:r>
        <w:rPr>
          <w:rFonts w:hint="eastAsia" w:ascii="华文宋体" w:hAnsi="华文宋体" w:eastAsia="华文宋体" w:cs="宋体"/>
          <w:bCs/>
          <w:sz w:val="24"/>
          <w:szCs w:val="24"/>
        </w:rPr>
        <w:t>一、基本情况</w:t>
      </w:r>
    </w:p>
    <w:p w14:paraId="748E373A">
      <w:pPr>
        <w:pStyle w:val="15"/>
        <w:tabs>
          <w:tab w:val="center" w:pos="4153"/>
          <w:tab w:val="left" w:pos="7275"/>
        </w:tabs>
        <w:spacing w:line="600" w:lineRule="exact"/>
        <w:ind w:firstLine="480"/>
        <w:rPr>
          <w:rFonts w:ascii="华文宋体" w:hAnsi="华文宋体" w:eastAsia="华文宋体" w:cs="宋体"/>
          <w:bCs/>
          <w:sz w:val="24"/>
          <w:szCs w:val="24"/>
        </w:rPr>
      </w:pPr>
      <w:r>
        <w:rPr>
          <w:rFonts w:hint="eastAsia" w:ascii="华文宋体" w:hAnsi="华文宋体" w:eastAsia="华文宋体" w:cs="宋体"/>
          <w:bCs/>
          <w:sz w:val="24"/>
          <w:szCs w:val="24"/>
        </w:rPr>
        <w:t>（一）项目背景、概况</w:t>
      </w:r>
    </w:p>
    <w:p w14:paraId="19DAA656">
      <w:pPr>
        <w:pStyle w:val="15"/>
        <w:tabs>
          <w:tab w:val="center" w:pos="4153"/>
          <w:tab w:val="left" w:pos="7275"/>
        </w:tabs>
        <w:spacing w:line="600" w:lineRule="exact"/>
        <w:ind w:firstLine="480"/>
        <w:rPr>
          <w:rFonts w:ascii="华文宋体" w:hAnsi="华文宋体" w:eastAsia="华文宋体" w:cs="宋体"/>
          <w:bCs/>
          <w:sz w:val="24"/>
          <w:szCs w:val="24"/>
        </w:rPr>
      </w:pPr>
      <w:r>
        <w:rPr>
          <w:rFonts w:hint="eastAsia" w:ascii="华文宋体" w:hAnsi="华文宋体" w:eastAsia="华文宋体" w:cs="宋体"/>
          <w:bCs/>
          <w:sz w:val="24"/>
          <w:szCs w:val="24"/>
        </w:rPr>
        <w:t>按照党中央、国务院战略部署，支持地方加快补齐应急物资保障短板，健全完善中央和地方统筹安排、分级储备、重特大突发事件发生时可统一调度的应急物资保障体系，中央财政在特殊转移支付中安排部分资金用于支持地方应急物资保障体系建设。2020年7月15日财政部印发了《关于下达支持应急物资保障体系建设补助资金预算的通知》（财建〔2020〕289号）。</w:t>
      </w:r>
    </w:p>
    <w:p w14:paraId="770AD4B7">
      <w:pPr>
        <w:pStyle w:val="15"/>
        <w:tabs>
          <w:tab w:val="center" w:pos="4153"/>
          <w:tab w:val="left" w:pos="7275"/>
        </w:tabs>
        <w:spacing w:line="600" w:lineRule="exact"/>
        <w:ind w:firstLine="480"/>
        <w:rPr>
          <w:rFonts w:ascii="华文宋体" w:hAnsi="华文宋体" w:eastAsia="华文宋体" w:cs="宋体"/>
          <w:bCs/>
          <w:sz w:val="24"/>
          <w:szCs w:val="24"/>
        </w:rPr>
      </w:pPr>
      <w:r>
        <w:rPr>
          <w:rFonts w:hint="eastAsia" w:ascii="华文宋体" w:hAnsi="华文宋体" w:eastAsia="华文宋体" w:cs="宋体"/>
          <w:bCs/>
          <w:sz w:val="24"/>
          <w:szCs w:val="24"/>
        </w:rPr>
        <w:t>为支持各区县（自治县）建设政府应急物资保障体系，充实完善专用应急政府储备品种、规模、结构，2020年7月23日重庆市财政局印发了《关于下达应急物资保障体系建设补助资金（直达资金）的通知》（渝财产业[2020]73号）。</w:t>
      </w:r>
    </w:p>
    <w:p w14:paraId="7D57DC2B">
      <w:pPr>
        <w:pStyle w:val="15"/>
        <w:tabs>
          <w:tab w:val="center" w:pos="4153"/>
          <w:tab w:val="left" w:pos="7275"/>
        </w:tabs>
        <w:spacing w:line="600" w:lineRule="exact"/>
        <w:ind w:firstLine="480"/>
        <w:rPr>
          <w:rFonts w:ascii="华文宋体" w:hAnsi="华文宋体" w:eastAsia="华文宋体" w:cs="宋体"/>
          <w:bCs/>
          <w:sz w:val="24"/>
          <w:szCs w:val="24"/>
        </w:rPr>
      </w:pPr>
      <w:r>
        <w:rPr>
          <w:rFonts w:hint="eastAsia" w:ascii="华文宋体" w:hAnsi="华文宋体" w:eastAsia="华文宋体" w:cs="宋体"/>
          <w:bCs/>
          <w:sz w:val="24"/>
          <w:szCs w:val="24"/>
        </w:rPr>
        <w:t>为贯彻落实习近平总书记关于统筹推进疫情防控和经济社会发展系列重要讲话精神，切实做好重庆市疫情防控物资储备补偿管理工作，2020年12月6日重庆市财政局、重庆市经济和信息化委员会制定了《重庆市新冠肺炎疫情防控物资储备补偿管理暂行办法》（渝财规〔2020〕5号）。</w:t>
      </w:r>
    </w:p>
    <w:p w14:paraId="77F19799">
      <w:pPr>
        <w:pStyle w:val="15"/>
        <w:tabs>
          <w:tab w:val="center" w:pos="4153"/>
          <w:tab w:val="left" w:pos="7275"/>
        </w:tabs>
        <w:spacing w:line="600" w:lineRule="exact"/>
        <w:ind w:firstLine="480"/>
        <w:rPr>
          <w:rFonts w:ascii="华文宋体" w:hAnsi="华文宋体" w:eastAsia="华文宋体" w:cs="宋体"/>
          <w:bCs/>
          <w:sz w:val="24"/>
          <w:szCs w:val="24"/>
        </w:rPr>
      </w:pPr>
      <w:r>
        <w:rPr>
          <w:rFonts w:hint="eastAsia" w:ascii="华文宋体" w:hAnsi="华文宋体" w:eastAsia="华文宋体" w:cs="宋体"/>
          <w:bCs/>
          <w:sz w:val="24"/>
          <w:szCs w:val="24"/>
        </w:rPr>
        <w:t>为建立南岸区卫生应急物资储备长效机制，进一步提高南岸区卫生应急准备水平，为卫生健康系统处置突发公共卫生事件提供充分的物资保障，形成全区卫生应急储备物资目录，确定物资品种和数量以及生产厂家，完成卫生应急物资的储备工作，2020年8月17日重庆市南岸区卫生健康委员会（以下简称南岸区卫健委）根据满足突发传染病疫情突发公共卫生事件一级响应一个月所需应急物资准备量，制定了《南岸区卫生应急物资储备工作实施方案》（南卫健文[2020]105号），经南岸区卫健委行政办公会集体决策，呈报南岸区政府审批。</w:t>
      </w:r>
    </w:p>
    <w:p w14:paraId="1F15FAA1">
      <w:pPr>
        <w:pStyle w:val="15"/>
        <w:tabs>
          <w:tab w:val="center" w:pos="4153"/>
          <w:tab w:val="left" w:pos="7275"/>
        </w:tabs>
        <w:spacing w:line="600" w:lineRule="exact"/>
        <w:ind w:firstLine="0" w:firstLineChars="0"/>
        <w:rPr>
          <w:rFonts w:ascii="华文宋体" w:hAnsi="华文宋体" w:eastAsia="华文宋体" w:cs="宋体"/>
          <w:bCs/>
          <w:sz w:val="24"/>
          <w:szCs w:val="24"/>
        </w:rPr>
      </w:pPr>
      <w:r>
        <w:rPr>
          <w:rFonts w:hint="eastAsia" w:ascii="华文宋体" w:hAnsi="华文宋体" w:eastAsia="华文宋体" w:cs="宋体"/>
          <w:bCs/>
          <w:sz w:val="24"/>
          <w:szCs w:val="24"/>
        </w:rPr>
        <w:t>综上所述，应急物资保障体系建设十分必要。为应对2020年秋冬季可能的新冠肺炎疫情反弹及突发公共卫生事件，做好卫生应急物资保障，保障卫生健康系统及时高效处置突发公共卫生事件，保护人民群众身体健康和生命安全，为全区经济社会发展保驾护航。</w:t>
      </w:r>
    </w:p>
    <w:p w14:paraId="144EB753">
      <w:pPr>
        <w:pStyle w:val="15"/>
        <w:tabs>
          <w:tab w:val="center" w:pos="4153"/>
          <w:tab w:val="left" w:pos="7275"/>
        </w:tabs>
        <w:spacing w:line="600" w:lineRule="exact"/>
        <w:ind w:firstLine="480"/>
        <w:rPr>
          <w:rFonts w:ascii="华文宋体" w:hAnsi="华文宋体" w:eastAsia="华文宋体" w:cs="宋体"/>
          <w:bCs/>
          <w:sz w:val="24"/>
          <w:szCs w:val="24"/>
        </w:rPr>
      </w:pPr>
      <w:r>
        <w:rPr>
          <w:rFonts w:hint="eastAsia" w:ascii="华文宋体" w:hAnsi="华文宋体" w:eastAsia="华文宋体" w:cs="宋体"/>
          <w:bCs/>
          <w:sz w:val="24"/>
          <w:szCs w:val="24"/>
        </w:rPr>
        <w:t>（二）项目立项依据</w:t>
      </w:r>
    </w:p>
    <w:p w14:paraId="46FA8FE8">
      <w:pPr>
        <w:pStyle w:val="15"/>
        <w:tabs>
          <w:tab w:val="center" w:pos="4153"/>
          <w:tab w:val="left" w:pos="7275"/>
        </w:tabs>
        <w:spacing w:line="600" w:lineRule="exact"/>
        <w:ind w:firstLine="480"/>
        <w:rPr>
          <w:rFonts w:ascii="华文宋体" w:hAnsi="华文宋体" w:eastAsia="华文宋体" w:cs="宋体"/>
          <w:bCs/>
          <w:sz w:val="24"/>
          <w:szCs w:val="24"/>
        </w:rPr>
      </w:pPr>
      <w:r>
        <w:rPr>
          <w:rFonts w:hint="eastAsia" w:ascii="华文宋体" w:hAnsi="华文宋体" w:eastAsia="华文宋体" w:cs="宋体"/>
          <w:bCs/>
          <w:sz w:val="24"/>
          <w:szCs w:val="24"/>
        </w:rPr>
        <w:t xml:space="preserve">1、财政部印发了《关于下达支持应急物资保障体系建设补助资金预算的通知》（财建〔2020〕289号）； </w:t>
      </w:r>
    </w:p>
    <w:p w14:paraId="056A7937">
      <w:pPr>
        <w:pStyle w:val="15"/>
        <w:tabs>
          <w:tab w:val="center" w:pos="4153"/>
          <w:tab w:val="left" w:pos="7275"/>
        </w:tabs>
        <w:spacing w:line="600" w:lineRule="exact"/>
        <w:ind w:firstLine="480"/>
        <w:rPr>
          <w:rFonts w:ascii="华文宋体" w:hAnsi="华文宋体" w:eastAsia="华文宋体" w:cs="宋体"/>
          <w:bCs/>
          <w:sz w:val="24"/>
          <w:szCs w:val="24"/>
        </w:rPr>
      </w:pPr>
      <w:r>
        <w:rPr>
          <w:rFonts w:hint="eastAsia" w:ascii="华文宋体" w:hAnsi="华文宋体" w:eastAsia="华文宋体" w:cs="宋体"/>
          <w:bCs/>
          <w:sz w:val="24"/>
          <w:szCs w:val="24"/>
        </w:rPr>
        <w:t>2、重庆市财政局印发了《关于下达应急物资保障体系建设补助资金（直达资金）的通知》（渝财产业[2020]73号）。</w:t>
      </w:r>
    </w:p>
    <w:p w14:paraId="1F1A7047">
      <w:pPr>
        <w:pStyle w:val="15"/>
        <w:tabs>
          <w:tab w:val="center" w:pos="4153"/>
          <w:tab w:val="left" w:pos="7275"/>
        </w:tabs>
        <w:spacing w:line="600" w:lineRule="exact"/>
        <w:ind w:firstLine="480"/>
        <w:rPr>
          <w:rFonts w:ascii="华文宋体" w:hAnsi="华文宋体" w:eastAsia="华文宋体" w:cs="宋体"/>
          <w:bCs/>
          <w:sz w:val="24"/>
          <w:szCs w:val="24"/>
        </w:rPr>
      </w:pPr>
      <w:r>
        <w:rPr>
          <w:rFonts w:hint="eastAsia" w:ascii="华文宋体" w:hAnsi="华文宋体" w:eastAsia="华文宋体" w:cs="宋体"/>
          <w:bCs/>
          <w:sz w:val="24"/>
          <w:szCs w:val="24"/>
        </w:rPr>
        <w:t>3、重庆市财政局、重庆市经济和信息化委员会制定了《重庆市新冠肺炎疫情防控物资储备补偿管理暂行办法》（渝财规〔2020〕5号）；</w:t>
      </w:r>
    </w:p>
    <w:p w14:paraId="36ABB6BA">
      <w:pPr>
        <w:pStyle w:val="15"/>
        <w:tabs>
          <w:tab w:val="center" w:pos="4153"/>
          <w:tab w:val="left" w:pos="7275"/>
        </w:tabs>
        <w:spacing w:line="600" w:lineRule="exact"/>
        <w:ind w:firstLine="480"/>
        <w:rPr>
          <w:rFonts w:ascii="华文宋体" w:hAnsi="华文宋体" w:eastAsia="华文宋体" w:cs="宋体"/>
          <w:bCs/>
          <w:sz w:val="24"/>
          <w:szCs w:val="24"/>
        </w:rPr>
      </w:pPr>
      <w:r>
        <w:rPr>
          <w:rFonts w:hint="eastAsia" w:ascii="华文宋体" w:hAnsi="华文宋体" w:eastAsia="华文宋体" w:cs="宋体"/>
          <w:bCs/>
          <w:sz w:val="24"/>
          <w:szCs w:val="24"/>
        </w:rPr>
        <w:t>4、重庆市南岸区卫健委制定《南岸区卫生应急物资储备工作实施方案》（南卫健文[2020]105号）。</w:t>
      </w:r>
    </w:p>
    <w:p w14:paraId="2958AED1">
      <w:pPr>
        <w:pStyle w:val="15"/>
        <w:tabs>
          <w:tab w:val="center" w:pos="4153"/>
          <w:tab w:val="left" w:pos="7275"/>
        </w:tabs>
        <w:spacing w:line="600" w:lineRule="exact"/>
        <w:ind w:firstLine="480"/>
        <w:rPr>
          <w:rFonts w:ascii="华文宋体" w:hAnsi="华文宋体" w:eastAsia="华文宋体" w:cs="宋体"/>
          <w:bCs/>
          <w:sz w:val="24"/>
          <w:szCs w:val="24"/>
        </w:rPr>
      </w:pPr>
      <w:r>
        <w:rPr>
          <w:rFonts w:hint="eastAsia" w:ascii="华文宋体" w:hAnsi="华文宋体" w:eastAsia="华文宋体" w:cs="宋体"/>
          <w:bCs/>
          <w:sz w:val="24"/>
          <w:szCs w:val="24"/>
        </w:rPr>
        <w:t>（三）项目预算及资金来源与支出</w:t>
      </w:r>
    </w:p>
    <w:p w14:paraId="5EBA45EF">
      <w:pPr>
        <w:pStyle w:val="15"/>
        <w:tabs>
          <w:tab w:val="center" w:pos="4153"/>
          <w:tab w:val="left" w:pos="7275"/>
        </w:tabs>
        <w:spacing w:line="600" w:lineRule="exact"/>
        <w:ind w:firstLine="480"/>
        <w:rPr>
          <w:rFonts w:ascii="华文宋体" w:hAnsi="华文宋体" w:eastAsia="华文宋体" w:cs="宋体"/>
          <w:bCs/>
          <w:sz w:val="24"/>
          <w:szCs w:val="24"/>
        </w:rPr>
      </w:pPr>
      <w:r>
        <w:rPr>
          <w:rFonts w:hint="eastAsia" w:ascii="华文宋体" w:hAnsi="华文宋体" w:eastAsia="华文宋体" w:cs="宋体"/>
          <w:bCs/>
          <w:sz w:val="24"/>
          <w:szCs w:val="24"/>
        </w:rPr>
        <w:t>分项目明细反映年初预算资金、追加追减预算资金、实际支出资金、预算执行率等情况，附资金支出明细表。</w:t>
      </w:r>
    </w:p>
    <w:p w14:paraId="32F48DC9">
      <w:pPr>
        <w:pStyle w:val="15"/>
        <w:tabs>
          <w:tab w:val="center" w:pos="4153"/>
          <w:tab w:val="left" w:pos="7275"/>
        </w:tabs>
        <w:spacing w:line="600" w:lineRule="exact"/>
        <w:ind w:firstLine="480"/>
        <w:rPr>
          <w:rFonts w:ascii="华文宋体" w:hAnsi="华文宋体" w:eastAsia="华文宋体" w:cs="宋体"/>
          <w:bCs/>
          <w:sz w:val="24"/>
          <w:szCs w:val="24"/>
        </w:rPr>
      </w:pPr>
      <w:r>
        <w:rPr>
          <w:rFonts w:hint="eastAsia" w:ascii="华文宋体" w:hAnsi="华文宋体" w:eastAsia="华文宋体" w:cs="宋体"/>
          <w:bCs/>
          <w:sz w:val="24"/>
          <w:szCs w:val="24"/>
        </w:rPr>
        <w:t>1、项目预算及资金来源</w:t>
      </w:r>
    </w:p>
    <w:p w14:paraId="6AD48001">
      <w:pPr>
        <w:pStyle w:val="15"/>
        <w:tabs>
          <w:tab w:val="center" w:pos="4153"/>
          <w:tab w:val="left" w:pos="7275"/>
        </w:tabs>
        <w:spacing w:line="600" w:lineRule="exact"/>
        <w:ind w:firstLine="480"/>
        <w:rPr>
          <w:rFonts w:ascii="华文宋体" w:hAnsi="华文宋体" w:eastAsia="华文宋体" w:cs="Arial"/>
          <w:bCs/>
          <w:sz w:val="24"/>
          <w:szCs w:val="24"/>
        </w:rPr>
      </w:pPr>
      <w:r>
        <w:rPr>
          <w:rFonts w:hint="eastAsia" w:ascii="华文宋体" w:hAnsi="华文宋体" w:eastAsia="华文宋体" w:cs="宋体"/>
          <w:bCs/>
          <w:sz w:val="24"/>
          <w:szCs w:val="24"/>
        </w:rPr>
        <w:t>2020年项目资金预算共865.60万元，均为财政专项资金（直达资金）。项目实施单位资金来源预算详见下表（单位：万元）</w:t>
      </w:r>
    </w:p>
    <w:tbl>
      <w:tblPr>
        <w:tblStyle w:val="9"/>
        <w:tblW w:w="8662" w:type="dxa"/>
        <w:tblInd w:w="93" w:type="dxa"/>
        <w:tblLayout w:type="fixed"/>
        <w:tblCellMar>
          <w:top w:w="0" w:type="dxa"/>
          <w:left w:w="108" w:type="dxa"/>
          <w:bottom w:w="0" w:type="dxa"/>
          <w:right w:w="108" w:type="dxa"/>
        </w:tblCellMar>
      </w:tblPr>
      <w:tblGrid>
        <w:gridCol w:w="440"/>
        <w:gridCol w:w="1560"/>
        <w:gridCol w:w="1276"/>
        <w:gridCol w:w="1275"/>
        <w:gridCol w:w="1560"/>
        <w:gridCol w:w="850"/>
        <w:gridCol w:w="992"/>
        <w:gridCol w:w="709"/>
      </w:tblGrid>
      <w:tr w14:paraId="296DB2EF">
        <w:tblPrEx>
          <w:tblCellMar>
            <w:top w:w="0" w:type="dxa"/>
            <w:left w:w="108" w:type="dxa"/>
            <w:bottom w:w="0" w:type="dxa"/>
            <w:right w:w="108" w:type="dxa"/>
          </w:tblCellMar>
        </w:tblPrEx>
        <w:trPr>
          <w:trHeight w:val="845" w:hRule="atLeast"/>
        </w:trPr>
        <w:tc>
          <w:tcPr>
            <w:tcW w:w="4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4AF3D3">
            <w:pPr>
              <w:spacing w:line="320" w:lineRule="atLeast"/>
              <w:rPr>
                <w:rFonts w:ascii="华文宋体" w:hAnsi="华文宋体" w:eastAsia="华文宋体"/>
              </w:rPr>
            </w:pPr>
            <w:r>
              <w:rPr>
                <w:rFonts w:hint="eastAsia" w:ascii="华文宋体" w:hAnsi="华文宋体" w:eastAsia="华文宋体"/>
              </w:rPr>
              <w:t>序号</w:t>
            </w:r>
          </w:p>
        </w:tc>
        <w:tc>
          <w:tcPr>
            <w:tcW w:w="156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E945A38">
            <w:pPr>
              <w:spacing w:line="320" w:lineRule="atLeast"/>
              <w:jc w:val="center"/>
              <w:rPr>
                <w:rFonts w:ascii="华文宋体" w:hAnsi="华文宋体" w:eastAsia="华文宋体"/>
                <w:color w:val="000000"/>
              </w:rPr>
            </w:pPr>
            <w:r>
              <w:rPr>
                <w:rFonts w:hint="eastAsia" w:ascii="华文宋体" w:hAnsi="华文宋体" w:eastAsia="华文宋体"/>
                <w:color w:val="000000"/>
              </w:rPr>
              <w:t>项目实施单位</w:t>
            </w:r>
          </w:p>
        </w:tc>
        <w:tc>
          <w:tcPr>
            <w:tcW w:w="1276" w:type="dxa"/>
            <w:tcBorders>
              <w:top w:val="single" w:color="auto" w:sz="4" w:space="0"/>
              <w:left w:val="nil"/>
              <w:bottom w:val="single" w:color="auto" w:sz="4" w:space="0"/>
              <w:right w:val="single" w:color="auto" w:sz="4" w:space="0"/>
            </w:tcBorders>
            <w:shd w:val="clear" w:color="auto" w:fill="auto"/>
            <w:vAlign w:val="center"/>
          </w:tcPr>
          <w:p w14:paraId="5E988ADC">
            <w:pPr>
              <w:spacing w:line="320" w:lineRule="atLeast"/>
              <w:jc w:val="center"/>
              <w:rPr>
                <w:rFonts w:ascii="华文宋体" w:hAnsi="华文宋体" w:eastAsia="华文宋体"/>
              </w:rPr>
            </w:pPr>
            <w:r>
              <w:rPr>
                <w:rFonts w:hint="eastAsia" w:ascii="华文宋体" w:hAnsi="华文宋体" w:eastAsia="华文宋体"/>
              </w:rPr>
              <w:t>市财政局下达应急储备预拨资金</w:t>
            </w:r>
          </w:p>
        </w:tc>
        <w:tc>
          <w:tcPr>
            <w:tcW w:w="1275" w:type="dxa"/>
            <w:tcBorders>
              <w:top w:val="single" w:color="auto" w:sz="4" w:space="0"/>
              <w:left w:val="nil"/>
              <w:bottom w:val="single" w:color="auto" w:sz="4" w:space="0"/>
              <w:right w:val="single" w:color="auto" w:sz="4" w:space="0"/>
            </w:tcBorders>
            <w:shd w:val="clear" w:color="auto" w:fill="auto"/>
            <w:vAlign w:val="center"/>
          </w:tcPr>
          <w:p w14:paraId="1C8966F5">
            <w:pPr>
              <w:spacing w:line="320" w:lineRule="atLeast"/>
              <w:jc w:val="center"/>
              <w:rPr>
                <w:rFonts w:ascii="华文宋体" w:hAnsi="华文宋体" w:eastAsia="华文宋体"/>
              </w:rPr>
            </w:pPr>
            <w:r>
              <w:rPr>
                <w:rFonts w:hint="eastAsia" w:ascii="华文宋体" w:hAnsi="华文宋体" w:eastAsia="华文宋体"/>
              </w:rPr>
              <w:t>应急储备补偿追加追减预算资金</w:t>
            </w:r>
          </w:p>
        </w:tc>
        <w:tc>
          <w:tcPr>
            <w:tcW w:w="1560" w:type="dxa"/>
            <w:tcBorders>
              <w:top w:val="single" w:color="auto" w:sz="4" w:space="0"/>
              <w:left w:val="nil"/>
              <w:bottom w:val="single" w:color="auto" w:sz="4" w:space="0"/>
              <w:right w:val="single" w:color="auto" w:sz="4" w:space="0"/>
            </w:tcBorders>
            <w:shd w:val="clear" w:color="auto" w:fill="auto"/>
            <w:vAlign w:val="center"/>
          </w:tcPr>
          <w:p w14:paraId="61561740">
            <w:pPr>
              <w:spacing w:line="320" w:lineRule="atLeast"/>
              <w:jc w:val="center"/>
              <w:rPr>
                <w:rFonts w:ascii="华文宋体" w:hAnsi="华文宋体" w:eastAsia="华文宋体"/>
              </w:rPr>
            </w:pPr>
            <w:r>
              <w:rPr>
                <w:rFonts w:hint="eastAsia" w:ascii="华文宋体" w:hAnsi="华文宋体" w:eastAsia="华文宋体"/>
              </w:rPr>
              <w:t>清算2020年市级定点储备企业防控物资储备补偿资金</w:t>
            </w:r>
          </w:p>
        </w:tc>
        <w:tc>
          <w:tcPr>
            <w:tcW w:w="2551" w:type="dxa"/>
            <w:gridSpan w:val="3"/>
            <w:tcBorders>
              <w:top w:val="single" w:color="auto" w:sz="4" w:space="0"/>
              <w:left w:val="nil"/>
              <w:bottom w:val="single" w:color="auto" w:sz="4" w:space="0"/>
              <w:right w:val="single" w:color="auto" w:sz="4" w:space="0"/>
            </w:tcBorders>
            <w:shd w:val="clear" w:color="auto" w:fill="auto"/>
            <w:vAlign w:val="center"/>
          </w:tcPr>
          <w:p w14:paraId="6ACCB4F8">
            <w:pPr>
              <w:spacing w:line="320" w:lineRule="atLeast"/>
              <w:jc w:val="center"/>
              <w:rPr>
                <w:rFonts w:ascii="华文宋体" w:hAnsi="华文宋体" w:eastAsia="华文宋体"/>
              </w:rPr>
            </w:pPr>
            <w:r>
              <w:rPr>
                <w:rFonts w:hint="eastAsia" w:ascii="华文宋体" w:hAnsi="华文宋体" w:eastAsia="华文宋体"/>
              </w:rPr>
              <w:t>2020年定点储备物资补偿资金（直达资金）</w:t>
            </w:r>
          </w:p>
        </w:tc>
      </w:tr>
      <w:tr w14:paraId="760FC569">
        <w:tblPrEx>
          <w:tblCellMar>
            <w:top w:w="0" w:type="dxa"/>
            <w:left w:w="108" w:type="dxa"/>
            <w:bottom w:w="0" w:type="dxa"/>
            <w:right w:w="108" w:type="dxa"/>
          </w:tblCellMar>
        </w:tblPrEx>
        <w:trPr>
          <w:trHeight w:val="702" w:hRule="atLeast"/>
        </w:trPr>
        <w:tc>
          <w:tcPr>
            <w:tcW w:w="440" w:type="dxa"/>
            <w:vMerge w:val="continue"/>
            <w:tcBorders>
              <w:top w:val="single" w:color="auto" w:sz="4" w:space="0"/>
              <w:left w:val="single" w:color="auto" w:sz="4" w:space="0"/>
              <w:bottom w:val="single" w:color="auto" w:sz="4" w:space="0"/>
              <w:right w:val="single" w:color="auto" w:sz="4" w:space="0"/>
            </w:tcBorders>
            <w:vAlign w:val="center"/>
          </w:tcPr>
          <w:p w14:paraId="2282F155">
            <w:pPr>
              <w:spacing w:line="320" w:lineRule="atLeast"/>
              <w:rPr>
                <w:rFonts w:ascii="华文宋体" w:hAnsi="华文宋体" w:eastAsia="华文宋体"/>
              </w:rPr>
            </w:pPr>
          </w:p>
        </w:tc>
        <w:tc>
          <w:tcPr>
            <w:tcW w:w="1560" w:type="dxa"/>
            <w:vMerge w:val="continue"/>
            <w:tcBorders>
              <w:top w:val="single" w:color="auto" w:sz="4" w:space="0"/>
              <w:left w:val="single" w:color="auto" w:sz="4" w:space="0"/>
              <w:bottom w:val="single" w:color="000000" w:sz="4" w:space="0"/>
              <w:right w:val="single" w:color="auto" w:sz="4" w:space="0"/>
            </w:tcBorders>
            <w:vAlign w:val="center"/>
          </w:tcPr>
          <w:p w14:paraId="41C2B5E0">
            <w:pPr>
              <w:spacing w:line="320" w:lineRule="atLeast"/>
              <w:jc w:val="center"/>
              <w:rPr>
                <w:rFonts w:ascii="华文宋体" w:hAnsi="华文宋体" w:eastAsia="华文宋体"/>
                <w:color w:val="000000"/>
              </w:rPr>
            </w:pPr>
          </w:p>
        </w:tc>
        <w:tc>
          <w:tcPr>
            <w:tcW w:w="1276" w:type="dxa"/>
            <w:tcBorders>
              <w:top w:val="nil"/>
              <w:left w:val="nil"/>
              <w:bottom w:val="single" w:color="auto" w:sz="4" w:space="0"/>
              <w:right w:val="single" w:color="auto" w:sz="4" w:space="0"/>
            </w:tcBorders>
            <w:shd w:val="clear" w:color="auto" w:fill="auto"/>
            <w:vAlign w:val="center"/>
          </w:tcPr>
          <w:p w14:paraId="38454CAD">
            <w:pPr>
              <w:spacing w:line="320" w:lineRule="atLeast"/>
              <w:jc w:val="center"/>
              <w:rPr>
                <w:rFonts w:ascii="华文宋体" w:hAnsi="华文宋体" w:eastAsia="华文宋体"/>
              </w:rPr>
            </w:pPr>
            <w:r>
              <w:rPr>
                <w:rFonts w:hint="eastAsia" w:ascii="华文宋体" w:hAnsi="华文宋体" w:eastAsia="华文宋体"/>
              </w:rPr>
              <w:t>渝财产业[2020]73号</w:t>
            </w:r>
          </w:p>
        </w:tc>
        <w:tc>
          <w:tcPr>
            <w:tcW w:w="1275" w:type="dxa"/>
            <w:tcBorders>
              <w:top w:val="nil"/>
              <w:left w:val="nil"/>
              <w:bottom w:val="single" w:color="auto" w:sz="4" w:space="0"/>
              <w:right w:val="single" w:color="auto" w:sz="4" w:space="0"/>
            </w:tcBorders>
            <w:shd w:val="clear" w:color="auto" w:fill="auto"/>
            <w:vAlign w:val="center"/>
          </w:tcPr>
          <w:p w14:paraId="173C463D">
            <w:pPr>
              <w:spacing w:line="320" w:lineRule="atLeast"/>
              <w:jc w:val="center"/>
              <w:rPr>
                <w:rFonts w:ascii="华文宋体" w:hAnsi="华文宋体" w:eastAsia="华文宋体"/>
              </w:rPr>
            </w:pPr>
            <w:r>
              <w:rPr>
                <w:rFonts w:hint="eastAsia" w:ascii="华文宋体" w:hAnsi="华文宋体" w:eastAsia="华文宋体"/>
              </w:rPr>
              <w:t>渝财产业[2020]87号</w:t>
            </w:r>
          </w:p>
        </w:tc>
        <w:tc>
          <w:tcPr>
            <w:tcW w:w="1560" w:type="dxa"/>
            <w:tcBorders>
              <w:top w:val="nil"/>
              <w:left w:val="nil"/>
              <w:bottom w:val="single" w:color="auto" w:sz="4" w:space="0"/>
              <w:right w:val="single" w:color="auto" w:sz="4" w:space="0"/>
            </w:tcBorders>
            <w:shd w:val="clear" w:color="auto" w:fill="auto"/>
            <w:vAlign w:val="center"/>
          </w:tcPr>
          <w:p w14:paraId="1FE908A9">
            <w:pPr>
              <w:spacing w:line="320" w:lineRule="atLeast"/>
              <w:jc w:val="center"/>
              <w:rPr>
                <w:rFonts w:ascii="华文宋体" w:hAnsi="华文宋体" w:eastAsia="华文宋体"/>
              </w:rPr>
            </w:pPr>
            <w:r>
              <w:rPr>
                <w:rFonts w:hint="eastAsia" w:ascii="华文宋体" w:hAnsi="华文宋体" w:eastAsia="华文宋体"/>
              </w:rPr>
              <w:t>渝财产业[2020]195号</w:t>
            </w:r>
          </w:p>
        </w:tc>
        <w:tc>
          <w:tcPr>
            <w:tcW w:w="850" w:type="dxa"/>
            <w:tcBorders>
              <w:top w:val="nil"/>
              <w:left w:val="nil"/>
              <w:bottom w:val="single" w:color="auto" w:sz="4" w:space="0"/>
              <w:right w:val="single" w:color="auto" w:sz="4" w:space="0"/>
            </w:tcBorders>
            <w:shd w:val="clear" w:color="auto" w:fill="auto"/>
            <w:vAlign w:val="center"/>
          </w:tcPr>
          <w:p w14:paraId="783888E8">
            <w:pPr>
              <w:spacing w:line="320" w:lineRule="atLeast"/>
              <w:jc w:val="center"/>
              <w:rPr>
                <w:rFonts w:ascii="华文宋体" w:hAnsi="华文宋体" w:eastAsia="华文宋体"/>
              </w:rPr>
            </w:pPr>
            <w:r>
              <w:rPr>
                <w:rFonts w:hint="eastAsia" w:ascii="华文宋体" w:hAnsi="华文宋体" w:eastAsia="华文宋体"/>
              </w:rPr>
              <w:t>预算金额</w:t>
            </w:r>
          </w:p>
        </w:tc>
        <w:tc>
          <w:tcPr>
            <w:tcW w:w="992" w:type="dxa"/>
            <w:tcBorders>
              <w:top w:val="nil"/>
              <w:left w:val="nil"/>
              <w:bottom w:val="single" w:color="auto" w:sz="4" w:space="0"/>
              <w:right w:val="single" w:color="auto" w:sz="4" w:space="0"/>
            </w:tcBorders>
            <w:shd w:val="clear" w:color="auto" w:fill="auto"/>
            <w:vAlign w:val="center"/>
          </w:tcPr>
          <w:p w14:paraId="2DB34311">
            <w:pPr>
              <w:spacing w:line="320" w:lineRule="atLeast"/>
              <w:jc w:val="center"/>
              <w:rPr>
                <w:rFonts w:ascii="华文宋体" w:hAnsi="华文宋体" w:eastAsia="华文宋体"/>
              </w:rPr>
            </w:pPr>
            <w:r>
              <w:rPr>
                <w:rFonts w:hint="eastAsia" w:ascii="华文宋体" w:hAnsi="华文宋体" w:eastAsia="华文宋体"/>
              </w:rPr>
              <w:t>定点储备项目级别</w:t>
            </w:r>
          </w:p>
        </w:tc>
        <w:tc>
          <w:tcPr>
            <w:tcW w:w="709" w:type="dxa"/>
            <w:tcBorders>
              <w:top w:val="nil"/>
              <w:left w:val="nil"/>
              <w:bottom w:val="nil"/>
              <w:right w:val="single" w:color="auto" w:sz="4" w:space="0"/>
            </w:tcBorders>
            <w:shd w:val="clear" w:color="auto" w:fill="auto"/>
            <w:vAlign w:val="center"/>
          </w:tcPr>
          <w:p w14:paraId="259F51F2">
            <w:pPr>
              <w:spacing w:line="320" w:lineRule="atLeast"/>
              <w:jc w:val="center"/>
              <w:rPr>
                <w:rFonts w:ascii="华文宋体" w:hAnsi="华文宋体" w:eastAsia="华文宋体"/>
              </w:rPr>
            </w:pPr>
            <w:r>
              <w:rPr>
                <w:rFonts w:hint="eastAsia" w:ascii="华文宋体" w:hAnsi="华文宋体" w:eastAsia="华文宋体"/>
              </w:rPr>
              <w:t>资金来源</w:t>
            </w:r>
          </w:p>
        </w:tc>
      </w:tr>
      <w:tr w14:paraId="794517C2">
        <w:tblPrEx>
          <w:tblCellMar>
            <w:top w:w="0" w:type="dxa"/>
            <w:left w:w="108" w:type="dxa"/>
            <w:bottom w:w="0" w:type="dxa"/>
            <w:right w:w="108" w:type="dxa"/>
          </w:tblCellMar>
        </w:tblPrEx>
        <w:trPr>
          <w:trHeight w:val="1088" w:hRule="atLeast"/>
        </w:trPr>
        <w:tc>
          <w:tcPr>
            <w:tcW w:w="440" w:type="dxa"/>
            <w:tcBorders>
              <w:top w:val="nil"/>
              <w:left w:val="single" w:color="auto" w:sz="4" w:space="0"/>
              <w:bottom w:val="single" w:color="auto" w:sz="4" w:space="0"/>
              <w:right w:val="single" w:color="auto" w:sz="4" w:space="0"/>
            </w:tcBorders>
            <w:shd w:val="clear" w:color="auto" w:fill="auto"/>
            <w:vAlign w:val="center"/>
          </w:tcPr>
          <w:p w14:paraId="1D4F974D">
            <w:pPr>
              <w:spacing w:line="320" w:lineRule="atLeast"/>
              <w:rPr>
                <w:rFonts w:ascii="华文宋体" w:hAnsi="华文宋体" w:eastAsia="华文宋体"/>
              </w:rPr>
            </w:pPr>
            <w:r>
              <w:rPr>
                <w:rFonts w:hint="eastAsia" w:ascii="华文宋体" w:hAnsi="华文宋体" w:eastAsia="华文宋体"/>
              </w:rPr>
              <w:t>1</w:t>
            </w:r>
          </w:p>
        </w:tc>
        <w:tc>
          <w:tcPr>
            <w:tcW w:w="1560" w:type="dxa"/>
            <w:tcBorders>
              <w:top w:val="nil"/>
              <w:left w:val="nil"/>
              <w:bottom w:val="single" w:color="auto" w:sz="4" w:space="0"/>
              <w:right w:val="single" w:color="auto" w:sz="4" w:space="0"/>
            </w:tcBorders>
            <w:shd w:val="clear" w:color="auto" w:fill="auto"/>
            <w:vAlign w:val="center"/>
          </w:tcPr>
          <w:p w14:paraId="36DD1746">
            <w:pPr>
              <w:spacing w:line="320" w:lineRule="atLeast"/>
              <w:jc w:val="center"/>
              <w:rPr>
                <w:rFonts w:ascii="华文宋体" w:hAnsi="华文宋体" w:eastAsia="华文宋体"/>
                <w:color w:val="000000"/>
              </w:rPr>
            </w:pPr>
            <w:r>
              <w:rPr>
                <w:rFonts w:hint="eastAsia" w:ascii="华文宋体" w:hAnsi="华文宋体" w:eastAsia="华文宋体"/>
                <w:color w:val="000000"/>
              </w:rPr>
              <w:t>南岸区基层医疗卫生服务管理中心</w:t>
            </w:r>
          </w:p>
        </w:tc>
        <w:tc>
          <w:tcPr>
            <w:tcW w:w="1276" w:type="dxa"/>
            <w:tcBorders>
              <w:top w:val="nil"/>
              <w:left w:val="nil"/>
              <w:bottom w:val="single" w:color="auto" w:sz="4" w:space="0"/>
              <w:right w:val="single" w:color="auto" w:sz="4" w:space="0"/>
            </w:tcBorders>
            <w:shd w:val="clear" w:color="auto" w:fill="auto"/>
            <w:vAlign w:val="center"/>
          </w:tcPr>
          <w:p w14:paraId="4181C691">
            <w:pPr>
              <w:spacing w:line="320" w:lineRule="atLeast"/>
              <w:jc w:val="center"/>
              <w:rPr>
                <w:rFonts w:ascii="华文宋体" w:hAnsi="华文宋体" w:eastAsia="华文宋体"/>
              </w:rPr>
            </w:pPr>
            <w:r>
              <w:rPr>
                <w:rFonts w:hint="eastAsia" w:ascii="华文宋体" w:hAnsi="华文宋体" w:eastAsia="华文宋体"/>
              </w:rPr>
              <w:t>196.00</w:t>
            </w:r>
          </w:p>
        </w:tc>
        <w:tc>
          <w:tcPr>
            <w:tcW w:w="1275" w:type="dxa"/>
            <w:tcBorders>
              <w:top w:val="nil"/>
              <w:left w:val="nil"/>
              <w:bottom w:val="single" w:color="auto" w:sz="4" w:space="0"/>
              <w:right w:val="single" w:color="auto" w:sz="4" w:space="0"/>
            </w:tcBorders>
            <w:shd w:val="clear" w:color="auto" w:fill="auto"/>
            <w:vAlign w:val="center"/>
          </w:tcPr>
          <w:p w14:paraId="56A5D828">
            <w:pPr>
              <w:spacing w:line="320" w:lineRule="atLeast"/>
              <w:jc w:val="center"/>
              <w:rPr>
                <w:rFonts w:ascii="华文宋体" w:hAnsi="华文宋体" w:eastAsia="华文宋体"/>
              </w:rPr>
            </w:pPr>
            <w:r>
              <w:rPr>
                <w:rFonts w:hint="eastAsia" w:ascii="华文宋体" w:hAnsi="华文宋体" w:eastAsia="华文宋体"/>
              </w:rPr>
              <w:t>0.00</w:t>
            </w:r>
          </w:p>
        </w:tc>
        <w:tc>
          <w:tcPr>
            <w:tcW w:w="1560" w:type="dxa"/>
            <w:tcBorders>
              <w:top w:val="nil"/>
              <w:left w:val="nil"/>
              <w:bottom w:val="single" w:color="auto" w:sz="4" w:space="0"/>
              <w:right w:val="single" w:color="auto" w:sz="4" w:space="0"/>
            </w:tcBorders>
            <w:shd w:val="clear" w:color="auto" w:fill="auto"/>
            <w:vAlign w:val="center"/>
          </w:tcPr>
          <w:p w14:paraId="3FBEBF06">
            <w:pPr>
              <w:spacing w:line="320" w:lineRule="atLeast"/>
              <w:jc w:val="center"/>
              <w:rPr>
                <w:rFonts w:ascii="华文宋体" w:hAnsi="华文宋体" w:eastAsia="华文宋体"/>
              </w:rPr>
            </w:pPr>
            <w:r>
              <w:rPr>
                <w:rFonts w:hint="eastAsia" w:ascii="华文宋体" w:hAnsi="华文宋体" w:eastAsia="华文宋体"/>
              </w:rPr>
              <w:t>0.00</w:t>
            </w:r>
          </w:p>
        </w:tc>
        <w:tc>
          <w:tcPr>
            <w:tcW w:w="850" w:type="dxa"/>
            <w:tcBorders>
              <w:top w:val="nil"/>
              <w:left w:val="nil"/>
              <w:bottom w:val="single" w:color="auto" w:sz="4" w:space="0"/>
              <w:right w:val="single" w:color="auto" w:sz="4" w:space="0"/>
            </w:tcBorders>
            <w:shd w:val="clear" w:color="auto" w:fill="auto"/>
            <w:vAlign w:val="center"/>
          </w:tcPr>
          <w:p w14:paraId="566B088A">
            <w:pPr>
              <w:spacing w:line="320" w:lineRule="atLeast"/>
              <w:jc w:val="center"/>
              <w:rPr>
                <w:rFonts w:ascii="华文宋体" w:hAnsi="华文宋体" w:eastAsia="华文宋体"/>
              </w:rPr>
            </w:pPr>
            <w:r>
              <w:rPr>
                <w:rFonts w:hint="eastAsia" w:ascii="华文宋体" w:hAnsi="华文宋体" w:eastAsia="华文宋体"/>
              </w:rPr>
              <w:t>196.00</w:t>
            </w:r>
          </w:p>
        </w:tc>
        <w:tc>
          <w:tcPr>
            <w:tcW w:w="992" w:type="dxa"/>
            <w:tcBorders>
              <w:top w:val="nil"/>
              <w:left w:val="nil"/>
              <w:bottom w:val="single" w:color="auto" w:sz="4" w:space="0"/>
              <w:right w:val="single" w:color="auto" w:sz="4" w:space="0"/>
            </w:tcBorders>
            <w:shd w:val="clear" w:color="auto" w:fill="auto"/>
            <w:vAlign w:val="center"/>
          </w:tcPr>
          <w:p w14:paraId="7FC16E4D">
            <w:pPr>
              <w:spacing w:line="320" w:lineRule="atLeast"/>
              <w:jc w:val="center"/>
              <w:rPr>
                <w:rFonts w:ascii="华文宋体" w:hAnsi="华文宋体" w:eastAsia="华文宋体"/>
              </w:rPr>
            </w:pPr>
            <w:r>
              <w:rPr>
                <w:rFonts w:hint="eastAsia" w:ascii="华文宋体" w:hAnsi="华文宋体" w:eastAsia="华文宋体"/>
              </w:rPr>
              <w:t>区县定点储备补助</w:t>
            </w:r>
          </w:p>
        </w:tc>
        <w:tc>
          <w:tcPr>
            <w:tcW w:w="709" w:type="dxa"/>
            <w:tcBorders>
              <w:top w:val="single" w:color="auto" w:sz="4" w:space="0"/>
              <w:left w:val="nil"/>
              <w:bottom w:val="single" w:color="auto" w:sz="4" w:space="0"/>
              <w:right w:val="single" w:color="auto" w:sz="4" w:space="0"/>
            </w:tcBorders>
            <w:shd w:val="clear" w:color="auto" w:fill="auto"/>
            <w:vAlign w:val="center"/>
          </w:tcPr>
          <w:p w14:paraId="768EFCCC">
            <w:pPr>
              <w:spacing w:line="320" w:lineRule="atLeast"/>
              <w:jc w:val="center"/>
              <w:rPr>
                <w:rFonts w:ascii="华文宋体" w:hAnsi="华文宋体" w:eastAsia="华文宋体"/>
              </w:rPr>
            </w:pPr>
            <w:r>
              <w:rPr>
                <w:rFonts w:hint="eastAsia" w:ascii="华文宋体" w:hAnsi="华文宋体" w:eastAsia="华文宋体"/>
              </w:rPr>
              <w:t>财政专项</w:t>
            </w:r>
          </w:p>
        </w:tc>
      </w:tr>
      <w:tr w14:paraId="3B77D1C9">
        <w:tblPrEx>
          <w:tblCellMar>
            <w:top w:w="0" w:type="dxa"/>
            <w:left w:w="108" w:type="dxa"/>
            <w:bottom w:w="0" w:type="dxa"/>
            <w:right w:w="108" w:type="dxa"/>
          </w:tblCellMar>
        </w:tblPrEx>
        <w:trPr>
          <w:trHeight w:val="600" w:hRule="atLeast"/>
        </w:trPr>
        <w:tc>
          <w:tcPr>
            <w:tcW w:w="440" w:type="dxa"/>
            <w:tcBorders>
              <w:top w:val="nil"/>
              <w:left w:val="single" w:color="auto" w:sz="4" w:space="0"/>
              <w:bottom w:val="single" w:color="auto" w:sz="4" w:space="0"/>
              <w:right w:val="single" w:color="auto" w:sz="4" w:space="0"/>
            </w:tcBorders>
            <w:shd w:val="clear" w:color="auto" w:fill="auto"/>
            <w:vAlign w:val="center"/>
          </w:tcPr>
          <w:p w14:paraId="0B229E84">
            <w:pPr>
              <w:spacing w:line="320" w:lineRule="atLeast"/>
              <w:rPr>
                <w:rFonts w:ascii="华文宋体" w:hAnsi="华文宋体" w:eastAsia="华文宋体"/>
              </w:rPr>
            </w:pPr>
            <w:r>
              <w:rPr>
                <w:rFonts w:hint="eastAsia" w:ascii="华文宋体" w:hAnsi="华文宋体" w:eastAsia="华文宋体"/>
              </w:rPr>
              <w:t>2</w:t>
            </w:r>
          </w:p>
        </w:tc>
        <w:tc>
          <w:tcPr>
            <w:tcW w:w="1560" w:type="dxa"/>
            <w:tcBorders>
              <w:top w:val="nil"/>
              <w:left w:val="nil"/>
              <w:bottom w:val="nil"/>
              <w:right w:val="single" w:color="auto" w:sz="4" w:space="0"/>
            </w:tcBorders>
            <w:shd w:val="clear" w:color="auto" w:fill="auto"/>
            <w:vAlign w:val="center"/>
          </w:tcPr>
          <w:p w14:paraId="67657D8D">
            <w:pPr>
              <w:spacing w:line="320" w:lineRule="atLeast"/>
              <w:jc w:val="center"/>
              <w:rPr>
                <w:rFonts w:ascii="华文宋体" w:hAnsi="华文宋体" w:eastAsia="华文宋体"/>
                <w:color w:val="000000"/>
              </w:rPr>
            </w:pPr>
            <w:r>
              <w:rPr>
                <w:rFonts w:hint="eastAsia" w:ascii="华文宋体" w:hAnsi="华文宋体" w:eastAsia="华文宋体"/>
                <w:color w:val="000000"/>
              </w:rPr>
              <w:t>国药控股重庆医疗器械公司</w:t>
            </w:r>
          </w:p>
        </w:tc>
        <w:tc>
          <w:tcPr>
            <w:tcW w:w="1276" w:type="dxa"/>
            <w:tcBorders>
              <w:top w:val="nil"/>
              <w:left w:val="nil"/>
              <w:bottom w:val="nil"/>
              <w:right w:val="single" w:color="auto" w:sz="4" w:space="0"/>
            </w:tcBorders>
            <w:shd w:val="clear" w:color="auto" w:fill="auto"/>
            <w:vAlign w:val="center"/>
          </w:tcPr>
          <w:p w14:paraId="5C6F1895">
            <w:pPr>
              <w:spacing w:line="320" w:lineRule="atLeast"/>
              <w:jc w:val="center"/>
              <w:rPr>
                <w:rFonts w:ascii="华文宋体" w:hAnsi="华文宋体" w:eastAsia="华文宋体"/>
              </w:rPr>
            </w:pPr>
            <w:r>
              <w:rPr>
                <w:rFonts w:hint="eastAsia" w:ascii="华文宋体" w:hAnsi="华文宋体" w:eastAsia="华文宋体"/>
              </w:rPr>
              <w:t>85.00</w:t>
            </w:r>
          </w:p>
        </w:tc>
        <w:tc>
          <w:tcPr>
            <w:tcW w:w="1275" w:type="dxa"/>
            <w:tcBorders>
              <w:top w:val="nil"/>
              <w:left w:val="nil"/>
              <w:bottom w:val="nil"/>
              <w:right w:val="single" w:color="auto" w:sz="4" w:space="0"/>
            </w:tcBorders>
            <w:shd w:val="clear" w:color="auto" w:fill="auto"/>
            <w:vAlign w:val="center"/>
          </w:tcPr>
          <w:p w14:paraId="204F6F9E">
            <w:pPr>
              <w:spacing w:line="320" w:lineRule="atLeast"/>
              <w:jc w:val="center"/>
              <w:rPr>
                <w:rFonts w:ascii="华文宋体" w:hAnsi="华文宋体" w:eastAsia="华文宋体"/>
              </w:rPr>
            </w:pPr>
            <w:r>
              <w:rPr>
                <w:rFonts w:hint="eastAsia" w:ascii="华文宋体" w:hAnsi="华文宋体" w:eastAsia="华文宋体"/>
              </w:rPr>
              <w:t>0.00</w:t>
            </w:r>
          </w:p>
        </w:tc>
        <w:tc>
          <w:tcPr>
            <w:tcW w:w="1560" w:type="dxa"/>
            <w:tcBorders>
              <w:top w:val="nil"/>
              <w:left w:val="nil"/>
              <w:bottom w:val="nil"/>
              <w:right w:val="single" w:color="auto" w:sz="4" w:space="0"/>
            </w:tcBorders>
            <w:shd w:val="clear" w:color="auto" w:fill="auto"/>
            <w:vAlign w:val="center"/>
          </w:tcPr>
          <w:p w14:paraId="654AB3ED">
            <w:pPr>
              <w:spacing w:line="320" w:lineRule="atLeast"/>
              <w:jc w:val="center"/>
              <w:rPr>
                <w:rFonts w:ascii="华文宋体" w:hAnsi="华文宋体" w:eastAsia="华文宋体"/>
              </w:rPr>
            </w:pPr>
            <w:r>
              <w:rPr>
                <w:rFonts w:hint="eastAsia" w:ascii="华文宋体" w:hAnsi="华文宋体" w:eastAsia="华文宋体"/>
              </w:rPr>
              <w:t>-29.00</w:t>
            </w:r>
          </w:p>
        </w:tc>
        <w:tc>
          <w:tcPr>
            <w:tcW w:w="850" w:type="dxa"/>
            <w:tcBorders>
              <w:top w:val="nil"/>
              <w:left w:val="nil"/>
              <w:bottom w:val="nil"/>
              <w:right w:val="single" w:color="auto" w:sz="4" w:space="0"/>
            </w:tcBorders>
            <w:shd w:val="clear" w:color="auto" w:fill="auto"/>
            <w:vAlign w:val="center"/>
          </w:tcPr>
          <w:p w14:paraId="07A97802">
            <w:pPr>
              <w:spacing w:line="320" w:lineRule="atLeast"/>
              <w:jc w:val="center"/>
              <w:rPr>
                <w:rFonts w:ascii="华文宋体" w:hAnsi="华文宋体" w:eastAsia="华文宋体"/>
              </w:rPr>
            </w:pPr>
            <w:r>
              <w:rPr>
                <w:rFonts w:hint="eastAsia" w:ascii="华文宋体" w:hAnsi="华文宋体" w:eastAsia="华文宋体"/>
              </w:rPr>
              <w:t>56.00</w:t>
            </w:r>
          </w:p>
        </w:tc>
        <w:tc>
          <w:tcPr>
            <w:tcW w:w="992" w:type="dxa"/>
            <w:tcBorders>
              <w:top w:val="nil"/>
              <w:left w:val="nil"/>
              <w:bottom w:val="nil"/>
              <w:right w:val="single" w:color="auto" w:sz="4" w:space="0"/>
            </w:tcBorders>
            <w:shd w:val="clear" w:color="auto" w:fill="auto"/>
            <w:vAlign w:val="center"/>
          </w:tcPr>
          <w:p w14:paraId="315F3B33">
            <w:pPr>
              <w:spacing w:line="320" w:lineRule="atLeast"/>
              <w:jc w:val="center"/>
              <w:rPr>
                <w:rFonts w:ascii="华文宋体" w:hAnsi="华文宋体" w:eastAsia="华文宋体"/>
              </w:rPr>
            </w:pPr>
            <w:r>
              <w:rPr>
                <w:rFonts w:hint="eastAsia" w:ascii="华文宋体" w:hAnsi="华文宋体" w:eastAsia="华文宋体"/>
              </w:rPr>
              <w:t>市级定点储备补助</w:t>
            </w:r>
          </w:p>
        </w:tc>
        <w:tc>
          <w:tcPr>
            <w:tcW w:w="709" w:type="dxa"/>
            <w:tcBorders>
              <w:top w:val="nil"/>
              <w:left w:val="nil"/>
              <w:bottom w:val="single" w:color="auto" w:sz="4" w:space="0"/>
              <w:right w:val="single" w:color="auto" w:sz="4" w:space="0"/>
            </w:tcBorders>
            <w:shd w:val="clear" w:color="auto" w:fill="auto"/>
            <w:vAlign w:val="center"/>
          </w:tcPr>
          <w:p w14:paraId="7644E9DD">
            <w:pPr>
              <w:spacing w:line="320" w:lineRule="atLeast"/>
              <w:jc w:val="center"/>
              <w:rPr>
                <w:rFonts w:ascii="华文宋体" w:hAnsi="华文宋体" w:eastAsia="华文宋体"/>
              </w:rPr>
            </w:pPr>
            <w:r>
              <w:rPr>
                <w:rFonts w:hint="eastAsia" w:ascii="华文宋体" w:hAnsi="华文宋体" w:eastAsia="华文宋体"/>
              </w:rPr>
              <w:t>财政专项</w:t>
            </w:r>
          </w:p>
        </w:tc>
      </w:tr>
      <w:tr w14:paraId="688A7F86">
        <w:tblPrEx>
          <w:tblCellMar>
            <w:top w:w="0" w:type="dxa"/>
            <w:left w:w="108" w:type="dxa"/>
            <w:bottom w:w="0" w:type="dxa"/>
            <w:right w:w="108" w:type="dxa"/>
          </w:tblCellMar>
        </w:tblPrEx>
        <w:trPr>
          <w:trHeight w:val="1103" w:hRule="atLeast"/>
        </w:trPr>
        <w:tc>
          <w:tcPr>
            <w:tcW w:w="440" w:type="dxa"/>
            <w:tcBorders>
              <w:top w:val="nil"/>
              <w:left w:val="single" w:color="auto" w:sz="4" w:space="0"/>
              <w:bottom w:val="single" w:color="auto" w:sz="4" w:space="0"/>
              <w:right w:val="single" w:color="auto" w:sz="4" w:space="0"/>
            </w:tcBorders>
            <w:shd w:val="clear" w:color="auto" w:fill="auto"/>
            <w:vAlign w:val="center"/>
          </w:tcPr>
          <w:p w14:paraId="48910502">
            <w:pPr>
              <w:spacing w:line="320" w:lineRule="atLeast"/>
              <w:rPr>
                <w:rFonts w:ascii="华文宋体" w:hAnsi="华文宋体" w:eastAsia="华文宋体"/>
              </w:rPr>
            </w:pPr>
            <w:r>
              <w:rPr>
                <w:rFonts w:hint="eastAsia" w:ascii="华文宋体" w:hAnsi="华文宋体" w:eastAsia="华文宋体"/>
              </w:rPr>
              <w:t>3</w:t>
            </w:r>
          </w:p>
        </w:tc>
        <w:tc>
          <w:tcPr>
            <w:tcW w:w="1560" w:type="dxa"/>
            <w:tcBorders>
              <w:top w:val="single" w:color="auto" w:sz="4" w:space="0"/>
              <w:left w:val="nil"/>
              <w:bottom w:val="nil"/>
              <w:right w:val="single" w:color="auto" w:sz="4" w:space="0"/>
            </w:tcBorders>
            <w:shd w:val="clear" w:color="auto" w:fill="auto"/>
            <w:vAlign w:val="center"/>
          </w:tcPr>
          <w:p w14:paraId="6DC363C3">
            <w:pPr>
              <w:spacing w:line="320" w:lineRule="atLeast"/>
              <w:jc w:val="center"/>
              <w:rPr>
                <w:rFonts w:ascii="华文宋体" w:hAnsi="华文宋体" w:eastAsia="华文宋体"/>
                <w:color w:val="000000"/>
              </w:rPr>
            </w:pPr>
            <w:r>
              <w:rPr>
                <w:rFonts w:hint="eastAsia" w:ascii="华文宋体" w:hAnsi="华文宋体" w:eastAsia="华文宋体"/>
                <w:color w:val="000000"/>
              </w:rPr>
              <w:t>国药控制重庆泰民医药公司</w:t>
            </w:r>
          </w:p>
        </w:tc>
        <w:tc>
          <w:tcPr>
            <w:tcW w:w="1276" w:type="dxa"/>
            <w:tcBorders>
              <w:top w:val="single" w:color="auto" w:sz="4" w:space="0"/>
              <w:left w:val="nil"/>
              <w:bottom w:val="nil"/>
              <w:right w:val="single" w:color="auto" w:sz="4" w:space="0"/>
            </w:tcBorders>
            <w:shd w:val="clear" w:color="auto" w:fill="auto"/>
            <w:vAlign w:val="center"/>
          </w:tcPr>
          <w:p w14:paraId="2995AED0">
            <w:pPr>
              <w:spacing w:line="320" w:lineRule="atLeast"/>
              <w:jc w:val="center"/>
              <w:rPr>
                <w:rFonts w:ascii="华文宋体" w:hAnsi="华文宋体" w:eastAsia="华文宋体"/>
              </w:rPr>
            </w:pPr>
            <w:r>
              <w:rPr>
                <w:rFonts w:hint="eastAsia" w:ascii="华文宋体" w:hAnsi="华文宋体" w:eastAsia="华文宋体"/>
              </w:rPr>
              <w:t>0.00</w:t>
            </w:r>
          </w:p>
        </w:tc>
        <w:tc>
          <w:tcPr>
            <w:tcW w:w="1275" w:type="dxa"/>
            <w:tcBorders>
              <w:top w:val="single" w:color="auto" w:sz="4" w:space="0"/>
              <w:left w:val="nil"/>
              <w:bottom w:val="nil"/>
              <w:right w:val="single" w:color="auto" w:sz="4" w:space="0"/>
            </w:tcBorders>
            <w:shd w:val="clear" w:color="auto" w:fill="auto"/>
            <w:vAlign w:val="center"/>
          </w:tcPr>
          <w:p w14:paraId="63ADA586">
            <w:pPr>
              <w:spacing w:line="320" w:lineRule="atLeast"/>
              <w:jc w:val="center"/>
              <w:rPr>
                <w:rFonts w:ascii="华文宋体" w:hAnsi="华文宋体" w:eastAsia="华文宋体"/>
              </w:rPr>
            </w:pPr>
            <w:r>
              <w:rPr>
                <w:rFonts w:hint="eastAsia" w:ascii="华文宋体" w:hAnsi="华文宋体" w:eastAsia="华文宋体"/>
              </w:rPr>
              <w:t>701.00</w:t>
            </w:r>
          </w:p>
        </w:tc>
        <w:tc>
          <w:tcPr>
            <w:tcW w:w="1560" w:type="dxa"/>
            <w:tcBorders>
              <w:top w:val="single" w:color="auto" w:sz="4" w:space="0"/>
              <w:left w:val="nil"/>
              <w:bottom w:val="nil"/>
              <w:right w:val="single" w:color="auto" w:sz="4" w:space="0"/>
            </w:tcBorders>
            <w:shd w:val="clear" w:color="auto" w:fill="auto"/>
            <w:vAlign w:val="center"/>
          </w:tcPr>
          <w:p w14:paraId="0DE4E70F">
            <w:pPr>
              <w:spacing w:line="320" w:lineRule="atLeast"/>
              <w:jc w:val="center"/>
              <w:rPr>
                <w:rFonts w:ascii="华文宋体" w:hAnsi="华文宋体" w:eastAsia="华文宋体"/>
              </w:rPr>
            </w:pPr>
            <w:r>
              <w:rPr>
                <w:rFonts w:hint="eastAsia" w:ascii="华文宋体" w:hAnsi="华文宋体" w:eastAsia="华文宋体"/>
              </w:rPr>
              <w:t>-87.40</w:t>
            </w:r>
          </w:p>
        </w:tc>
        <w:tc>
          <w:tcPr>
            <w:tcW w:w="850" w:type="dxa"/>
            <w:tcBorders>
              <w:top w:val="single" w:color="auto" w:sz="4" w:space="0"/>
              <w:left w:val="nil"/>
              <w:bottom w:val="nil"/>
              <w:right w:val="single" w:color="auto" w:sz="4" w:space="0"/>
            </w:tcBorders>
            <w:shd w:val="clear" w:color="auto" w:fill="auto"/>
            <w:vAlign w:val="center"/>
          </w:tcPr>
          <w:p w14:paraId="57147064">
            <w:pPr>
              <w:spacing w:line="320" w:lineRule="atLeast"/>
              <w:jc w:val="center"/>
              <w:rPr>
                <w:rFonts w:ascii="华文宋体" w:hAnsi="华文宋体" w:eastAsia="华文宋体"/>
              </w:rPr>
            </w:pPr>
            <w:r>
              <w:rPr>
                <w:rFonts w:hint="eastAsia" w:ascii="华文宋体" w:hAnsi="华文宋体" w:eastAsia="华文宋体"/>
              </w:rPr>
              <w:t>613.60</w:t>
            </w:r>
          </w:p>
        </w:tc>
        <w:tc>
          <w:tcPr>
            <w:tcW w:w="992" w:type="dxa"/>
            <w:tcBorders>
              <w:top w:val="single" w:color="auto" w:sz="4" w:space="0"/>
              <w:left w:val="nil"/>
              <w:bottom w:val="nil"/>
              <w:right w:val="single" w:color="auto" w:sz="4" w:space="0"/>
            </w:tcBorders>
            <w:shd w:val="clear" w:color="auto" w:fill="auto"/>
            <w:vAlign w:val="center"/>
          </w:tcPr>
          <w:p w14:paraId="1080315B">
            <w:pPr>
              <w:spacing w:line="320" w:lineRule="atLeast"/>
              <w:jc w:val="center"/>
              <w:rPr>
                <w:rFonts w:ascii="华文宋体" w:hAnsi="华文宋体" w:eastAsia="华文宋体"/>
              </w:rPr>
            </w:pPr>
            <w:r>
              <w:rPr>
                <w:rFonts w:hint="eastAsia" w:ascii="华文宋体" w:hAnsi="华文宋体" w:eastAsia="华文宋体"/>
              </w:rPr>
              <w:t>市级定点储备补助</w:t>
            </w:r>
          </w:p>
        </w:tc>
        <w:tc>
          <w:tcPr>
            <w:tcW w:w="709" w:type="dxa"/>
            <w:tcBorders>
              <w:top w:val="nil"/>
              <w:left w:val="nil"/>
              <w:bottom w:val="single" w:color="auto" w:sz="4" w:space="0"/>
              <w:right w:val="single" w:color="auto" w:sz="4" w:space="0"/>
            </w:tcBorders>
            <w:shd w:val="clear" w:color="auto" w:fill="auto"/>
            <w:vAlign w:val="center"/>
          </w:tcPr>
          <w:p w14:paraId="1D19173B">
            <w:pPr>
              <w:spacing w:line="320" w:lineRule="atLeast"/>
              <w:jc w:val="center"/>
              <w:rPr>
                <w:rFonts w:ascii="华文宋体" w:hAnsi="华文宋体" w:eastAsia="华文宋体"/>
              </w:rPr>
            </w:pPr>
            <w:r>
              <w:rPr>
                <w:rFonts w:hint="eastAsia" w:ascii="华文宋体" w:hAnsi="华文宋体" w:eastAsia="华文宋体"/>
              </w:rPr>
              <w:t>财政专项</w:t>
            </w:r>
          </w:p>
        </w:tc>
      </w:tr>
      <w:tr w14:paraId="6CDDC694">
        <w:tblPrEx>
          <w:tblCellMar>
            <w:top w:w="0" w:type="dxa"/>
            <w:left w:w="108" w:type="dxa"/>
            <w:bottom w:w="0" w:type="dxa"/>
            <w:right w:w="108" w:type="dxa"/>
          </w:tblCellMar>
        </w:tblPrEx>
        <w:trPr>
          <w:trHeight w:val="708" w:hRule="atLeast"/>
        </w:trPr>
        <w:tc>
          <w:tcPr>
            <w:tcW w:w="440" w:type="dxa"/>
            <w:tcBorders>
              <w:top w:val="nil"/>
              <w:left w:val="single" w:color="auto" w:sz="4" w:space="0"/>
              <w:bottom w:val="single" w:color="auto" w:sz="4" w:space="0"/>
              <w:right w:val="single" w:color="auto" w:sz="4" w:space="0"/>
            </w:tcBorders>
            <w:shd w:val="clear" w:color="auto" w:fill="auto"/>
            <w:vAlign w:val="center"/>
          </w:tcPr>
          <w:p w14:paraId="6F7E1329">
            <w:pPr>
              <w:spacing w:line="320" w:lineRule="atLeast"/>
              <w:rPr>
                <w:rFonts w:ascii="华文宋体" w:hAnsi="华文宋体" w:eastAsia="华文宋体"/>
              </w:rPr>
            </w:pPr>
            <w:r>
              <w:rPr>
                <w:rFonts w:hint="eastAsia" w:ascii="华文宋体" w:hAnsi="华文宋体" w:eastAsia="华文宋体"/>
              </w:rPr>
              <w:t>　</w:t>
            </w:r>
          </w:p>
        </w:tc>
        <w:tc>
          <w:tcPr>
            <w:tcW w:w="1560" w:type="dxa"/>
            <w:tcBorders>
              <w:top w:val="single" w:color="auto" w:sz="4" w:space="0"/>
              <w:left w:val="nil"/>
              <w:bottom w:val="single" w:color="auto" w:sz="4" w:space="0"/>
              <w:right w:val="single" w:color="auto" w:sz="4" w:space="0"/>
            </w:tcBorders>
            <w:shd w:val="clear" w:color="auto" w:fill="auto"/>
            <w:vAlign w:val="center"/>
          </w:tcPr>
          <w:p w14:paraId="0ED14646">
            <w:pPr>
              <w:spacing w:line="320" w:lineRule="atLeast"/>
              <w:jc w:val="center"/>
              <w:rPr>
                <w:rFonts w:ascii="华文宋体" w:hAnsi="华文宋体" w:eastAsia="华文宋体"/>
                <w:color w:val="000000"/>
              </w:rPr>
            </w:pPr>
            <w:r>
              <w:rPr>
                <w:rFonts w:hint="eastAsia" w:ascii="华文宋体" w:hAnsi="华文宋体" w:eastAsia="华文宋体"/>
                <w:color w:val="000000"/>
              </w:rPr>
              <w:t>合计</w:t>
            </w:r>
          </w:p>
        </w:tc>
        <w:tc>
          <w:tcPr>
            <w:tcW w:w="1276" w:type="dxa"/>
            <w:tcBorders>
              <w:top w:val="single" w:color="auto" w:sz="4" w:space="0"/>
              <w:left w:val="nil"/>
              <w:bottom w:val="single" w:color="auto" w:sz="4" w:space="0"/>
              <w:right w:val="single" w:color="auto" w:sz="4" w:space="0"/>
            </w:tcBorders>
            <w:shd w:val="clear" w:color="auto" w:fill="auto"/>
            <w:vAlign w:val="center"/>
          </w:tcPr>
          <w:p w14:paraId="4C613DC9">
            <w:pPr>
              <w:spacing w:line="320" w:lineRule="atLeast"/>
              <w:jc w:val="center"/>
              <w:rPr>
                <w:rFonts w:ascii="华文宋体" w:hAnsi="华文宋体" w:eastAsia="华文宋体"/>
              </w:rPr>
            </w:pPr>
            <w:r>
              <w:rPr>
                <w:rFonts w:hint="eastAsia" w:ascii="华文宋体" w:hAnsi="华文宋体" w:eastAsia="华文宋体"/>
              </w:rPr>
              <w:t>281.00</w:t>
            </w:r>
          </w:p>
        </w:tc>
        <w:tc>
          <w:tcPr>
            <w:tcW w:w="1275" w:type="dxa"/>
            <w:tcBorders>
              <w:top w:val="single" w:color="auto" w:sz="4" w:space="0"/>
              <w:left w:val="nil"/>
              <w:bottom w:val="single" w:color="auto" w:sz="4" w:space="0"/>
              <w:right w:val="single" w:color="auto" w:sz="4" w:space="0"/>
            </w:tcBorders>
            <w:shd w:val="clear" w:color="auto" w:fill="auto"/>
            <w:vAlign w:val="center"/>
          </w:tcPr>
          <w:p w14:paraId="0AA76EA9">
            <w:pPr>
              <w:spacing w:line="320" w:lineRule="atLeast"/>
              <w:jc w:val="center"/>
              <w:rPr>
                <w:rFonts w:ascii="华文宋体" w:hAnsi="华文宋体" w:eastAsia="华文宋体"/>
              </w:rPr>
            </w:pPr>
            <w:r>
              <w:rPr>
                <w:rFonts w:hint="eastAsia" w:ascii="华文宋体" w:hAnsi="华文宋体" w:eastAsia="华文宋体"/>
              </w:rPr>
              <w:t>701.00</w:t>
            </w:r>
          </w:p>
        </w:tc>
        <w:tc>
          <w:tcPr>
            <w:tcW w:w="1560" w:type="dxa"/>
            <w:tcBorders>
              <w:top w:val="single" w:color="auto" w:sz="4" w:space="0"/>
              <w:left w:val="nil"/>
              <w:bottom w:val="single" w:color="auto" w:sz="4" w:space="0"/>
              <w:right w:val="single" w:color="auto" w:sz="4" w:space="0"/>
            </w:tcBorders>
            <w:shd w:val="clear" w:color="auto" w:fill="auto"/>
            <w:vAlign w:val="center"/>
          </w:tcPr>
          <w:p w14:paraId="6C5882E1">
            <w:pPr>
              <w:spacing w:line="320" w:lineRule="atLeast"/>
              <w:jc w:val="center"/>
              <w:rPr>
                <w:rFonts w:ascii="华文宋体" w:hAnsi="华文宋体" w:eastAsia="华文宋体"/>
              </w:rPr>
            </w:pPr>
            <w:r>
              <w:rPr>
                <w:rFonts w:hint="eastAsia" w:ascii="华文宋体" w:hAnsi="华文宋体" w:eastAsia="华文宋体"/>
              </w:rPr>
              <w:t>-116.40</w:t>
            </w:r>
          </w:p>
        </w:tc>
        <w:tc>
          <w:tcPr>
            <w:tcW w:w="850" w:type="dxa"/>
            <w:tcBorders>
              <w:top w:val="single" w:color="auto" w:sz="4" w:space="0"/>
              <w:left w:val="nil"/>
              <w:bottom w:val="single" w:color="auto" w:sz="4" w:space="0"/>
              <w:right w:val="single" w:color="auto" w:sz="4" w:space="0"/>
            </w:tcBorders>
            <w:shd w:val="clear" w:color="auto" w:fill="auto"/>
            <w:vAlign w:val="center"/>
          </w:tcPr>
          <w:p w14:paraId="30992804">
            <w:pPr>
              <w:spacing w:line="320" w:lineRule="atLeast"/>
              <w:jc w:val="center"/>
              <w:rPr>
                <w:rFonts w:ascii="华文宋体" w:hAnsi="华文宋体" w:eastAsia="华文宋体"/>
              </w:rPr>
            </w:pPr>
            <w:r>
              <w:rPr>
                <w:rFonts w:hint="eastAsia" w:ascii="华文宋体" w:hAnsi="华文宋体" w:eastAsia="华文宋体"/>
              </w:rPr>
              <w:t>865.60</w:t>
            </w:r>
          </w:p>
        </w:tc>
        <w:tc>
          <w:tcPr>
            <w:tcW w:w="992" w:type="dxa"/>
            <w:tcBorders>
              <w:top w:val="single" w:color="auto" w:sz="4" w:space="0"/>
              <w:left w:val="nil"/>
              <w:bottom w:val="single" w:color="auto" w:sz="4" w:space="0"/>
              <w:right w:val="single" w:color="auto" w:sz="4" w:space="0"/>
            </w:tcBorders>
            <w:shd w:val="clear" w:color="auto" w:fill="auto"/>
            <w:vAlign w:val="center"/>
          </w:tcPr>
          <w:p w14:paraId="4627B133">
            <w:pPr>
              <w:spacing w:line="320" w:lineRule="atLeast"/>
              <w:jc w:val="center"/>
              <w:rPr>
                <w:rFonts w:ascii="华文宋体" w:hAnsi="华文宋体" w:eastAsia="华文宋体"/>
              </w:rPr>
            </w:pPr>
          </w:p>
        </w:tc>
        <w:tc>
          <w:tcPr>
            <w:tcW w:w="709" w:type="dxa"/>
            <w:tcBorders>
              <w:top w:val="nil"/>
              <w:left w:val="nil"/>
              <w:bottom w:val="single" w:color="auto" w:sz="4" w:space="0"/>
              <w:right w:val="single" w:color="auto" w:sz="4" w:space="0"/>
            </w:tcBorders>
            <w:shd w:val="clear" w:color="auto" w:fill="auto"/>
            <w:vAlign w:val="center"/>
          </w:tcPr>
          <w:p w14:paraId="5A0CD05D">
            <w:pPr>
              <w:spacing w:line="320" w:lineRule="atLeast"/>
              <w:jc w:val="center"/>
              <w:rPr>
                <w:rFonts w:ascii="华文宋体" w:hAnsi="华文宋体" w:eastAsia="华文宋体"/>
              </w:rPr>
            </w:pPr>
          </w:p>
        </w:tc>
      </w:tr>
    </w:tbl>
    <w:p w14:paraId="7F4930C9">
      <w:pPr>
        <w:pStyle w:val="15"/>
        <w:tabs>
          <w:tab w:val="center" w:pos="4153"/>
          <w:tab w:val="left" w:pos="7275"/>
        </w:tabs>
        <w:spacing w:line="600" w:lineRule="exact"/>
        <w:ind w:firstLine="480"/>
        <w:rPr>
          <w:rFonts w:ascii="华文宋体" w:hAnsi="华文宋体" w:eastAsia="华文宋体" w:cs="宋体"/>
          <w:sz w:val="24"/>
          <w:szCs w:val="24"/>
        </w:rPr>
      </w:pPr>
    </w:p>
    <w:p w14:paraId="2B53372B">
      <w:pPr>
        <w:pStyle w:val="15"/>
        <w:tabs>
          <w:tab w:val="center" w:pos="4153"/>
          <w:tab w:val="left" w:pos="7275"/>
        </w:tabs>
        <w:spacing w:line="600" w:lineRule="exact"/>
        <w:ind w:firstLine="480"/>
        <w:rPr>
          <w:rFonts w:ascii="华文宋体" w:hAnsi="华文宋体" w:eastAsia="华文宋体" w:cs="宋体"/>
          <w:bCs/>
          <w:sz w:val="24"/>
          <w:szCs w:val="24"/>
        </w:rPr>
      </w:pPr>
      <w:r>
        <w:rPr>
          <w:rFonts w:hint="eastAsia" w:ascii="华文宋体" w:hAnsi="华文宋体" w:eastAsia="华文宋体" w:cs="宋体"/>
          <w:sz w:val="24"/>
          <w:szCs w:val="24"/>
        </w:rPr>
        <w:t>2、实际支出资金865.60万元，各实施单位支出明细如下表：</w:t>
      </w:r>
    </w:p>
    <w:tbl>
      <w:tblPr>
        <w:tblStyle w:val="9"/>
        <w:tblW w:w="8095" w:type="dxa"/>
        <w:tblInd w:w="93" w:type="dxa"/>
        <w:tblLayout w:type="fixed"/>
        <w:tblCellMar>
          <w:top w:w="0" w:type="dxa"/>
          <w:left w:w="108" w:type="dxa"/>
          <w:bottom w:w="0" w:type="dxa"/>
          <w:right w:w="108" w:type="dxa"/>
        </w:tblCellMar>
      </w:tblPr>
      <w:tblGrid>
        <w:gridCol w:w="960"/>
        <w:gridCol w:w="3450"/>
        <w:gridCol w:w="1984"/>
        <w:gridCol w:w="1701"/>
      </w:tblGrid>
      <w:tr w14:paraId="522EC99D">
        <w:tblPrEx>
          <w:tblCellMar>
            <w:top w:w="0" w:type="dxa"/>
            <w:left w:w="108" w:type="dxa"/>
            <w:bottom w:w="0" w:type="dxa"/>
            <w:right w:w="108" w:type="dxa"/>
          </w:tblCellMar>
        </w:tblPrEx>
        <w:trPr>
          <w:trHeight w:val="540" w:hRule="atLeast"/>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650107EC">
            <w:pPr>
              <w:spacing w:line="320" w:lineRule="atLeast"/>
              <w:jc w:val="center"/>
              <w:rPr>
                <w:rFonts w:ascii="华文宋体" w:hAnsi="华文宋体" w:eastAsia="华文宋体"/>
                <w:color w:val="000000"/>
              </w:rPr>
            </w:pPr>
            <w:r>
              <w:rPr>
                <w:rFonts w:hint="eastAsia" w:ascii="华文宋体" w:hAnsi="华文宋体" w:eastAsia="华文宋体"/>
                <w:color w:val="000000"/>
              </w:rPr>
              <w:t>序号</w:t>
            </w:r>
          </w:p>
        </w:tc>
        <w:tc>
          <w:tcPr>
            <w:tcW w:w="3450" w:type="dxa"/>
            <w:tcBorders>
              <w:top w:val="single" w:color="auto" w:sz="4" w:space="0"/>
              <w:left w:val="nil"/>
              <w:bottom w:val="single" w:color="auto" w:sz="4" w:space="0"/>
              <w:right w:val="single" w:color="auto" w:sz="4" w:space="0"/>
            </w:tcBorders>
            <w:shd w:val="clear" w:color="auto" w:fill="auto"/>
            <w:vAlign w:val="center"/>
          </w:tcPr>
          <w:p w14:paraId="3DBD6937">
            <w:pPr>
              <w:spacing w:line="320" w:lineRule="atLeast"/>
              <w:jc w:val="center"/>
              <w:rPr>
                <w:rFonts w:ascii="华文宋体" w:hAnsi="华文宋体" w:eastAsia="华文宋体"/>
                <w:color w:val="000000"/>
              </w:rPr>
            </w:pPr>
            <w:r>
              <w:rPr>
                <w:rFonts w:hint="eastAsia" w:ascii="华文宋体" w:hAnsi="华文宋体" w:eastAsia="华文宋体"/>
                <w:color w:val="000000"/>
              </w:rPr>
              <w:t>项目实施单位</w:t>
            </w:r>
          </w:p>
        </w:tc>
        <w:tc>
          <w:tcPr>
            <w:tcW w:w="1984" w:type="dxa"/>
            <w:tcBorders>
              <w:top w:val="single" w:color="auto" w:sz="4" w:space="0"/>
              <w:left w:val="nil"/>
              <w:bottom w:val="single" w:color="auto" w:sz="4" w:space="0"/>
              <w:right w:val="single" w:color="auto" w:sz="4" w:space="0"/>
            </w:tcBorders>
            <w:shd w:val="clear" w:color="auto" w:fill="auto"/>
            <w:vAlign w:val="center"/>
          </w:tcPr>
          <w:p w14:paraId="4F8653F0">
            <w:pPr>
              <w:spacing w:line="320" w:lineRule="atLeast"/>
              <w:jc w:val="center"/>
              <w:rPr>
                <w:rFonts w:ascii="华文宋体" w:hAnsi="华文宋体" w:eastAsia="华文宋体"/>
                <w:color w:val="000000"/>
              </w:rPr>
            </w:pPr>
            <w:r>
              <w:rPr>
                <w:rFonts w:hint="eastAsia" w:ascii="华文宋体" w:hAnsi="华文宋体" w:eastAsia="华文宋体"/>
                <w:color w:val="000000"/>
              </w:rPr>
              <w:t>储备物资总数量   (个/台/瓶/套/件)</w:t>
            </w:r>
          </w:p>
        </w:tc>
        <w:tc>
          <w:tcPr>
            <w:tcW w:w="1701" w:type="dxa"/>
            <w:tcBorders>
              <w:top w:val="single" w:color="auto" w:sz="4" w:space="0"/>
              <w:left w:val="nil"/>
              <w:bottom w:val="single" w:color="auto" w:sz="4" w:space="0"/>
              <w:right w:val="single" w:color="auto" w:sz="4" w:space="0"/>
            </w:tcBorders>
            <w:shd w:val="clear" w:color="auto" w:fill="auto"/>
            <w:vAlign w:val="center"/>
          </w:tcPr>
          <w:p w14:paraId="56DF8C59">
            <w:pPr>
              <w:spacing w:line="320" w:lineRule="atLeast"/>
              <w:jc w:val="center"/>
              <w:rPr>
                <w:rFonts w:ascii="华文宋体" w:hAnsi="华文宋体" w:eastAsia="华文宋体"/>
                <w:color w:val="000000"/>
              </w:rPr>
            </w:pPr>
            <w:r>
              <w:rPr>
                <w:rFonts w:hint="eastAsia" w:ascii="华文宋体" w:hAnsi="华文宋体" w:eastAsia="华文宋体"/>
                <w:color w:val="000000"/>
              </w:rPr>
              <w:t>支付金额    （万元）</w:t>
            </w:r>
          </w:p>
        </w:tc>
      </w:tr>
      <w:tr w14:paraId="1CA69902">
        <w:tblPrEx>
          <w:tblCellMar>
            <w:top w:w="0" w:type="dxa"/>
            <w:left w:w="108" w:type="dxa"/>
            <w:bottom w:w="0" w:type="dxa"/>
            <w:right w:w="108" w:type="dxa"/>
          </w:tblCellMar>
        </w:tblPrEx>
        <w:trPr>
          <w:trHeight w:val="490"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7DEFA04F">
            <w:pPr>
              <w:spacing w:line="320" w:lineRule="atLeast"/>
              <w:jc w:val="center"/>
              <w:rPr>
                <w:rFonts w:ascii="华文宋体" w:hAnsi="华文宋体" w:eastAsia="华文宋体"/>
                <w:color w:val="000000"/>
              </w:rPr>
            </w:pPr>
            <w:r>
              <w:rPr>
                <w:rFonts w:hint="eastAsia" w:ascii="华文宋体" w:hAnsi="华文宋体" w:eastAsia="华文宋体"/>
                <w:color w:val="000000"/>
              </w:rPr>
              <w:t>1</w:t>
            </w:r>
          </w:p>
        </w:tc>
        <w:tc>
          <w:tcPr>
            <w:tcW w:w="3450" w:type="dxa"/>
            <w:tcBorders>
              <w:top w:val="nil"/>
              <w:left w:val="nil"/>
              <w:bottom w:val="single" w:color="auto" w:sz="4" w:space="0"/>
              <w:right w:val="single" w:color="auto" w:sz="4" w:space="0"/>
            </w:tcBorders>
            <w:shd w:val="clear" w:color="auto" w:fill="auto"/>
            <w:vAlign w:val="center"/>
          </w:tcPr>
          <w:p w14:paraId="0947203B">
            <w:pPr>
              <w:spacing w:line="320" w:lineRule="atLeast"/>
              <w:jc w:val="center"/>
              <w:rPr>
                <w:rFonts w:ascii="华文宋体" w:hAnsi="华文宋体" w:eastAsia="华文宋体"/>
                <w:color w:val="000000"/>
              </w:rPr>
            </w:pPr>
            <w:r>
              <w:rPr>
                <w:rFonts w:hint="eastAsia" w:ascii="华文宋体" w:hAnsi="华文宋体" w:eastAsia="华文宋体"/>
                <w:color w:val="000000"/>
              </w:rPr>
              <w:t>南岸区基层医疗卫生服务管理中心</w:t>
            </w:r>
          </w:p>
        </w:tc>
        <w:tc>
          <w:tcPr>
            <w:tcW w:w="1984" w:type="dxa"/>
            <w:tcBorders>
              <w:top w:val="nil"/>
              <w:left w:val="nil"/>
              <w:bottom w:val="single" w:color="auto" w:sz="4" w:space="0"/>
              <w:right w:val="single" w:color="auto" w:sz="4" w:space="0"/>
            </w:tcBorders>
            <w:shd w:val="clear" w:color="auto" w:fill="auto"/>
            <w:vAlign w:val="center"/>
          </w:tcPr>
          <w:p w14:paraId="0A15745D">
            <w:pPr>
              <w:spacing w:line="320" w:lineRule="atLeast"/>
              <w:jc w:val="center"/>
              <w:rPr>
                <w:rFonts w:ascii="华文宋体" w:hAnsi="华文宋体" w:eastAsia="华文宋体"/>
                <w:color w:val="000000"/>
              </w:rPr>
            </w:pPr>
            <w:r>
              <w:rPr>
                <w:rFonts w:hint="eastAsia" w:ascii="华文宋体" w:hAnsi="华文宋体" w:eastAsia="华文宋体"/>
                <w:color w:val="000000"/>
              </w:rPr>
              <w:t>520622</w:t>
            </w:r>
          </w:p>
        </w:tc>
        <w:tc>
          <w:tcPr>
            <w:tcW w:w="1701" w:type="dxa"/>
            <w:tcBorders>
              <w:top w:val="nil"/>
              <w:left w:val="nil"/>
              <w:bottom w:val="single" w:color="auto" w:sz="4" w:space="0"/>
              <w:right w:val="single" w:color="auto" w:sz="4" w:space="0"/>
            </w:tcBorders>
            <w:shd w:val="clear" w:color="auto" w:fill="auto"/>
            <w:vAlign w:val="center"/>
          </w:tcPr>
          <w:p w14:paraId="56E05F5E">
            <w:pPr>
              <w:spacing w:line="320" w:lineRule="atLeast"/>
              <w:jc w:val="right"/>
              <w:rPr>
                <w:rFonts w:ascii="华文宋体" w:hAnsi="华文宋体" w:eastAsia="华文宋体"/>
                <w:color w:val="000000"/>
              </w:rPr>
            </w:pPr>
            <w:r>
              <w:rPr>
                <w:rFonts w:hint="eastAsia" w:ascii="华文宋体" w:hAnsi="华文宋体" w:eastAsia="华文宋体"/>
                <w:color w:val="000000"/>
              </w:rPr>
              <w:t xml:space="preserve">196.00 </w:t>
            </w:r>
          </w:p>
        </w:tc>
      </w:tr>
      <w:tr w14:paraId="71E58934">
        <w:tblPrEx>
          <w:tblCellMar>
            <w:top w:w="0" w:type="dxa"/>
            <w:left w:w="108" w:type="dxa"/>
            <w:bottom w:w="0" w:type="dxa"/>
            <w:right w:w="108" w:type="dxa"/>
          </w:tblCellMar>
        </w:tblPrEx>
        <w:trPr>
          <w:trHeight w:val="404"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1FA64CEF">
            <w:pPr>
              <w:spacing w:line="320" w:lineRule="atLeast"/>
              <w:jc w:val="center"/>
              <w:rPr>
                <w:rFonts w:ascii="华文宋体" w:hAnsi="华文宋体" w:eastAsia="华文宋体"/>
                <w:color w:val="000000"/>
              </w:rPr>
            </w:pPr>
            <w:r>
              <w:rPr>
                <w:rFonts w:hint="eastAsia" w:ascii="华文宋体" w:hAnsi="华文宋体" w:eastAsia="华文宋体"/>
                <w:color w:val="000000"/>
              </w:rPr>
              <w:t>2</w:t>
            </w:r>
          </w:p>
        </w:tc>
        <w:tc>
          <w:tcPr>
            <w:tcW w:w="3450" w:type="dxa"/>
            <w:tcBorders>
              <w:top w:val="nil"/>
              <w:left w:val="nil"/>
              <w:bottom w:val="single" w:color="auto" w:sz="4" w:space="0"/>
              <w:right w:val="single" w:color="auto" w:sz="4" w:space="0"/>
            </w:tcBorders>
            <w:shd w:val="clear" w:color="auto" w:fill="auto"/>
            <w:vAlign w:val="center"/>
          </w:tcPr>
          <w:p w14:paraId="2B83A000">
            <w:pPr>
              <w:spacing w:line="320" w:lineRule="atLeast"/>
              <w:jc w:val="center"/>
              <w:rPr>
                <w:rFonts w:ascii="华文宋体" w:hAnsi="华文宋体" w:eastAsia="华文宋体"/>
                <w:color w:val="000000"/>
              </w:rPr>
            </w:pPr>
            <w:r>
              <w:rPr>
                <w:rFonts w:hint="eastAsia" w:ascii="华文宋体" w:hAnsi="华文宋体" w:eastAsia="华文宋体"/>
                <w:color w:val="000000"/>
              </w:rPr>
              <w:t>国药控股重庆医疗器械公司</w:t>
            </w:r>
          </w:p>
        </w:tc>
        <w:tc>
          <w:tcPr>
            <w:tcW w:w="1984" w:type="dxa"/>
            <w:tcBorders>
              <w:top w:val="nil"/>
              <w:left w:val="nil"/>
              <w:bottom w:val="single" w:color="auto" w:sz="4" w:space="0"/>
              <w:right w:val="single" w:color="auto" w:sz="4" w:space="0"/>
            </w:tcBorders>
            <w:shd w:val="clear" w:color="auto" w:fill="auto"/>
            <w:vAlign w:val="center"/>
          </w:tcPr>
          <w:p w14:paraId="3D4E4338">
            <w:pPr>
              <w:spacing w:line="320" w:lineRule="atLeast"/>
              <w:jc w:val="center"/>
              <w:rPr>
                <w:rFonts w:ascii="华文宋体" w:hAnsi="华文宋体" w:eastAsia="华文宋体"/>
                <w:color w:val="000000"/>
              </w:rPr>
            </w:pPr>
            <w:r>
              <w:rPr>
                <w:rFonts w:hint="eastAsia" w:ascii="华文宋体" w:hAnsi="华文宋体" w:eastAsia="华文宋体"/>
                <w:color w:val="000000"/>
              </w:rPr>
              <w:t>8584</w:t>
            </w:r>
          </w:p>
        </w:tc>
        <w:tc>
          <w:tcPr>
            <w:tcW w:w="1701" w:type="dxa"/>
            <w:tcBorders>
              <w:top w:val="nil"/>
              <w:left w:val="nil"/>
              <w:bottom w:val="single" w:color="auto" w:sz="4" w:space="0"/>
              <w:right w:val="single" w:color="auto" w:sz="4" w:space="0"/>
            </w:tcBorders>
            <w:shd w:val="clear" w:color="auto" w:fill="auto"/>
            <w:vAlign w:val="center"/>
          </w:tcPr>
          <w:p w14:paraId="7A41B20A">
            <w:pPr>
              <w:spacing w:line="320" w:lineRule="atLeast"/>
              <w:jc w:val="right"/>
              <w:rPr>
                <w:rFonts w:ascii="华文宋体" w:hAnsi="华文宋体" w:eastAsia="华文宋体"/>
                <w:color w:val="000000"/>
              </w:rPr>
            </w:pPr>
            <w:r>
              <w:rPr>
                <w:rFonts w:hint="eastAsia" w:ascii="华文宋体" w:hAnsi="华文宋体" w:eastAsia="华文宋体"/>
                <w:color w:val="000000"/>
              </w:rPr>
              <w:t xml:space="preserve">56.00 </w:t>
            </w:r>
          </w:p>
        </w:tc>
      </w:tr>
      <w:tr w14:paraId="76573AA0">
        <w:tblPrEx>
          <w:tblCellMar>
            <w:top w:w="0" w:type="dxa"/>
            <w:left w:w="108" w:type="dxa"/>
            <w:bottom w:w="0" w:type="dxa"/>
            <w:right w:w="108" w:type="dxa"/>
          </w:tblCellMar>
        </w:tblPrEx>
        <w:trPr>
          <w:trHeight w:val="409"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3D6D374F">
            <w:pPr>
              <w:spacing w:line="320" w:lineRule="atLeast"/>
              <w:jc w:val="center"/>
              <w:rPr>
                <w:rFonts w:ascii="华文宋体" w:hAnsi="华文宋体" w:eastAsia="华文宋体"/>
                <w:color w:val="000000"/>
              </w:rPr>
            </w:pPr>
            <w:r>
              <w:rPr>
                <w:rFonts w:hint="eastAsia" w:ascii="华文宋体" w:hAnsi="华文宋体" w:eastAsia="华文宋体"/>
                <w:color w:val="000000"/>
              </w:rPr>
              <w:t>3</w:t>
            </w:r>
          </w:p>
        </w:tc>
        <w:tc>
          <w:tcPr>
            <w:tcW w:w="3450" w:type="dxa"/>
            <w:tcBorders>
              <w:top w:val="nil"/>
              <w:left w:val="nil"/>
              <w:bottom w:val="single" w:color="auto" w:sz="4" w:space="0"/>
              <w:right w:val="single" w:color="auto" w:sz="4" w:space="0"/>
            </w:tcBorders>
            <w:shd w:val="clear" w:color="auto" w:fill="auto"/>
            <w:vAlign w:val="center"/>
          </w:tcPr>
          <w:p w14:paraId="63B21EB2">
            <w:pPr>
              <w:spacing w:line="320" w:lineRule="atLeast"/>
              <w:jc w:val="center"/>
              <w:rPr>
                <w:rFonts w:ascii="华文宋体" w:hAnsi="华文宋体" w:eastAsia="华文宋体"/>
                <w:color w:val="000000"/>
              </w:rPr>
            </w:pPr>
            <w:r>
              <w:rPr>
                <w:rFonts w:hint="eastAsia" w:ascii="华文宋体" w:hAnsi="华文宋体" w:eastAsia="华文宋体"/>
                <w:color w:val="000000"/>
              </w:rPr>
              <w:t>国药控制重庆泰民医药有限公司</w:t>
            </w:r>
          </w:p>
        </w:tc>
        <w:tc>
          <w:tcPr>
            <w:tcW w:w="1984" w:type="dxa"/>
            <w:tcBorders>
              <w:top w:val="nil"/>
              <w:left w:val="nil"/>
              <w:bottom w:val="single" w:color="auto" w:sz="4" w:space="0"/>
              <w:right w:val="single" w:color="auto" w:sz="4" w:space="0"/>
            </w:tcBorders>
            <w:shd w:val="clear" w:color="auto" w:fill="auto"/>
            <w:vAlign w:val="center"/>
          </w:tcPr>
          <w:p w14:paraId="43C2F582">
            <w:pPr>
              <w:spacing w:line="320" w:lineRule="atLeast"/>
              <w:jc w:val="center"/>
              <w:rPr>
                <w:rFonts w:ascii="华文宋体" w:hAnsi="华文宋体" w:eastAsia="华文宋体"/>
                <w:color w:val="000000"/>
              </w:rPr>
            </w:pPr>
            <w:r>
              <w:rPr>
                <w:rFonts w:hint="eastAsia" w:ascii="华文宋体" w:hAnsi="华文宋体" w:eastAsia="华文宋体"/>
                <w:color w:val="000000"/>
              </w:rPr>
              <w:t>53043</w:t>
            </w:r>
          </w:p>
        </w:tc>
        <w:tc>
          <w:tcPr>
            <w:tcW w:w="1701" w:type="dxa"/>
            <w:tcBorders>
              <w:top w:val="nil"/>
              <w:left w:val="nil"/>
              <w:bottom w:val="single" w:color="auto" w:sz="4" w:space="0"/>
              <w:right w:val="single" w:color="auto" w:sz="4" w:space="0"/>
            </w:tcBorders>
            <w:shd w:val="clear" w:color="auto" w:fill="auto"/>
            <w:vAlign w:val="center"/>
          </w:tcPr>
          <w:p w14:paraId="0147FD00">
            <w:pPr>
              <w:spacing w:line="320" w:lineRule="atLeast"/>
              <w:jc w:val="right"/>
              <w:rPr>
                <w:rFonts w:ascii="华文宋体" w:hAnsi="华文宋体" w:eastAsia="华文宋体"/>
                <w:color w:val="000000"/>
              </w:rPr>
            </w:pPr>
            <w:r>
              <w:rPr>
                <w:rFonts w:hint="eastAsia" w:ascii="华文宋体" w:hAnsi="华文宋体" w:eastAsia="华文宋体"/>
                <w:color w:val="000000"/>
              </w:rPr>
              <w:t xml:space="preserve">613.60 </w:t>
            </w:r>
          </w:p>
        </w:tc>
      </w:tr>
      <w:tr w14:paraId="1EF75843">
        <w:tblPrEx>
          <w:tblCellMar>
            <w:top w:w="0" w:type="dxa"/>
            <w:left w:w="108" w:type="dxa"/>
            <w:bottom w:w="0" w:type="dxa"/>
            <w:right w:w="108" w:type="dxa"/>
          </w:tblCellMar>
        </w:tblPrEx>
        <w:trPr>
          <w:trHeight w:val="414"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718A2ACD">
            <w:pPr>
              <w:spacing w:line="320" w:lineRule="atLeast"/>
              <w:jc w:val="center"/>
              <w:rPr>
                <w:rFonts w:ascii="华文宋体" w:hAnsi="华文宋体" w:eastAsia="华文宋体"/>
                <w:color w:val="000000"/>
              </w:rPr>
            </w:pPr>
            <w:r>
              <w:rPr>
                <w:rFonts w:hint="eastAsia" w:ascii="华文宋体" w:hAnsi="华文宋体" w:eastAsia="华文宋体"/>
                <w:color w:val="000000"/>
              </w:rPr>
              <w:t>　</w:t>
            </w:r>
          </w:p>
        </w:tc>
        <w:tc>
          <w:tcPr>
            <w:tcW w:w="3450" w:type="dxa"/>
            <w:tcBorders>
              <w:top w:val="nil"/>
              <w:left w:val="nil"/>
              <w:bottom w:val="single" w:color="auto" w:sz="4" w:space="0"/>
              <w:right w:val="single" w:color="auto" w:sz="4" w:space="0"/>
            </w:tcBorders>
            <w:shd w:val="clear" w:color="auto" w:fill="auto"/>
            <w:vAlign w:val="center"/>
          </w:tcPr>
          <w:p w14:paraId="4C55B1B2">
            <w:pPr>
              <w:spacing w:line="320" w:lineRule="atLeast"/>
              <w:jc w:val="center"/>
              <w:rPr>
                <w:rFonts w:ascii="华文宋体" w:hAnsi="华文宋体" w:eastAsia="华文宋体"/>
                <w:color w:val="000000"/>
              </w:rPr>
            </w:pPr>
            <w:r>
              <w:rPr>
                <w:rFonts w:hint="eastAsia" w:ascii="华文宋体" w:hAnsi="华文宋体" w:eastAsia="华文宋体"/>
                <w:color w:val="000000"/>
              </w:rPr>
              <w:t>合计</w:t>
            </w:r>
          </w:p>
        </w:tc>
        <w:tc>
          <w:tcPr>
            <w:tcW w:w="1984" w:type="dxa"/>
            <w:tcBorders>
              <w:top w:val="nil"/>
              <w:left w:val="nil"/>
              <w:bottom w:val="single" w:color="auto" w:sz="4" w:space="0"/>
              <w:right w:val="single" w:color="auto" w:sz="4" w:space="0"/>
            </w:tcBorders>
            <w:shd w:val="clear" w:color="auto" w:fill="auto"/>
            <w:vAlign w:val="center"/>
          </w:tcPr>
          <w:p w14:paraId="3CF9D7F6">
            <w:pPr>
              <w:spacing w:line="320" w:lineRule="atLeast"/>
              <w:jc w:val="center"/>
              <w:rPr>
                <w:rFonts w:ascii="华文宋体" w:hAnsi="华文宋体" w:eastAsia="华文宋体"/>
                <w:color w:val="000000"/>
              </w:rPr>
            </w:pPr>
            <w:r>
              <w:rPr>
                <w:rFonts w:hint="eastAsia" w:ascii="华文宋体" w:hAnsi="华文宋体" w:eastAsia="华文宋体"/>
                <w:color w:val="000000"/>
              </w:rPr>
              <w:t>582249</w:t>
            </w:r>
          </w:p>
        </w:tc>
        <w:tc>
          <w:tcPr>
            <w:tcW w:w="1701" w:type="dxa"/>
            <w:tcBorders>
              <w:top w:val="nil"/>
              <w:left w:val="nil"/>
              <w:bottom w:val="single" w:color="auto" w:sz="4" w:space="0"/>
              <w:right w:val="single" w:color="auto" w:sz="4" w:space="0"/>
            </w:tcBorders>
            <w:shd w:val="clear" w:color="auto" w:fill="auto"/>
            <w:vAlign w:val="center"/>
          </w:tcPr>
          <w:p w14:paraId="547132BD">
            <w:pPr>
              <w:spacing w:line="320" w:lineRule="atLeast"/>
              <w:jc w:val="right"/>
              <w:rPr>
                <w:rFonts w:ascii="华文宋体" w:hAnsi="华文宋体" w:eastAsia="华文宋体"/>
                <w:color w:val="000000"/>
              </w:rPr>
            </w:pPr>
            <w:r>
              <w:rPr>
                <w:rFonts w:hint="eastAsia" w:ascii="华文宋体" w:hAnsi="华文宋体" w:eastAsia="华文宋体"/>
                <w:color w:val="000000"/>
              </w:rPr>
              <w:t xml:space="preserve">865.60 </w:t>
            </w:r>
          </w:p>
        </w:tc>
      </w:tr>
    </w:tbl>
    <w:p w14:paraId="4E879B9B">
      <w:pPr>
        <w:ind w:firstLine="480" w:firstLineChars="200"/>
        <w:rPr>
          <w:rFonts w:ascii="华文宋体" w:hAnsi="华文宋体" w:eastAsia="华文宋体"/>
        </w:rPr>
      </w:pPr>
    </w:p>
    <w:p w14:paraId="2F5F8887">
      <w:pPr>
        <w:ind w:firstLine="480" w:firstLineChars="200"/>
        <w:rPr>
          <w:rFonts w:ascii="华文宋体" w:hAnsi="华文宋体" w:eastAsia="华文宋体"/>
        </w:rPr>
      </w:pPr>
      <w:r>
        <w:rPr>
          <w:rFonts w:hint="eastAsia" w:ascii="华文宋体" w:hAnsi="华文宋体" w:eastAsia="华文宋体"/>
        </w:rPr>
        <w:t>3、项目预算执行率</w:t>
      </w:r>
    </w:p>
    <w:p w14:paraId="34F56C8E">
      <w:pPr>
        <w:ind w:firstLine="480" w:firstLineChars="200"/>
        <w:rPr>
          <w:rFonts w:ascii="华文宋体" w:hAnsi="华文宋体" w:eastAsia="华文宋体"/>
        </w:rPr>
      </w:pPr>
      <w:r>
        <w:rPr>
          <w:rFonts w:hint="eastAsia" w:ascii="华文宋体" w:hAnsi="华文宋体" w:eastAsia="华文宋体"/>
        </w:rPr>
        <w:t>2020年项目资金预算共865.60万元，实际到位资金865.60万元，实际支出资金865.60万元，预算执行率100%。</w:t>
      </w:r>
      <w:bookmarkStart w:id="0" w:name="_Toc75123281"/>
    </w:p>
    <w:p w14:paraId="247DBE13">
      <w:pPr>
        <w:ind w:firstLine="480" w:firstLineChars="200"/>
        <w:rPr>
          <w:rFonts w:ascii="华文宋体" w:hAnsi="华文宋体" w:eastAsia="华文宋体"/>
        </w:rPr>
      </w:pPr>
      <w:r>
        <w:rPr>
          <w:rFonts w:hint="eastAsia" w:ascii="华文宋体" w:hAnsi="华文宋体" w:eastAsia="华文宋体"/>
        </w:rPr>
        <w:t>（四）项目绩效目标。</w:t>
      </w:r>
      <w:bookmarkEnd w:id="0"/>
    </w:p>
    <w:p w14:paraId="376696E8">
      <w:pPr>
        <w:ind w:firstLine="480" w:firstLineChars="200"/>
        <w:rPr>
          <w:rFonts w:ascii="华文宋体" w:hAnsi="华文宋体" w:eastAsia="华文宋体"/>
        </w:rPr>
      </w:pPr>
      <w:r>
        <w:rPr>
          <w:rFonts w:hint="eastAsia" w:ascii="华文宋体" w:hAnsi="华文宋体" w:eastAsia="华文宋体"/>
        </w:rPr>
        <w:t>1.项目绩效总目标</w:t>
      </w:r>
    </w:p>
    <w:p w14:paraId="05B2003B">
      <w:pPr>
        <w:spacing w:line="520" w:lineRule="exact"/>
        <w:ind w:firstLine="480" w:firstLineChars="200"/>
        <w:rPr>
          <w:rFonts w:ascii="华文宋体" w:hAnsi="华文宋体" w:eastAsia="华文宋体"/>
        </w:rPr>
      </w:pPr>
      <w:r>
        <w:rPr>
          <w:rFonts w:hint="eastAsia" w:ascii="华文宋体" w:hAnsi="华文宋体" w:eastAsia="华文宋体"/>
        </w:rPr>
        <w:t>项目绩效总目标：建立我区卫生应急物资储备长效机制，进一步提高我区卫生应急准备水平，为卫生健康系统处置突发公共卫生事件提供充分的物资保障，确保突发公共卫生事件及时有效处置，保护人民群众身体健康和生命安全，促进全区经济社会持续健康发展。</w:t>
      </w:r>
    </w:p>
    <w:p w14:paraId="41B4C3B2">
      <w:pPr>
        <w:spacing w:line="520" w:lineRule="exact"/>
        <w:ind w:firstLine="480" w:firstLineChars="200"/>
        <w:rPr>
          <w:rFonts w:ascii="华文宋体" w:hAnsi="华文宋体" w:eastAsia="华文宋体"/>
        </w:rPr>
      </w:pPr>
      <w:r>
        <w:rPr>
          <w:rFonts w:hint="eastAsia" w:ascii="华文宋体" w:hAnsi="华文宋体" w:eastAsia="华文宋体"/>
        </w:rPr>
        <w:t>2.项目绩效阶段性目标。</w:t>
      </w:r>
    </w:p>
    <w:p w14:paraId="0E8EBEE0">
      <w:pPr>
        <w:pStyle w:val="15"/>
        <w:tabs>
          <w:tab w:val="center" w:pos="4153"/>
          <w:tab w:val="left" w:pos="7275"/>
        </w:tabs>
        <w:spacing w:line="600" w:lineRule="exact"/>
        <w:ind w:firstLine="480"/>
        <w:rPr>
          <w:rFonts w:ascii="华文宋体" w:hAnsi="华文宋体" w:eastAsia="华文宋体" w:cs="宋体"/>
          <w:b/>
          <w:kern w:val="0"/>
          <w:sz w:val="24"/>
          <w:szCs w:val="24"/>
        </w:rPr>
      </w:pPr>
      <w:r>
        <w:rPr>
          <w:rFonts w:hint="eastAsia" w:ascii="华文宋体" w:hAnsi="华文宋体" w:eastAsia="华文宋体" w:cs="宋体"/>
          <w:sz w:val="24"/>
          <w:szCs w:val="24"/>
        </w:rPr>
        <w:t>项目绩效阶段性目标为2020年完成筹集储备以下疫情防控应急物资。详见下表：</w:t>
      </w:r>
    </w:p>
    <w:tbl>
      <w:tblPr>
        <w:tblStyle w:val="9"/>
        <w:tblW w:w="8931" w:type="dxa"/>
        <w:tblInd w:w="-34" w:type="dxa"/>
        <w:tblLayout w:type="fixed"/>
        <w:tblCellMar>
          <w:top w:w="0" w:type="dxa"/>
          <w:left w:w="108" w:type="dxa"/>
          <w:bottom w:w="0" w:type="dxa"/>
          <w:right w:w="108" w:type="dxa"/>
        </w:tblCellMar>
      </w:tblPr>
      <w:tblGrid>
        <w:gridCol w:w="569"/>
        <w:gridCol w:w="991"/>
        <w:gridCol w:w="992"/>
        <w:gridCol w:w="992"/>
        <w:gridCol w:w="993"/>
        <w:gridCol w:w="4394"/>
      </w:tblGrid>
      <w:tr w14:paraId="0C171641">
        <w:tblPrEx>
          <w:tblCellMar>
            <w:top w:w="0" w:type="dxa"/>
            <w:left w:w="108" w:type="dxa"/>
            <w:bottom w:w="0" w:type="dxa"/>
            <w:right w:w="108" w:type="dxa"/>
          </w:tblCellMar>
        </w:tblPrEx>
        <w:trPr>
          <w:trHeight w:val="866" w:hRule="atLeast"/>
        </w:trPr>
        <w:tc>
          <w:tcPr>
            <w:tcW w:w="569" w:type="dxa"/>
            <w:tcBorders>
              <w:top w:val="single" w:color="auto" w:sz="4" w:space="0"/>
              <w:left w:val="single" w:color="auto" w:sz="4" w:space="0"/>
              <w:bottom w:val="single" w:color="auto" w:sz="4" w:space="0"/>
              <w:right w:val="single" w:color="auto" w:sz="4" w:space="0"/>
            </w:tcBorders>
            <w:shd w:val="clear" w:color="auto" w:fill="auto"/>
            <w:vAlign w:val="center"/>
          </w:tcPr>
          <w:p w14:paraId="1CCA2D6F">
            <w:pPr>
              <w:spacing w:line="320" w:lineRule="atLeast"/>
              <w:jc w:val="center"/>
              <w:rPr>
                <w:rFonts w:ascii="华文宋体" w:hAnsi="华文宋体" w:eastAsia="华文宋体"/>
              </w:rPr>
            </w:pPr>
            <w:r>
              <w:rPr>
                <w:rFonts w:hint="eastAsia" w:ascii="华文宋体" w:hAnsi="华文宋体" w:eastAsia="华文宋体"/>
              </w:rPr>
              <w:t>序号</w:t>
            </w:r>
          </w:p>
        </w:tc>
        <w:tc>
          <w:tcPr>
            <w:tcW w:w="991" w:type="dxa"/>
            <w:tcBorders>
              <w:top w:val="single" w:color="auto" w:sz="4" w:space="0"/>
              <w:left w:val="nil"/>
              <w:bottom w:val="single" w:color="auto" w:sz="4" w:space="0"/>
              <w:right w:val="single" w:color="auto" w:sz="4" w:space="0"/>
            </w:tcBorders>
            <w:shd w:val="clear" w:color="auto" w:fill="auto"/>
            <w:vAlign w:val="center"/>
          </w:tcPr>
          <w:p w14:paraId="0459C263">
            <w:pPr>
              <w:spacing w:line="320" w:lineRule="atLeast"/>
              <w:jc w:val="center"/>
              <w:rPr>
                <w:rFonts w:ascii="华文宋体" w:hAnsi="华文宋体" w:eastAsia="华文宋体"/>
              </w:rPr>
            </w:pPr>
            <w:r>
              <w:rPr>
                <w:rFonts w:hint="eastAsia" w:ascii="华文宋体" w:hAnsi="华文宋体" w:eastAsia="华文宋体"/>
              </w:rPr>
              <w:t>项目实施单位</w:t>
            </w:r>
          </w:p>
        </w:tc>
        <w:tc>
          <w:tcPr>
            <w:tcW w:w="992" w:type="dxa"/>
            <w:tcBorders>
              <w:top w:val="single" w:color="auto" w:sz="4" w:space="0"/>
              <w:left w:val="nil"/>
              <w:bottom w:val="single" w:color="auto" w:sz="4" w:space="0"/>
              <w:right w:val="single" w:color="auto" w:sz="4" w:space="0"/>
            </w:tcBorders>
            <w:shd w:val="clear" w:color="auto" w:fill="auto"/>
            <w:vAlign w:val="center"/>
          </w:tcPr>
          <w:p w14:paraId="39E18528">
            <w:pPr>
              <w:spacing w:line="320" w:lineRule="atLeast"/>
              <w:jc w:val="center"/>
              <w:rPr>
                <w:rFonts w:ascii="华文宋体" w:hAnsi="华文宋体" w:eastAsia="华文宋体"/>
              </w:rPr>
            </w:pPr>
            <w:r>
              <w:rPr>
                <w:rFonts w:hint="eastAsia" w:ascii="华文宋体" w:hAnsi="华文宋体" w:eastAsia="华文宋体"/>
              </w:rPr>
              <w:t>计划储备物资类别</w:t>
            </w:r>
          </w:p>
        </w:tc>
        <w:tc>
          <w:tcPr>
            <w:tcW w:w="992" w:type="dxa"/>
            <w:tcBorders>
              <w:top w:val="single" w:color="auto" w:sz="4" w:space="0"/>
              <w:left w:val="nil"/>
              <w:bottom w:val="single" w:color="auto" w:sz="4" w:space="0"/>
              <w:right w:val="single" w:color="auto" w:sz="4" w:space="0"/>
            </w:tcBorders>
            <w:shd w:val="clear" w:color="auto" w:fill="auto"/>
            <w:vAlign w:val="center"/>
          </w:tcPr>
          <w:p w14:paraId="2778DBCE">
            <w:pPr>
              <w:spacing w:line="320" w:lineRule="atLeast"/>
              <w:jc w:val="center"/>
              <w:rPr>
                <w:rFonts w:ascii="华文宋体" w:hAnsi="华文宋体" w:eastAsia="华文宋体"/>
              </w:rPr>
            </w:pPr>
            <w:r>
              <w:rPr>
                <w:rFonts w:hint="eastAsia" w:ascii="华文宋体" w:hAnsi="华文宋体" w:eastAsia="华文宋体"/>
              </w:rPr>
              <w:t>计划总数量(个/瓶/套）</w:t>
            </w:r>
          </w:p>
        </w:tc>
        <w:tc>
          <w:tcPr>
            <w:tcW w:w="993" w:type="dxa"/>
            <w:tcBorders>
              <w:top w:val="single" w:color="auto" w:sz="4" w:space="0"/>
              <w:left w:val="nil"/>
              <w:bottom w:val="single" w:color="auto" w:sz="4" w:space="0"/>
              <w:right w:val="single" w:color="auto" w:sz="4" w:space="0"/>
            </w:tcBorders>
            <w:shd w:val="clear" w:color="auto" w:fill="auto"/>
            <w:vAlign w:val="center"/>
          </w:tcPr>
          <w:p w14:paraId="7836BF19">
            <w:pPr>
              <w:spacing w:line="320" w:lineRule="atLeast"/>
              <w:jc w:val="center"/>
              <w:rPr>
                <w:rFonts w:ascii="华文宋体" w:hAnsi="华文宋体" w:eastAsia="华文宋体"/>
              </w:rPr>
            </w:pPr>
            <w:r>
              <w:rPr>
                <w:rFonts w:hint="eastAsia" w:ascii="华文宋体" w:hAnsi="华文宋体" w:eastAsia="华文宋体"/>
              </w:rPr>
              <w:t>金额 （万元）</w:t>
            </w:r>
          </w:p>
        </w:tc>
        <w:tc>
          <w:tcPr>
            <w:tcW w:w="4394" w:type="dxa"/>
            <w:tcBorders>
              <w:top w:val="single" w:color="auto" w:sz="4" w:space="0"/>
              <w:left w:val="nil"/>
              <w:bottom w:val="single" w:color="auto" w:sz="4" w:space="0"/>
              <w:right w:val="single" w:color="auto" w:sz="4" w:space="0"/>
            </w:tcBorders>
            <w:shd w:val="clear" w:color="auto" w:fill="auto"/>
            <w:vAlign w:val="center"/>
          </w:tcPr>
          <w:p w14:paraId="7D1882F9">
            <w:pPr>
              <w:spacing w:line="320" w:lineRule="atLeast"/>
              <w:jc w:val="center"/>
              <w:rPr>
                <w:rFonts w:ascii="华文宋体" w:hAnsi="华文宋体" w:eastAsia="华文宋体"/>
              </w:rPr>
            </w:pPr>
            <w:r>
              <w:rPr>
                <w:rFonts w:hint="eastAsia" w:ascii="华文宋体" w:hAnsi="华文宋体" w:eastAsia="华文宋体"/>
              </w:rPr>
              <w:t>计划储备物资具体数量</w:t>
            </w:r>
          </w:p>
        </w:tc>
      </w:tr>
      <w:tr w14:paraId="3C58B781">
        <w:tblPrEx>
          <w:tblCellMar>
            <w:top w:w="0" w:type="dxa"/>
            <w:left w:w="108" w:type="dxa"/>
            <w:bottom w:w="0" w:type="dxa"/>
            <w:right w:w="108" w:type="dxa"/>
          </w:tblCellMar>
        </w:tblPrEx>
        <w:trPr>
          <w:trHeight w:val="2117" w:hRule="atLeast"/>
        </w:trPr>
        <w:tc>
          <w:tcPr>
            <w:tcW w:w="5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F965F8">
            <w:pPr>
              <w:spacing w:line="320" w:lineRule="atLeast"/>
              <w:jc w:val="center"/>
              <w:rPr>
                <w:rFonts w:ascii="华文宋体" w:hAnsi="华文宋体" w:eastAsia="华文宋体"/>
              </w:rPr>
            </w:pPr>
            <w:r>
              <w:rPr>
                <w:rFonts w:hint="eastAsia" w:ascii="华文宋体" w:hAnsi="华文宋体" w:eastAsia="华文宋体"/>
              </w:rPr>
              <w:t>1</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099F1E">
            <w:pPr>
              <w:spacing w:line="320" w:lineRule="atLeast"/>
              <w:jc w:val="center"/>
              <w:rPr>
                <w:rFonts w:ascii="华文宋体" w:hAnsi="华文宋体" w:eastAsia="华文宋体"/>
              </w:rPr>
            </w:pPr>
            <w:r>
              <w:rPr>
                <w:rFonts w:hint="eastAsia" w:ascii="华文宋体" w:hAnsi="华文宋体" w:eastAsia="华文宋体"/>
              </w:rPr>
              <w:t>南岸区基层医疗卫生服务管理中心</w:t>
            </w:r>
          </w:p>
        </w:tc>
        <w:tc>
          <w:tcPr>
            <w:tcW w:w="992" w:type="dxa"/>
            <w:tcBorders>
              <w:top w:val="single" w:color="auto" w:sz="4" w:space="0"/>
              <w:left w:val="nil"/>
              <w:bottom w:val="single" w:color="auto" w:sz="4" w:space="0"/>
              <w:right w:val="single" w:color="auto" w:sz="4" w:space="0"/>
            </w:tcBorders>
            <w:shd w:val="clear" w:color="auto" w:fill="auto"/>
            <w:vAlign w:val="center"/>
          </w:tcPr>
          <w:p w14:paraId="2BCFDFB8">
            <w:pPr>
              <w:spacing w:line="320" w:lineRule="atLeast"/>
              <w:jc w:val="center"/>
              <w:rPr>
                <w:rFonts w:ascii="华文宋体" w:hAnsi="华文宋体" w:eastAsia="华文宋体"/>
              </w:rPr>
            </w:pPr>
            <w:r>
              <w:rPr>
                <w:rFonts w:hint="eastAsia" w:ascii="华文宋体" w:hAnsi="华文宋体" w:eastAsia="华文宋体"/>
              </w:rPr>
              <w:t>防护  物资</w:t>
            </w:r>
          </w:p>
        </w:tc>
        <w:tc>
          <w:tcPr>
            <w:tcW w:w="992" w:type="dxa"/>
            <w:tcBorders>
              <w:top w:val="single" w:color="auto" w:sz="4" w:space="0"/>
              <w:left w:val="nil"/>
              <w:bottom w:val="single" w:color="auto" w:sz="4" w:space="0"/>
              <w:right w:val="single" w:color="auto" w:sz="4" w:space="0"/>
            </w:tcBorders>
            <w:shd w:val="clear" w:color="auto" w:fill="auto"/>
            <w:vAlign w:val="center"/>
          </w:tcPr>
          <w:p w14:paraId="496CD785">
            <w:pPr>
              <w:spacing w:line="320" w:lineRule="atLeast"/>
              <w:jc w:val="center"/>
              <w:rPr>
                <w:rFonts w:ascii="华文宋体" w:hAnsi="华文宋体" w:eastAsia="华文宋体"/>
              </w:rPr>
            </w:pPr>
            <w:r>
              <w:rPr>
                <w:rFonts w:hint="eastAsia" w:ascii="华文宋体" w:hAnsi="华文宋体" w:eastAsia="华文宋体"/>
              </w:rPr>
              <w:t>509745</w:t>
            </w:r>
          </w:p>
        </w:tc>
        <w:tc>
          <w:tcPr>
            <w:tcW w:w="993" w:type="dxa"/>
            <w:tcBorders>
              <w:top w:val="single" w:color="auto" w:sz="4" w:space="0"/>
              <w:left w:val="nil"/>
              <w:bottom w:val="single" w:color="auto" w:sz="4" w:space="0"/>
              <w:right w:val="single" w:color="auto" w:sz="4" w:space="0"/>
            </w:tcBorders>
            <w:shd w:val="clear" w:color="auto" w:fill="auto"/>
            <w:vAlign w:val="center"/>
          </w:tcPr>
          <w:p w14:paraId="0E72496C">
            <w:pPr>
              <w:spacing w:line="320" w:lineRule="atLeast"/>
              <w:rPr>
                <w:rFonts w:ascii="华文宋体" w:hAnsi="华文宋体" w:eastAsia="华文宋体"/>
                <w:color w:val="000000"/>
              </w:rPr>
            </w:pPr>
            <w:r>
              <w:rPr>
                <w:rFonts w:hint="eastAsia" w:ascii="华文宋体" w:hAnsi="华文宋体" w:eastAsia="华文宋体"/>
                <w:color w:val="000000"/>
              </w:rPr>
              <w:t>165.52</w:t>
            </w:r>
          </w:p>
        </w:tc>
        <w:tc>
          <w:tcPr>
            <w:tcW w:w="4394" w:type="dxa"/>
            <w:tcBorders>
              <w:top w:val="single" w:color="auto" w:sz="4" w:space="0"/>
              <w:left w:val="nil"/>
              <w:bottom w:val="single" w:color="auto" w:sz="4" w:space="0"/>
              <w:right w:val="single" w:color="auto" w:sz="4" w:space="0"/>
            </w:tcBorders>
            <w:shd w:val="clear" w:color="auto" w:fill="auto"/>
            <w:vAlign w:val="center"/>
          </w:tcPr>
          <w:p w14:paraId="740AC92F">
            <w:pPr>
              <w:spacing w:line="320" w:lineRule="atLeast"/>
              <w:jc w:val="center"/>
              <w:rPr>
                <w:rFonts w:ascii="华文宋体" w:hAnsi="华文宋体" w:eastAsia="华文宋体"/>
              </w:rPr>
            </w:pPr>
            <w:r>
              <w:rPr>
                <w:rFonts w:hint="eastAsia" w:ascii="华文宋体" w:hAnsi="华文宋体" w:eastAsia="华文宋体"/>
              </w:rPr>
              <w:t>医用防护口罩18000个，医用外科口罩300000个，一次性防护面罩3000个，防雾护目镜800个，医用防护服5000件，医用隔离衣40000件，一次性使用灭菌橡胶外科手套30935双，医用检查手套20000双，医用工作帽60000个，长筒靴套7000双，一次性保护鞋套25000双，正压头盔10个。</w:t>
            </w:r>
          </w:p>
        </w:tc>
      </w:tr>
      <w:tr w14:paraId="0A8F1F2B">
        <w:tblPrEx>
          <w:tblCellMar>
            <w:top w:w="0" w:type="dxa"/>
            <w:left w:w="108" w:type="dxa"/>
            <w:bottom w:w="0" w:type="dxa"/>
            <w:right w:w="108" w:type="dxa"/>
          </w:tblCellMar>
        </w:tblPrEx>
        <w:trPr>
          <w:trHeight w:val="824" w:hRule="atLeast"/>
        </w:trPr>
        <w:tc>
          <w:tcPr>
            <w:tcW w:w="569" w:type="dxa"/>
            <w:vMerge w:val="continue"/>
            <w:tcBorders>
              <w:top w:val="single" w:color="auto" w:sz="4" w:space="0"/>
              <w:left w:val="single" w:color="auto" w:sz="4" w:space="0"/>
              <w:bottom w:val="single" w:color="auto" w:sz="4" w:space="0"/>
              <w:right w:val="single" w:color="auto" w:sz="4" w:space="0"/>
            </w:tcBorders>
            <w:vAlign w:val="center"/>
          </w:tcPr>
          <w:p w14:paraId="2AB2CE4F">
            <w:pPr>
              <w:spacing w:line="320" w:lineRule="atLeast"/>
              <w:jc w:val="center"/>
              <w:rPr>
                <w:rFonts w:ascii="华文宋体" w:hAnsi="华文宋体" w:eastAsia="华文宋体"/>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0A87C334">
            <w:pPr>
              <w:spacing w:line="320" w:lineRule="atLeast"/>
              <w:jc w:val="center"/>
              <w:rPr>
                <w:rFonts w:ascii="华文宋体" w:hAnsi="华文宋体" w:eastAsia="华文宋体"/>
              </w:rPr>
            </w:pPr>
          </w:p>
        </w:tc>
        <w:tc>
          <w:tcPr>
            <w:tcW w:w="992" w:type="dxa"/>
            <w:tcBorders>
              <w:top w:val="single" w:color="auto" w:sz="4" w:space="0"/>
              <w:left w:val="nil"/>
              <w:bottom w:val="single" w:color="auto" w:sz="4" w:space="0"/>
              <w:right w:val="single" w:color="auto" w:sz="4" w:space="0"/>
            </w:tcBorders>
            <w:shd w:val="clear" w:color="auto" w:fill="auto"/>
            <w:vAlign w:val="center"/>
          </w:tcPr>
          <w:p w14:paraId="129E84E7">
            <w:pPr>
              <w:spacing w:line="320" w:lineRule="atLeast"/>
              <w:jc w:val="center"/>
              <w:rPr>
                <w:rFonts w:ascii="华文宋体" w:hAnsi="华文宋体" w:eastAsia="华文宋体"/>
              </w:rPr>
            </w:pPr>
            <w:r>
              <w:rPr>
                <w:rFonts w:hint="eastAsia" w:ascii="华文宋体" w:hAnsi="华文宋体" w:eastAsia="华文宋体"/>
              </w:rPr>
              <w:t>消杀  用品</w:t>
            </w:r>
          </w:p>
        </w:tc>
        <w:tc>
          <w:tcPr>
            <w:tcW w:w="992" w:type="dxa"/>
            <w:tcBorders>
              <w:top w:val="single" w:color="auto" w:sz="4" w:space="0"/>
              <w:left w:val="nil"/>
              <w:bottom w:val="single" w:color="auto" w:sz="4" w:space="0"/>
              <w:right w:val="single" w:color="auto" w:sz="4" w:space="0"/>
            </w:tcBorders>
            <w:shd w:val="clear" w:color="auto" w:fill="auto"/>
            <w:vAlign w:val="center"/>
          </w:tcPr>
          <w:p w14:paraId="6F38D0E6">
            <w:pPr>
              <w:spacing w:line="320" w:lineRule="atLeast"/>
              <w:jc w:val="center"/>
              <w:rPr>
                <w:rFonts w:ascii="华文宋体" w:hAnsi="华文宋体" w:eastAsia="华文宋体"/>
              </w:rPr>
            </w:pPr>
            <w:r>
              <w:rPr>
                <w:rFonts w:hint="eastAsia" w:ascii="华文宋体" w:hAnsi="华文宋体" w:eastAsia="华文宋体"/>
              </w:rPr>
              <w:t>8800</w:t>
            </w:r>
          </w:p>
        </w:tc>
        <w:tc>
          <w:tcPr>
            <w:tcW w:w="993" w:type="dxa"/>
            <w:tcBorders>
              <w:top w:val="single" w:color="auto" w:sz="4" w:space="0"/>
              <w:left w:val="nil"/>
              <w:bottom w:val="single" w:color="auto" w:sz="4" w:space="0"/>
              <w:right w:val="single" w:color="auto" w:sz="4" w:space="0"/>
            </w:tcBorders>
            <w:shd w:val="clear" w:color="auto" w:fill="auto"/>
            <w:vAlign w:val="center"/>
          </w:tcPr>
          <w:p w14:paraId="7AB9543E">
            <w:pPr>
              <w:spacing w:line="320" w:lineRule="atLeast"/>
              <w:jc w:val="center"/>
              <w:rPr>
                <w:rFonts w:ascii="华文宋体" w:hAnsi="华文宋体" w:eastAsia="华文宋体"/>
                <w:color w:val="000000"/>
              </w:rPr>
            </w:pPr>
            <w:r>
              <w:rPr>
                <w:rFonts w:hint="eastAsia" w:ascii="华文宋体" w:hAnsi="华文宋体" w:eastAsia="华文宋体"/>
                <w:color w:val="000000"/>
              </w:rPr>
              <w:t>9.73</w:t>
            </w:r>
          </w:p>
        </w:tc>
        <w:tc>
          <w:tcPr>
            <w:tcW w:w="4394" w:type="dxa"/>
            <w:tcBorders>
              <w:top w:val="single" w:color="auto" w:sz="4" w:space="0"/>
              <w:left w:val="nil"/>
              <w:bottom w:val="single" w:color="auto" w:sz="4" w:space="0"/>
              <w:right w:val="single" w:color="auto" w:sz="4" w:space="0"/>
            </w:tcBorders>
            <w:shd w:val="clear" w:color="auto" w:fill="auto"/>
            <w:vAlign w:val="center"/>
          </w:tcPr>
          <w:p w14:paraId="58C280AF">
            <w:pPr>
              <w:spacing w:line="320" w:lineRule="atLeast"/>
              <w:jc w:val="center"/>
              <w:rPr>
                <w:rFonts w:ascii="华文宋体" w:hAnsi="华文宋体" w:eastAsia="华文宋体"/>
              </w:rPr>
            </w:pPr>
            <w:r>
              <w:rPr>
                <w:rFonts w:hint="eastAsia" w:ascii="华文宋体" w:hAnsi="华文宋体" w:eastAsia="华文宋体"/>
              </w:rPr>
              <w:t>速干手消毒液4000瓶，医用酒精1000瓶，泡腾消毒片2000瓶，季铵盐消毒湿巾1500包，优氯净300盒。</w:t>
            </w:r>
          </w:p>
        </w:tc>
      </w:tr>
      <w:tr w14:paraId="1CB3BEAF">
        <w:tblPrEx>
          <w:tblCellMar>
            <w:top w:w="0" w:type="dxa"/>
            <w:left w:w="108" w:type="dxa"/>
            <w:bottom w:w="0" w:type="dxa"/>
            <w:right w:w="108" w:type="dxa"/>
          </w:tblCellMar>
        </w:tblPrEx>
        <w:trPr>
          <w:trHeight w:val="1135" w:hRule="atLeast"/>
        </w:trPr>
        <w:tc>
          <w:tcPr>
            <w:tcW w:w="569" w:type="dxa"/>
            <w:vMerge w:val="continue"/>
            <w:tcBorders>
              <w:top w:val="single" w:color="auto" w:sz="4" w:space="0"/>
              <w:left w:val="single" w:color="auto" w:sz="4" w:space="0"/>
              <w:bottom w:val="single" w:color="auto" w:sz="4" w:space="0"/>
              <w:right w:val="single" w:color="auto" w:sz="4" w:space="0"/>
            </w:tcBorders>
            <w:vAlign w:val="center"/>
          </w:tcPr>
          <w:p w14:paraId="5368A3C5">
            <w:pPr>
              <w:spacing w:line="320" w:lineRule="atLeast"/>
              <w:jc w:val="center"/>
              <w:rPr>
                <w:rFonts w:ascii="华文宋体" w:hAnsi="华文宋体" w:eastAsia="华文宋体"/>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4AA54609">
            <w:pPr>
              <w:spacing w:line="320" w:lineRule="atLeast"/>
              <w:jc w:val="center"/>
              <w:rPr>
                <w:rFonts w:ascii="华文宋体" w:hAnsi="华文宋体" w:eastAsia="华文宋体"/>
              </w:rPr>
            </w:pPr>
          </w:p>
        </w:tc>
        <w:tc>
          <w:tcPr>
            <w:tcW w:w="992" w:type="dxa"/>
            <w:tcBorders>
              <w:top w:val="single" w:color="auto" w:sz="4" w:space="0"/>
              <w:left w:val="nil"/>
              <w:bottom w:val="single" w:color="auto" w:sz="4" w:space="0"/>
              <w:right w:val="single" w:color="auto" w:sz="4" w:space="0"/>
            </w:tcBorders>
            <w:shd w:val="clear" w:color="auto" w:fill="auto"/>
            <w:vAlign w:val="center"/>
          </w:tcPr>
          <w:p w14:paraId="43F86BBB">
            <w:pPr>
              <w:spacing w:line="320" w:lineRule="atLeast"/>
              <w:jc w:val="center"/>
              <w:rPr>
                <w:rFonts w:ascii="华文宋体" w:hAnsi="华文宋体" w:eastAsia="华文宋体"/>
              </w:rPr>
            </w:pPr>
            <w:r>
              <w:rPr>
                <w:rFonts w:hint="eastAsia" w:ascii="华文宋体" w:hAnsi="华文宋体" w:eastAsia="华文宋体"/>
              </w:rPr>
              <w:t>防护  器械</w:t>
            </w:r>
          </w:p>
        </w:tc>
        <w:tc>
          <w:tcPr>
            <w:tcW w:w="992" w:type="dxa"/>
            <w:tcBorders>
              <w:top w:val="single" w:color="auto" w:sz="4" w:space="0"/>
              <w:left w:val="nil"/>
              <w:bottom w:val="single" w:color="auto" w:sz="4" w:space="0"/>
              <w:right w:val="single" w:color="auto" w:sz="4" w:space="0"/>
            </w:tcBorders>
            <w:shd w:val="clear" w:color="auto" w:fill="auto"/>
            <w:vAlign w:val="center"/>
          </w:tcPr>
          <w:p w14:paraId="35D962CC">
            <w:pPr>
              <w:spacing w:line="320" w:lineRule="atLeast"/>
              <w:jc w:val="center"/>
              <w:rPr>
                <w:rFonts w:ascii="华文宋体" w:hAnsi="华文宋体" w:eastAsia="华文宋体"/>
              </w:rPr>
            </w:pPr>
            <w:r>
              <w:rPr>
                <w:rFonts w:hint="eastAsia" w:ascii="华文宋体" w:hAnsi="华文宋体" w:eastAsia="华文宋体"/>
              </w:rPr>
              <w:t>1077</w:t>
            </w:r>
          </w:p>
        </w:tc>
        <w:tc>
          <w:tcPr>
            <w:tcW w:w="993" w:type="dxa"/>
            <w:tcBorders>
              <w:top w:val="single" w:color="auto" w:sz="4" w:space="0"/>
              <w:left w:val="nil"/>
              <w:bottom w:val="single" w:color="auto" w:sz="4" w:space="0"/>
              <w:right w:val="single" w:color="auto" w:sz="4" w:space="0"/>
            </w:tcBorders>
            <w:shd w:val="clear" w:color="auto" w:fill="auto"/>
            <w:vAlign w:val="center"/>
          </w:tcPr>
          <w:p w14:paraId="6E0E165C">
            <w:pPr>
              <w:spacing w:line="320" w:lineRule="atLeast"/>
              <w:jc w:val="center"/>
              <w:rPr>
                <w:rFonts w:ascii="华文宋体" w:hAnsi="华文宋体" w:eastAsia="华文宋体"/>
                <w:color w:val="000000"/>
              </w:rPr>
            </w:pPr>
            <w:r>
              <w:rPr>
                <w:rFonts w:hint="eastAsia" w:ascii="华文宋体" w:hAnsi="华文宋体" w:eastAsia="华文宋体"/>
                <w:color w:val="000000"/>
              </w:rPr>
              <w:t>19.91</w:t>
            </w:r>
          </w:p>
        </w:tc>
        <w:tc>
          <w:tcPr>
            <w:tcW w:w="4394" w:type="dxa"/>
            <w:tcBorders>
              <w:top w:val="single" w:color="auto" w:sz="4" w:space="0"/>
              <w:left w:val="nil"/>
              <w:bottom w:val="single" w:color="auto" w:sz="4" w:space="0"/>
              <w:right w:val="single" w:color="auto" w:sz="4" w:space="0"/>
            </w:tcBorders>
            <w:shd w:val="clear" w:color="auto" w:fill="auto"/>
            <w:vAlign w:val="center"/>
          </w:tcPr>
          <w:p w14:paraId="358F796C">
            <w:pPr>
              <w:spacing w:line="320" w:lineRule="atLeast"/>
              <w:jc w:val="center"/>
              <w:rPr>
                <w:rFonts w:ascii="华文宋体" w:hAnsi="华文宋体" w:eastAsia="华文宋体"/>
              </w:rPr>
            </w:pPr>
            <w:r>
              <w:rPr>
                <w:rFonts w:hint="eastAsia" w:ascii="华文宋体" w:hAnsi="华文宋体" w:eastAsia="华文宋体"/>
              </w:rPr>
              <w:t>手持式红外线测温仪500个，红外热成像仪1台，正压滤盒5个，正压头套20个，正压送风系统1台，玻璃体温计500支，生物安全运输箱50个。</w:t>
            </w:r>
          </w:p>
        </w:tc>
      </w:tr>
      <w:tr w14:paraId="242EB1A7">
        <w:tblPrEx>
          <w:tblCellMar>
            <w:top w:w="0" w:type="dxa"/>
            <w:left w:w="108" w:type="dxa"/>
            <w:bottom w:w="0" w:type="dxa"/>
            <w:right w:w="108" w:type="dxa"/>
          </w:tblCellMar>
        </w:tblPrEx>
        <w:trPr>
          <w:trHeight w:val="686" w:hRule="atLeast"/>
        </w:trPr>
        <w:tc>
          <w:tcPr>
            <w:tcW w:w="569" w:type="dxa"/>
            <w:vMerge w:val="continue"/>
            <w:tcBorders>
              <w:top w:val="single" w:color="auto" w:sz="4" w:space="0"/>
              <w:left w:val="single" w:color="auto" w:sz="4" w:space="0"/>
              <w:bottom w:val="single" w:color="auto" w:sz="4" w:space="0"/>
              <w:right w:val="single" w:color="auto" w:sz="4" w:space="0"/>
            </w:tcBorders>
            <w:vAlign w:val="center"/>
          </w:tcPr>
          <w:p w14:paraId="7F4FCBB0">
            <w:pPr>
              <w:spacing w:line="320" w:lineRule="atLeast"/>
              <w:jc w:val="center"/>
              <w:rPr>
                <w:rFonts w:ascii="华文宋体" w:hAnsi="华文宋体" w:eastAsia="华文宋体"/>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4B95A6E1">
            <w:pPr>
              <w:spacing w:line="320" w:lineRule="atLeast"/>
              <w:jc w:val="center"/>
              <w:rPr>
                <w:rFonts w:ascii="华文宋体" w:hAnsi="华文宋体" w:eastAsia="华文宋体"/>
              </w:rPr>
            </w:pPr>
          </w:p>
        </w:tc>
        <w:tc>
          <w:tcPr>
            <w:tcW w:w="992" w:type="dxa"/>
            <w:tcBorders>
              <w:top w:val="single" w:color="auto" w:sz="4" w:space="0"/>
              <w:left w:val="nil"/>
              <w:bottom w:val="single" w:color="auto" w:sz="4" w:space="0"/>
              <w:right w:val="single" w:color="auto" w:sz="4" w:space="0"/>
            </w:tcBorders>
            <w:shd w:val="clear" w:color="auto" w:fill="auto"/>
            <w:vAlign w:val="center"/>
          </w:tcPr>
          <w:p w14:paraId="32973E67">
            <w:pPr>
              <w:spacing w:line="320" w:lineRule="atLeast"/>
              <w:jc w:val="center"/>
              <w:rPr>
                <w:rFonts w:ascii="华文宋体" w:hAnsi="华文宋体" w:eastAsia="华文宋体"/>
              </w:rPr>
            </w:pPr>
            <w:r>
              <w:rPr>
                <w:rFonts w:hint="eastAsia" w:ascii="华文宋体" w:hAnsi="华文宋体" w:eastAsia="华文宋体"/>
              </w:rPr>
              <w:t xml:space="preserve">检测  试剂      </w:t>
            </w:r>
          </w:p>
        </w:tc>
        <w:tc>
          <w:tcPr>
            <w:tcW w:w="992" w:type="dxa"/>
            <w:tcBorders>
              <w:top w:val="single" w:color="auto" w:sz="4" w:space="0"/>
              <w:left w:val="nil"/>
              <w:bottom w:val="single" w:color="auto" w:sz="4" w:space="0"/>
              <w:right w:val="single" w:color="auto" w:sz="4" w:space="0"/>
            </w:tcBorders>
            <w:shd w:val="clear" w:color="auto" w:fill="auto"/>
            <w:vAlign w:val="center"/>
          </w:tcPr>
          <w:p w14:paraId="7065286A">
            <w:pPr>
              <w:spacing w:line="320" w:lineRule="atLeast"/>
              <w:jc w:val="center"/>
              <w:rPr>
                <w:rFonts w:ascii="华文宋体" w:hAnsi="华文宋体" w:eastAsia="华文宋体"/>
              </w:rPr>
            </w:pPr>
            <w:r>
              <w:rPr>
                <w:rFonts w:hint="eastAsia" w:ascii="华文宋体" w:hAnsi="华文宋体" w:eastAsia="华文宋体"/>
              </w:rPr>
              <w:t>1000</w:t>
            </w:r>
          </w:p>
        </w:tc>
        <w:tc>
          <w:tcPr>
            <w:tcW w:w="993" w:type="dxa"/>
            <w:tcBorders>
              <w:top w:val="single" w:color="auto" w:sz="4" w:space="0"/>
              <w:left w:val="nil"/>
              <w:bottom w:val="single" w:color="auto" w:sz="4" w:space="0"/>
              <w:right w:val="single" w:color="auto" w:sz="4" w:space="0"/>
            </w:tcBorders>
            <w:shd w:val="clear" w:color="auto" w:fill="auto"/>
            <w:vAlign w:val="center"/>
          </w:tcPr>
          <w:p w14:paraId="72B7873F">
            <w:pPr>
              <w:spacing w:line="320" w:lineRule="atLeast"/>
              <w:jc w:val="center"/>
              <w:rPr>
                <w:rFonts w:ascii="华文宋体" w:hAnsi="华文宋体" w:eastAsia="华文宋体"/>
                <w:color w:val="000000"/>
              </w:rPr>
            </w:pPr>
            <w:r>
              <w:rPr>
                <w:rFonts w:hint="eastAsia" w:ascii="华文宋体" w:hAnsi="华文宋体" w:eastAsia="华文宋体"/>
                <w:color w:val="000000"/>
              </w:rPr>
              <w:t>0.84</w:t>
            </w:r>
          </w:p>
        </w:tc>
        <w:tc>
          <w:tcPr>
            <w:tcW w:w="4394" w:type="dxa"/>
            <w:tcBorders>
              <w:top w:val="single" w:color="auto" w:sz="4" w:space="0"/>
              <w:left w:val="nil"/>
              <w:bottom w:val="single" w:color="auto" w:sz="4" w:space="0"/>
              <w:right w:val="single" w:color="auto" w:sz="4" w:space="0"/>
            </w:tcBorders>
            <w:shd w:val="clear" w:color="auto" w:fill="auto"/>
            <w:vAlign w:val="center"/>
          </w:tcPr>
          <w:p w14:paraId="335A15FE">
            <w:pPr>
              <w:spacing w:line="320" w:lineRule="atLeast"/>
              <w:jc w:val="center"/>
              <w:rPr>
                <w:rFonts w:ascii="华文宋体" w:hAnsi="华文宋体" w:eastAsia="华文宋体"/>
              </w:rPr>
            </w:pPr>
            <w:r>
              <w:rPr>
                <w:rFonts w:hint="eastAsia" w:ascii="华文宋体" w:hAnsi="华文宋体" w:eastAsia="华文宋体"/>
              </w:rPr>
              <w:t>一次性病毒采样管（非灭活）500支，1:10混检病毒采样管（非灭活）500支。</w:t>
            </w:r>
          </w:p>
        </w:tc>
      </w:tr>
      <w:tr w14:paraId="15C11F52">
        <w:tblPrEx>
          <w:tblCellMar>
            <w:top w:w="0" w:type="dxa"/>
            <w:left w:w="108" w:type="dxa"/>
            <w:bottom w:w="0" w:type="dxa"/>
            <w:right w:w="108" w:type="dxa"/>
          </w:tblCellMar>
        </w:tblPrEx>
        <w:trPr>
          <w:trHeight w:val="397" w:hRule="atLeast"/>
        </w:trPr>
        <w:tc>
          <w:tcPr>
            <w:tcW w:w="255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4254E79">
            <w:pPr>
              <w:spacing w:line="320" w:lineRule="atLeast"/>
              <w:jc w:val="center"/>
              <w:rPr>
                <w:rFonts w:ascii="华文宋体" w:hAnsi="华文宋体" w:eastAsia="华文宋体"/>
              </w:rPr>
            </w:pPr>
            <w:r>
              <w:rPr>
                <w:rFonts w:hint="eastAsia" w:ascii="华文宋体" w:hAnsi="华文宋体" w:eastAsia="华文宋体"/>
              </w:rPr>
              <w:t>小计</w:t>
            </w:r>
          </w:p>
        </w:tc>
        <w:tc>
          <w:tcPr>
            <w:tcW w:w="992" w:type="dxa"/>
            <w:tcBorders>
              <w:top w:val="single" w:color="auto" w:sz="4" w:space="0"/>
              <w:left w:val="nil"/>
              <w:bottom w:val="single" w:color="auto" w:sz="4" w:space="0"/>
              <w:right w:val="single" w:color="auto" w:sz="4" w:space="0"/>
            </w:tcBorders>
            <w:shd w:val="clear" w:color="auto" w:fill="auto"/>
            <w:vAlign w:val="center"/>
          </w:tcPr>
          <w:p w14:paraId="235DE25C">
            <w:pPr>
              <w:spacing w:line="320" w:lineRule="atLeast"/>
              <w:jc w:val="center"/>
              <w:rPr>
                <w:rFonts w:ascii="华文宋体" w:hAnsi="华文宋体" w:eastAsia="华文宋体"/>
              </w:rPr>
            </w:pPr>
            <w:r>
              <w:rPr>
                <w:rFonts w:hint="eastAsia" w:ascii="华文宋体" w:hAnsi="华文宋体" w:eastAsia="华文宋体"/>
              </w:rPr>
              <w:t>520622</w:t>
            </w:r>
          </w:p>
        </w:tc>
        <w:tc>
          <w:tcPr>
            <w:tcW w:w="993" w:type="dxa"/>
            <w:tcBorders>
              <w:top w:val="single" w:color="auto" w:sz="4" w:space="0"/>
              <w:left w:val="nil"/>
              <w:bottom w:val="single" w:color="auto" w:sz="4" w:space="0"/>
              <w:right w:val="single" w:color="auto" w:sz="4" w:space="0"/>
            </w:tcBorders>
            <w:shd w:val="clear" w:color="auto" w:fill="auto"/>
            <w:vAlign w:val="center"/>
          </w:tcPr>
          <w:p w14:paraId="1132FAE0">
            <w:pPr>
              <w:spacing w:line="320" w:lineRule="atLeast"/>
              <w:jc w:val="center"/>
              <w:rPr>
                <w:rFonts w:ascii="华文宋体" w:hAnsi="华文宋体" w:eastAsia="华文宋体"/>
                <w:color w:val="000000"/>
              </w:rPr>
            </w:pPr>
            <w:r>
              <w:rPr>
                <w:rFonts w:hint="eastAsia" w:ascii="华文宋体" w:hAnsi="华文宋体" w:eastAsia="华文宋体"/>
                <w:color w:val="000000"/>
              </w:rPr>
              <w:t>196.00</w:t>
            </w:r>
          </w:p>
        </w:tc>
        <w:tc>
          <w:tcPr>
            <w:tcW w:w="4394" w:type="dxa"/>
            <w:tcBorders>
              <w:top w:val="single" w:color="auto" w:sz="4" w:space="0"/>
              <w:left w:val="nil"/>
              <w:bottom w:val="single" w:color="auto" w:sz="4" w:space="0"/>
              <w:right w:val="single" w:color="auto" w:sz="4" w:space="0"/>
            </w:tcBorders>
            <w:shd w:val="clear" w:color="auto" w:fill="auto"/>
            <w:vAlign w:val="center"/>
          </w:tcPr>
          <w:p w14:paraId="2F0D109B">
            <w:pPr>
              <w:spacing w:line="320" w:lineRule="atLeast"/>
              <w:jc w:val="center"/>
              <w:rPr>
                <w:rFonts w:ascii="华文宋体" w:hAnsi="华文宋体" w:eastAsia="华文宋体"/>
              </w:rPr>
            </w:pPr>
          </w:p>
        </w:tc>
      </w:tr>
      <w:tr w14:paraId="027E2EF4">
        <w:tblPrEx>
          <w:tblCellMar>
            <w:top w:w="0" w:type="dxa"/>
            <w:left w:w="108" w:type="dxa"/>
            <w:bottom w:w="0" w:type="dxa"/>
            <w:right w:w="108" w:type="dxa"/>
          </w:tblCellMar>
        </w:tblPrEx>
        <w:trPr>
          <w:trHeight w:val="589" w:hRule="atLeast"/>
        </w:trPr>
        <w:tc>
          <w:tcPr>
            <w:tcW w:w="5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8E961D">
            <w:pPr>
              <w:spacing w:line="320" w:lineRule="atLeast"/>
              <w:jc w:val="center"/>
              <w:rPr>
                <w:rFonts w:ascii="华文宋体" w:hAnsi="华文宋体" w:eastAsia="华文宋体"/>
              </w:rPr>
            </w:pPr>
            <w:r>
              <w:rPr>
                <w:rFonts w:hint="eastAsia" w:ascii="华文宋体" w:hAnsi="华文宋体" w:eastAsia="华文宋体"/>
              </w:rPr>
              <w:t>2</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91A60D">
            <w:pPr>
              <w:spacing w:line="320" w:lineRule="atLeast"/>
              <w:jc w:val="center"/>
              <w:rPr>
                <w:rFonts w:ascii="华文宋体" w:hAnsi="华文宋体" w:eastAsia="华文宋体"/>
              </w:rPr>
            </w:pPr>
            <w:r>
              <w:rPr>
                <w:rFonts w:hint="eastAsia" w:ascii="华文宋体" w:hAnsi="华文宋体" w:eastAsia="华文宋体"/>
              </w:rPr>
              <w:t>国药控股重庆医疗器械公司</w:t>
            </w:r>
          </w:p>
        </w:tc>
        <w:tc>
          <w:tcPr>
            <w:tcW w:w="992" w:type="dxa"/>
            <w:tcBorders>
              <w:top w:val="single" w:color="auto" w:sz="4" w:space="0"/>
              <w:left w:val="nil"/>
              <w:bottom w:val="single" w:color="auto" w:sz="4" w:space="0"/>
              <w:right w:val="single" w:color="auto" w:sz="4" w:space="0"/>
            </w:tcBorders>
            <w:shd w:val="clear" w:color="auto" w:fill="auto"/>
            <w:vAlign w:val="center"/>
          </w:tcPr>
          <w:p w14:paraId="05DC4CFD">
            <w:pPr>
              <w:spacing w:line="320" w:lineRule="atLeast"/>
              <w:jc w:val="center"/>
              <w:rPr>
                <w:rFonts w:ascii="华文宋体" w:hAnsi="华文宋体" w:eastAsia="华文宋体"/>
              </w:rPr>
            </w:pPr>
            <w:r>
              <w:rPr>
                <w:rFonts w:hint="eastAsia" w:ascii="华文宋体" w:hAnsi="华文宋体" w:eastAsia="华文宋体"/>
              </w:rPr>
              <w:t>防护  器械</w:t>
            </w:r>
          </w:p>
        </w:tc>
        <w:tc>
          <w:tcPr>
            <w:tcW w:w="992" w:type="dxa"/>
            <w:tcBorders>
              <w:top w:val="single" w:color="auto" w:sz="4" w:space="0"/>
              <w:left w:val="nil"/>
              <w:bottom w:val="single" w:color="auto" w:sz="4" w:space="0"/>
              <w:right w:val="single" w:color="auto" w:sz="4" w:space="0"/>
            </w:tcBorders>
            <w:shd w:val="clear" w:color="auto" w:fill="auto"/>
            <w:vAlign w:val="center"/>
          </w:tcPr>
          <w:p w14:paraId="37F6F15A">
            <w:pPr>
              <w:spacing w:line="320" w:lineRule="atLeast"/>
              <w:jc w:val="center"/>
              <w:rPr>
                <w:rFonts w:ascii="华文宋体" w:hAnsi="华文宋体" w:eastAsia="华文宋体"/>
              </w:rPr>
            </w:pPr>
            <w:r>
              <w:rPr>
                <w:rFonts w:hint="eastAsia" w:ascii="华文宋体" w:hAnsi="华文宋体" w:eastAsia="华文宋体"/>
              </w:rPr>
              <w:t>5</w:t>
            </w:r>
          </w:p>
        </w:tc>
        <w:tc>
          <w:tcPr>
            <w:tcW w:w="993" w:type="dxa"/>
            <w:tcBorders>
              <w:top w:val="single" w:color="auto" w:sz="4" w:space="0"/>
              <w:left w:val="nil"/>
              <w:bottom w:val="single" w:color="auto" w:sz="4" w:space="0"/>
              <w:right w:val="single" w:color="auto" w:sz="4" w:space="0"/>
            </w:tcBorders>
            <w:shd w:val="clear" w:color="auto" w:fill="auto"/>
            <w:vAlign w:val="center"/>
          </w:tcPr>
          <w:p w14:paraId="14E60BCD">
            <w:pPr>
              <w:spacing w:line="320" w:lineRule="atLeast"/>
              <w:jc w:val="center"/>
              <w:rPr>
                <w:rFonts w:ascii="华文宋体" w:hAnsi="华文宋体" w:eastAsia="华文宋体"/>
                <w:color w:val="000000"/>
              </w:rPr>
            </w:pPr>
            <w:r>
              <w:rPr>
                <w:rFonts w:hint="eastAsia" w:ascii="华文宋体" w:hAnsi="华文宋体" w:eastAsia="华文宋体"/>
                <w:color w:val="000000"/>
              </w:rPr>
              <w:t>35.61</w:t>
            </w:r>
          </w:p>
        </w:tc>
        <w:tc>
          <w:tcPr>
            <w:tcW w:w="4394" w:type="dxa"/>
            <w:tcBorders>
              <w:top w:val="single" w:color="auto" w:sz="4" w:space="0"/>
              <w:left w:val="nil"/>
              <w:bottom w:val="single" w:color="auto" w:sz="4" w:space="0"/>
              <w:right w:val="single" w:color="auto" w:sz="4" w:space="0"/>
            </w:tcBorders>
            <w:shd w:val="clear" w:color="auto" w:fill="auto"/>
            <w:vAlign w:val="center"/>
          </w:tcPr>
          <w:p w14:paraId="6281D2D4">
            <w:pPr>
              <w:spacing w:line="320" w:lineRule="atLeast"/>
              <w:jc w:val="center"/>
              <w:rPr>
                <w:rFonts w:ascii="华文宋体" w:hAnsi="华文宋体" w:eastAsia="华文宋体"/>
              </w:rPr>
            </w:pPr>
            <w:r>
              <w:rPr>
                <w:rFonts w:hint="eastAsia" w:ascii="华文宋体" w:hAnsi="华文宋体" w:eastAsia="华文宋体"/>
              </w:rPr>
              <w:t>红外热像仪5台。</w:t>
            </w:r>
          </w:p>
        </w:tc>
      </w:tr>
      <w:tr w14:paraId="4EDD7213">
        <w:tblPrEx>
          <w:tblCellMar>
            <w:top w:w="0" w:type="dxa"/>
            <w:left w:w="108" w:type="dxa"/>
            <w:bottom w:w="0" w:type="dxa"/>
            <w:right w:w="108" w:type="dxa"/>
          </w:tblCellMar>
        </w:tblPrEx>
        <w:trPr>
          <w:trHeight w:val="479" w:hRule="atLeast"/>
        </w:trPr>
        <w:tc>
          <w:tcPr>
            <w:tcW w:w="569" w:type="dxa"/>
            <w:vMerge w:val="continue"/>
            <w:tcBorders>
              <w:top w:val="single" w:color="auto" w:sz="4" w:space="0"/>
              <w:left w:val="single" w:color="auto" w:sz="4" w:space="0"/>
              <w:bottom w:val="single" w:color="auto" w:sz="4" w:space="0"/>
              <w:right w:val="single" w:color="auto" w:sz="4" w:space="0"/>
            </w:tcBorders>
            <w:vAlign w:val="center"/>
          </w:tcPr>
          <w:p w14:paraId="6D312418">
            <w:pPr>
              <w:spacing w:line="320" w:lineRule="atLeast"/>
              <w:jc w:val="center"/>
              <w:rPr>
                <w:rFonts w:ascii="华文宋体" w:hAnsi="华文宋体" w:eastAsia="华文宋体"/>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585F0F8D">
            <w:pPr>
              <w:spacing w:line="320" w:lineRule="atLeast"/>
              <w:jc w:val="center"/>
              <w:rPr>
                <w:rFonts w:ascii="华文宋体" w:hAnsi="华文宋体" w:eastAsia="华文宋体"/>
              </w:rPr>
            </w:pPr>
          </w:p>
        </w:tc>
        <w:tc>
          <w:tcPr>
            <w:tcW w:w="992" w:type="dxa"/>
            <w:tcBorders>
              <w:top w:val="single" w:color="auto" w:sz="4" w:space="0"/>
              <w:left w:val="nil"/>
              <w:bottom w:val="single" w:color="auto" w:sz="4" w:space="0"/>
              <w:right w:val="single" w:color="auto" w:sz="4" w:space="0"/>
            </w:tcBorders>
            <w:shd w:val="clear" w:color="auto" w:fill="auto"/>
            <w:vAlign w:val="center"/>
          </w:tcPr>
          <w:p w14:paraId="163B8034">
            <w:pPr>
              <w:spacing w:line="320" w:lineRule="atLeast"/>
              <w:jc w:val="center"/>
              <w:rPr>
                <w:rFonts w:ascii="华文宋体" w:hAnsi="华文宋体" w:eastAsia="华文宋体"/>
              </w:rPr>
            </w:pPr>
            <w:r>
              <w:rPr>
                <w:rFonts w:hint="eastAsia" w:ascii="华文宋体" w:hAnsi="华文宋体" w:eastAsia="华文宋体"/>
              </w:rPr>
              <w:t>防护  物资</w:t>
            </w:r>
          </w:p>
        </w:tc>
        <w:tc>
          <w:tcPr>
            <w:tcW w:w="992" w:type="dxa"/>
            <w:tcBorders>
              <w:top w:val="single" w:color="auto" w:sz="4" w:space="0"/>
              <w:left w:val="nil"/>
              <w:bottom w:val="single" w:color="auto" w:sz="4" w:space="0"/>
              <w:right w:val="single" w:color="auto" w:sz="4" w:space="0"/>
            </w:tcBorders>
            <w:shd w:val="clear" w:color="auto" w:fill="auto"/>
            <w:vAlign w:val="center"/>
          </w:tcPr>
          <w:p w14:paraId="37121C41">
            <w:pPr>
              <w:spacing w:line="320" w:lineRule="atLeast"/>
              <w:jc w:val="center"/>
              <w:rPr>
                <w:rFonts w:ascii="华文宋体" w:hAnsi="华文宋体" w:eastAsia="华文宋体"/>
                <w:color w:val="000000"/>
              </w:rPr>
            </w:pPr>
            <w:r>
              <w:rPr>
                <w:rFonts w:hint="eastAsia" w:ascii="华文宋体" w:hAnsi="华文宋体" w:eastAsia="华文宋体"/>
                <w:color w:val="000000"/>
              </w:rPr>
              <w:t>7785</w:t>
            </w:r>
          </w:p>
        </w:tc>
        <w:tc>
          <w:tcPr>
            <w:tcW w:w="993" w:type="dxa"/>
            <w:tcBorders>
              <w:top w:val="single" w:color="auto" w:sz="4" w:space="0"/>
              <w:left w:val="nil"/>
              <w:bottom w:val="single" w:color="auto" w:sz="4" w:space="0"/>
              <w:right w:val="single" w:color="auto" w:sz="4" w:space="0"/>
            </w:tcBorders>
            <w:shd w:val="clear" w:color="auto" w:fill="auto"/>
            <w:vAlign w:val="center"/>
          </w:tcPr>
          <w:p w14:paraId="27402253">
            <w:pPr>
              <w:spacing w:line="320" w:lineRule="atLeast"/>
              <w:jc w:val="center"/>
              <w:rPr>
                <w:rFonts w:ascii="华文宋体" w:hAnsi="华文宋体" w:eastAsia="华文宋体"/>
                <w:color w:val="000000"/>
              </w:rPr>
            </w:pPr>
            <w:r>
              <w:rPr>
                <w:rFonts w:hint="eastAsia" w:ascii="华文宋体" w:hAnsi="华文宋体" w:eastAsia="华文宋体"/>
                <w:color w:val="000000"/>
              </w:rPr>
              <w:t>19.97</w:t>
            </w:r>
          </w:p>
        </w:tc>
        <w:tc>
          <w:tcPr>
            <w:tcW w:w="4394" w:type="dxa"/>
            <w:tcBorders>
              <w:top w:val="single" w:color="auto" w:sz="4" w:space="0"/>
              <w:left w:val="nil"/>
              <w:bottom w:val="single" w:color="auto" w:sz="4" w:space="0"/>
              <w:right w:val="single" w:color="auto" w:sz="4" w:space="0"/>
            </w:tcBorders>
            <w:shd w:val="clear" w:color="auto" w:fill="auto"/>
            <w:vAlign w:val="center"/>
          </w:tcPr>
          <w:p w14:paraId="0C1C4B95">
            <w:pPr>
              <w:spacing w:line="320" w:lineRule="atLeast"/>
              <w:jc w:val="center"/>
              <w:rPr>
                <w:rFonts w:ascii="华文宋体" w:hAnsi="华文宋体" w:eastAsia="华文宋体"/>
              </w:rPr>
            </w:pPr>
            <w:r>
              <w:rPr>
                <w:rFonts w:hint="eastAsia" w:ascii="华文宋体" w:hAnsi="华文宋体" w:eastAsia="华文宋体"/>
              </w:rPr>
              <w:t>全面罩50个，医用隔离面罩7735个。</w:t>
            </w:r>
          </w:p>
        </w:tc>
      </w:tr>
      <w:tr w14:paraId="7DDB1770">
        <w:tblPrEx>
          <w:tblCellMar>
            <w:top w:w="0" w:type="dxa"/>
            <w:left w:w="108" w:type="dxa"/>
            <w:bottom w:w="0" w:type="dxa"/>
            <w:right w:w="108" w:type="dxa"/>
          </w:tblCellMar>
        </w:tblPrEx>
        <w:trPr>
          <w:trHeight w:val="500" w:hRule="atLeast"/>
        </w:trPr>
        <w:tc>
          <w:tcPr>
            <w:tcW w:w="569" w:type="dxa"/>
            <w:vMerge w:val="continue"/>
            <w:tcBorders>
              <w:top w:val="single" w:color="auto" w:sz="4" w:space="0"/>
              <w:left w:val="single" w:color="auto" w:sz="4" w:space="0"/>
              <w:bottom w:val="single" w:color="auto" w:sz="4" w:space="0"/>
              <w:right w:val="single" w:color="auto" w:sz="4" w:space="0"/>
            </w:tcBorders>
            <w:vAlign w:val="center"/>
          </w:tcPr>
          <w:p w14:paraId="78F89C69">
            <w:pPr>
              <w:spacing w:line="320" w:lineRule="atLeast"/>
              <w:jc w:val="center"/>
              <w:rPr>
                <w:rFonts w:ascii="华文宋体" w:hAnsi="华文宋体" w:eastAsia="华文宋体"/>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45A4AC52">
            <w:pPr>
              <w:spacing w:line="320" w:lineRule="atLeast"/>
              <w:jc w:val="center"/>
              <w:rPr>
                <w:rFonts w:ascii="华文宋体" w:hAnsi="华文宋体" w:eastAsia="华文宋体"/>
              </w:rPr>
            </w:pPr>
          </w:p>
        </w:tc>
        <w:tc>
          <w:tcPr>
            <w:tcW w:w="992" w:type="dxa"/>
            <w:tcBorders>
              <w:top w:val="single" w:color="auto" w:sz="4" w:space="0"/>
              <w:left w:val="nil"/>
              <w:bottom w:val="single" w:color="auto" w:sz="4" w:space="0"/>
              <w:right w:val="single" w:color="auto" w:sz="4" w:space="0"/>
            </w:tcBorders>
            <w:shd w:val="clear" w:color="auto" w:fill="auto"/>
            <w:vAlign w:val="center"/>
          </w:tcPr>
          <w:p w14:paraId="443F5864">
            <w:pPr>
              <w:spacing w:line="320" w:lineRule="atLeast"/>
              <w:jc w:val="center"/>
              <w:rPr>
                <w:rFonts w:ascii="华文宋体" w:hAnsi="华文宋体" w:eastAsia="华文宋体"/>
              </w:rPr>
            </w:pPr>
            <w:r>
              <w:rPr>
                <w:rFonts w:hint="eastAsia" w:ascii="华文宋体" w:hAnsi="华文宋体" w:eastAsia="华文宋体"/>
              </w:rPr>
              <w:t>消杀  用品</w:t>
            </w:r>
          </w:p>
        </w:tc>
        <w:tc>
          <w:tcPr>
            <w:tcW w:w="992" w:type="dxa"/>
            <w:tcBorders>
              <w:top w:val="single" w:color="auto" w:sz="4" w:space="0"/>
              <w:left w:val="nil"/>
              <w:bottom w:val="single" w:color="auto" w:sz="4" w:space="0"/>
              <w:right w:val="single" w:color="auto" w:sz="4" w:space="0"/>
            </w:tcBorders>
            <w:shd w:val="clear" w:color="auto" w:fill="auto"/>
            <w:vAlign w:val="center"/>
          </w:tcPr>
          <w:p w14:paraId="3AD6BBCB">
            <w:pPr>
              <w:spacing w:line="320" w:lineRule="atLeast"/>
              <w:jc w:val="center"/>
              <w:rPr>
                <w:rFonts w:ascii="华文宋体" w:hAnsi="华文宋体" w:eastAsia="华文宋体"/>
                <w:color w:val="000000"/>
              </w:rPr>
            </w:pPr>
            <w:r>
              <w:rPr>
                <w:rFonts w:hint="eastAsia" w:ascii="华文宋体" w:hAnsi="华文宋体" w:eastAsia="华文宋体"/>
                <w:color w:val="000000"/>
              </w:rPr>
              <w:t>794</w:t>
            </w:r>
          </w:p>
        </w:tc>
        <w:tc>
          <w:tcPr>
            <w:tcW w:w="993" w:type="dxa"/>
            <w:tcBorders>
              <w:top w:val="single" w:color="auto" w:sz="4" w:space="0"/>
              <w:left w:val="nil"/>
              <w:bottom w:val="single" w:color="auto" w:sz="4" w:space="0"/>
              <w:right w:val="single" w:color="auto" w:sz="4" w:space="0"/>
            </w:tcBorders>
            <w:shd w:val="clear" w:color="auto" w:fill="auto"/>
            <w:vAlign w:val="center"/>
          </w:tcPr>
          <w:p w14:paraId="3153207B">
            <w:pPr>
              <w:spacing w:line="320" w:lineRule="atLeast"/>
              <w:jc w:val="center"/>
              <w:rPr>
                <w:rFonts w:ascii="华文宋体" w:hAnsi="华文宋体" w:eastAsia="华文宋体"/>
                <w:color w:val="000000"/>
              </w:rPr>
            </w:pPr>
            <w:r>
              <w:rPr>
                <w:rFonts w:hint="eastAsia" w:ascii="华文宋体" w:hAnsi="华文宋体" w:eastAsia="华文宋体"/>
                <w:color w:val="000000"/>
              </w:rPr>
              <w:t>0.47</w:t>
            </w:r>
          </w:p>
        </w:tc>
        <w:tc>
          <w:tcPr>
            <w:tcW w:w="4394" w:type="dxa"/>
            <w:tcBorders>
              <w:top w:val="single" w:color="auto" w:sz="4" w:space="0"/>
              <w:left w:val="nil"/>
              <w:bottom w:val="single" w:color="auto" w:sz="4" w:space="0"/>
              <w:right w:val="single" w:color="auto" w:sz="4" w:space="0"/>
            </w:tcBorders>
            <w:shd w:val="clear" w:color="auto" w:fill="auto"/>
            <w:vAlign w:val="center"/>
          </w:tcPr>
          <w:p w14:paraId="053F2AF8">
            <w:pPr>
              <w:spacing w:line="320" w:lineRule="atLeast"/>
              <w:jc w:val="center"/>
              <w:rPr>
                <w:rFonts w:ascii="华文宋体" w:hAnsi="华文宋体" w:eastAsia="华文宋体"/>
              </w:rPr>
            </w:pPr>
            <w:r>
              <w:rPr>
                <w:rFonts w:hint="eastAsia" w:ascii="华文宋体" w:hAnsi="华文宋体" w:eastAsia="华文宋体"/>
              </w:rPr>
              <w:t>95%消毒酒精（500ml）794瓶。</w:t>
            </w:r>
          </w:p>
        </w:tc>
      </w:tr>
      <w:tr w14:paraId="280B3813">
        <w:tblPrEx>
          <w:tblCellMar>
            <w:top w:w="0" w:type="dxa"/>
            <w:left w:w="108" w:type="dxa"/>
            <w:bottom w:w="0" w:type="dxa"/>
            <w:right w:w="108" w:type="dxa"/>
          </w:tblCellMar>
        </w:tblPrEx>
        <w:trPr>
          <w:trHeight w:val="508" w:hRule="atLeast"/>
        </w:trPr>
        <w:tc>
          <w:tcPr>
            <w:tcW w:w="255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D6B6592">
            <w:pPr>
              <w:spacing w:line="320" w:lineRule="atLeast"/>
              <w:jc w:val="center"/>
              <w:rPr>
                <w:rFonts w:ascii="华文宋体" w:hAnsi="华文宋体" w:eastAsia="华文宋体"/>
              </w:rPr>
            </w:pPr>
            <w:r>
              <w:rPr>
                <w:rFonts w:hint="eastAsia" w:ascii="华文宋体" w:hAnsi="华文宋体" w:eastAsia="华文宋体"/>
              </w:rPr>
              <w:t>小计</w:t>
            </w:r>
          </w:p>
        </w:tc>
        <w:tc>
          <w:tcPr>
            <w:tcW w:w="992" w:type="dxa"/>
            <w:tcBorders>
              <w:top w:val="single" w:color="auto" w:sz="4" w:space="0"/>
              <w:left w:val="nil"/>
              <w:bottom w:val="single" w:color="auto" w:sz="4" w:space="0"/>
              <w:right w:val="single" w:color="auto" w:sz="4" w:space="0"/>
            </w:tcBorders>
            <w:shd w:val="clear" w:color="auto" w:fill="auto"/>
            <w:vAlign w:val="center"/>
          </w:tcPr>
          <w:p w14:paraId="05D0AF83">
            <w:pPr>
              <w:spacing w:line="320" w:lineRule="atLeast"/>
              <w:jc w:val="center"/>
              <w:rPr>
                <w:rFonts w:ascii="华文宋体" w:hAnsi="华文宋体" w:eastAsia="华文宋体"/>
              </w:rPr>
            </w:pPr>
            <w:r>
              <w:rPr>
                <w:rFonts w:hint="eastAsia" w:ascii="华文宋体" w:hAnsi="华文宋体" w:eastAsia="华文宋体"/>
              </w:rPr>
              <w:t>8584</w:t>
            </w:r>
          </w:p>
        </w:tc>
        <w:tc>
          <w:tcPr>
            <w:tcW w:w="993" w:type="dxa"/>
            <w:tcBorders>
              <w:top w:val="single" w:color="auto" w:sz="4" w:space="0"/>
              <w:left w:val="nil"/>
              <w:bottom w:val="single" w:color="auto" w:sz="4" w:space="0"/>
              <w:right w:val="single" w:color="auto" w:sz="4" w:space="0"/>
            </w:tcBorders>
            <w:shd w:val="clear" w:color="auto" w:fill="auto"/>
            <w:vAlign w:val="center"/>
          </w:tcPr>
          <w:p w14:paraId="77DD28A9">
            <w:pPr>
              <w:spacing w:line="320" w:lineRule="atLeast"/>
              <w:jc w:val="center"/>
              <w:rPr>
                <w:rFonts w:ascii="华文宋体" w:hAnsi="华文宋体" w:eastAsia="华文宋体"/>
                <w:color w:val="000000"/>
              </w:rPr>
            </w:pPr>
            <w:r>
              <w:rPr>
                <w:rFonts w:hint="eastAsia" w:ascii="华文宋体" w:hAnsi="华文宋体" w:eastAsia="华文宋体"/>
                <w:color w:val="000000"/>
              </w:rPr>
              <w:t>56.00</w:t>
            </w:r>
          </w:p>
        </w:tc>
        <w:tc>
          <w:tcPr>
            <w:tcW w:w="4394" w:type="dxa"/>
            <w:tcBorders>
              <w:top w:val="single" w:color="auto" w:sz="4" w:space="0"/>
              <w:left w:val="nil"/>
              <w:bottom w:val="single" w:color="auto" w:sz="4" w:space="0"/>
              <w:right w:val="single" w:color="auto" w:sz="4" w:space="0"/>
            </w:tcBorders>
            <w:shd w:val="clear" w:color="auto" w:fill="auto"/>
            <w:vAlign w:val="center"/>
          </w:tcPr>
          <w:p w14:paraId="4CC367BE">
            <w:pPr>
              <w:spacing w:line="320" w:lineRule="atLeast"/>
              <w:jc w:val="center"/>
              <w:rPr>
                <w:rFonts w:ascii="华文宋体" w:hAnsi="华文宋体" w:eastAsia="华文宋体"/>
                <w:color w:val="000000"/>
              </w:rPr>
            </w:pPr>
          </w:p>
        </w:tc>
      </w:tr>
      <w:tr w14:paraId="77CDF03F">
        <w:tblPrEx>
          <w:tblCellMar>
            <w:top w:w="0" w:type="dxa"/>
            <w:left w:w="108" w:type="dxa"/>
            <w:bottom w:w="0" w:type="dxa"/>
            <w:right w:w="108" w:type="dxa"/>
          </w:tblCellMar>
        </w:tblPrEx>
        <w:trPr>
          <w:trHeight w:val="953" w:hRule="atLeast"/>
        </w:trPr>
        <w:tc>
          <w:tcPr>
            <w:tcW w:w="5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A3EBBA">
            <w:pPr>
              <w:spacing w:line="320" w:lineRule="atLeast"/>
              <w:jc w:val="center"/>
              <w:rPr>
                <w:rFonts w:ascii="华文宋体" w:hAnsi="华文宋体" w:eastAsia="华文宋体"/>
              </w:rPr>
            </w:pPr>
            <w:r>
              <w:rPr>
                <w:rFonts w:hint="eastAsia" w:ascii="华文宋体" w:hAnsi="华文宋体" w:eastAsia="华文宋体"/>
              </w:rPr>
              <w:t>3</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BE5AE4">
            <w:pPr>
              <w:spacing w:line="320" w:lineRule="atLeast"/>
              <w:jc w:val="center"/>
              <w:rPr>
                <w:rFonts w:ascii="华文宋体" w:hAnsi="华文宋体" w:eastAsia="华文宋体"/>
              </w:rPr>
            </w:pPr>
            <w:r>
              <w:rPr>
                <w:rFonts w:hint="eastAsia" w:ascii="华文宋体" w:hAnsi="华文宋体" w:eastAsia="华文宋体"/>
              </w:rPr>
              <w:t>国药控制重庆泰民医药有限公司</w:t>
            </w:r>
          </w:p>
        </w:tc>
        <w:tc>
          <w:tcPr>
            <w:tcW w:w="992" w:type="dxa"/>
            <w:tcBorders>
              <w:top w:val="single" w:color="auto" w:sz="4" w:space="0"/>
              <w:left w:val="nil"/>
              <w:bottom w:val="single" w:color="auto" w:sz="4" w:space="0"/>
              <w:right w:val="single" w:color="auto" w:sz="4" w:space="0"/>
            </w:tcBorders>
            <w:shd w:val="clear" w:color="auto" w:fill="auto"/>
            <w:vAlign w:val="center"/>
          </w:tcPr>
          <w:p w14:paraId="050FC9FB">
            <w:pPr>
              <w:spacing w:line="320" w:lineRule="atLeast"/>
              <w:jc w:val="center"/>
              <w:rPr>
                <w:rFonts w:ascii="华文宋体" w:hAnsi="华文宋体" w:eastAsia="华文宋体"/>
              </w:rPr>
            </w:pPr>
            <w:r>
              <w:rPr>
                <w:rFonts w:hint="eastAsia" w:ascii="华文宋体" w:hAnsi="华文宋体" w:eastAsia="华文宋体"/>
              </w:rPr>
              <w:t>防护  物资</w:t>
            </w:r>
          </w:p>
        </w:tc>
        <w:tc>
          <w:tcPr>
            <w:tcW w:w="992" w:type="dxa"/>
            <w:tcBorders>
              <w:top w:val="single" w:color="auto" w:sz="4" w:space="0"/>
              <w:left w:val="nil"/>
              <w:bottom w:val="single" w:color="auto" w:sz="4" w:space="0"/>
              <w:right w:val="single" w:color="auto" w:sz="4" w:space="0"/>
            </w:tcBorders>
            <w:shd w:val="clear" w:color="auto" w:fill="auto"/>
            <w:vAlign w:val="center"/>
          </w:tcPr>
          <w:p w14:paraId="4A35540B">
            <w:pPr>
              <w:spacing w:line="320" w:lineRule="atLeast"/>
              <w:jc w:val="center"/>
              <w:rPr>
                <w:rFonts w:ascii="华文宋体" w:hAnsi="华文宋体" w:eastAsia="华文宋体"/>
              </w:rPr>
            </w:pPr>
            <w:r>
              <w:rPr>
                <w:rFonts w:hint="eastAsia" w:ascii="华文宋体" w:hAnsi="华文宋体" w:eastAsia="华文宋体"/>
              </w:rPr>
              <w:t>52336</w:t>
            </w:r>
          </w:p>
        </w:tc>
        <w:tc>
          <w:tcPr>
            <w:tcW w:w="993" w:type="dxa"/>
            <w:tcBorders>
              <w:top w:val="single" w:color="auto" w:sz="4" w:space="0"/>
              <w:left w:val="nil"/>
              <w:bottom w:val="single" w:color="auto" w:sz="4" w:space="0"/>
              <w:right w:val="single" w:color="auto" w:sz="4" w:space="0"/>
            </w:tcBorders>
            <w:shd w:val="clear" w:color="auto" w:fill="auto"/>
            <w:vAlign w:val="center"/>
          </w:tcPr>
          <w:p w14:paraId="6EBB5561">
            <w:pPr>
              <w:spacing w:line="320" w:lineRule="atLeast"/>
              <w:jc w:val="center"/>
              <w:rPr>
                <w:rFonts w:ascii="华文宋体" w:hAnsi="华文宋体" w:eastAsia="华文宋体"/>
                <w:color w:val="000000"/>
              </w:rPr>
            </w:pPr>
            <w:r>
              <w:rPr>
                <w:rFonts w:hint="eastAsia" w:ascii="华文宋体" w:hAnsi="华文宋体" w:eastAsia="华文宋体"/>
                <w:color w:val="000000"/>
              </w:rPr>
              <w:t>439.87</w:t>
            </w:r>
          </w:p>
        </w:tc>
        <w:tc>
          <w:tcPr>
            <w:tcW w:w="4394" w:type="dxa"/>
            <w:tcBorders>
              <w:top w:val="single" w:color="auto" w:sz="4" w:space="0"/>
              <w:left w:val="nil"/>
              <w:bottom w:val="single" w:color="auto" w:sz="4" w:space="0"/>
              <w:right w:val="single" w:color="auto" w:sz="4" w:space="0"/>
            </w:tcBorders>
            <w:shd w:val="clear" w:color="auto" w:fill="auto"/>
            <w:vAlign w:val="center"/>
          </w:tcPr>
          <w:p w14:paraId="21125266">
            <w:pPr>
              <w:spacing w:line="320" w:lineRule="atLeast"/>
              <w:jc w:val="center"/>
              <w:rPr>
                <w:rFonts w:ascii="华文宋体" w:hAnsi="华文宋体" w:eastAsia="华文宋体"/>
              </w:rPr>
            </w:pPr>
            <w:r>
              <w:rPr>
                <w:rFonts w:hint="eastAsia" w:ascii="华文宋体" w:hAnsi="华文宋体" w:eastAsia="华文宋体"/>
              </w:rPr>
              <w:t>紧急医用防护服9999件，一次性医用隔离衣18216件，手术衣390件，防疫口罩10000个石墨烯防护口罩995个，耐化学品德工业用模压塑料靴3双，医用护目镜12733个。</w:t>
            </w:r>
          </w:p>
        </w:tc>
      </w:tr>
      <w:tr w14:paraId="78C46814">
        <w:tblPrEx>
          <w:tblCellMar>
            <w:top w:w="0" w:type="dxa"/>
            <w:left w:w="108" w:type="dxa"/>
            <w:bottom w:w="0" w:type="dxa"/>
            <w:right w:w="108" w:type="dxa"/>
          </w:tblCellMar>
        </w:tblPrEx>
        <w:trPr>
          <w:trHeight w:val="544" w:hRule="atLeast"/>
        </w:trPr>
        <w:tc>
          <w:tcPr>
            <w:tcW w:w="569" w:type="dxa"/>
            <w:vMerge w:val="continue"/>
            <w:tcBorders>
              <w:top w:val="single" w:color="auto" w:sz="4" w:space="0"/>
              <w:left w:val="single" w:color="auto" w:sz="4" w:space="0"/>
              <w:bottom w:val="single" w:color="auto" w:sz="4" w:space="0"/>
              <w:right w:val="single" w:color="auto" w:sz="4" w:space="0"/>
            </w:tcBorders>
            <w:vAlign w:val="center"/>
          </w:tcPr>
          <w:p w14:paraId="4BA02BFF">
            <w:pPr>
              <w:spacing w:line="320" w:lineRule="atLeast"/>
              <w:jc w:val="center"/>
              <w:rPr>
                <w:rFonts w:ascii="华文宋体" w:hAnsi="华文宋体" w:eastAsia="华文宋体"/>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3EABF5E5">
            <w:pPr>
              <w:spacing w:line="320" w:lineRule="atLeast"/>
              <w:jc w:val="center"/>
              <w:rPr>
                <w:rFonts w:ascii="华文宋体" w:hAnsi="华文宋体" w:eastAsia="华文宋体"/>
              </w:rPr>
            </w:pPr>
          </w:p>
        </w:tc>
        <w:tc>
          <w:tcPr>
            <w:tcW w:w="992" w:type="dxa"/>
            <w:tcBorders>
              <w:top w:val="single" w:color="auto" w:sz="4" w:space="0"/>
              <w:left w:val="nil"/>
              <w:bottom w:val="single" w:color="auto" w:sz="4" w:space="0"/>
              <w:right w:val="single" w:color="auto" w:sz="4" w:space="0"/>
            </w:tcBorders>
            <w:shd w:val="clear" w:color="auto" w:fill="auto"/>
            <w:vAlign w:val="center"/>
          </w:tcPr>
          <w:p w14:paraId="242F015D">
            <w:pPr>
              <w:spacing w:line="320" w:lineRule="atLeast"/>
              <w:jc w:val="center"/>
              <w:rPr>
                <w:rFonts w:ascii="华文宋体" w:hAnsi="华文宋体" w:eastAsia="华文宋体"/>
              </w:rPr>
            </w:pPr>
            <w:r>
              <w:rPr>
                <w:rFonts w:hint="eastAsia" w:ascii="华文宋体" w:hAnsi="华文宋体" w:eastAsia="华文宋体"/>
              </w:rPr>
              <w:t>防护  器械</w:t>
            </w:r>
          </w:p>
        </w:tc>
        <w:tc>
          <w:tcPr>
            <w:tcW w:w="992" w:type="dxa"/>
            <w:tcBorders>
              <w:top w:val="single" w:color="auto" w:sz="4" w:space="0"/>
              <w:left w:val="nil"/>
              <w:bottom w:val="single" w:color="auto" w:sz="4" w:space="0"/>
              <w:right w:val="single" w:color="auto" w:sz="4" w:space="0"/>
            </w:tcBorders>
            <w:shd w:val="clear" w:color="auto" w:fill="auto"/>
            <w:vAlign w:val="center"/>
          </w:tcPr>
          <w:p w14:paraId="421C65A5">
            <w:pPr>
              <w:spacing w:line="320" w:lineRule="atLeast"/>
              <w:jc w:val="center"/>
              <w:rPr>
                <w:rFonts w:ascii="华文宋体" w:hAnsi="华文宋体" w:eastAsia="华文宋体"/>
              </w:rPr>
            </w:pPr>
            <w:r>
              <w:rPr>
                <w:rFonts w:hint="eastAsia" w:ascii="华文宋体" w:hAnsi="华文宋体" w:eastAsia="华文宋体"/>
              </w:rPr>
              <w:t>347</w:t>
            </w:r>
          </w:p>
        </w:tc>
        <w:tc>
          <w:tcPr>
            <w:tcW w:w="993" w:type="dxa"/>
            <w:tcBorders>
              <w:top w:val="single" w:color="auto" w:sz="4" w:space="0"/>
              <w:left w:val="nil"/>
              <w:bottom w:val="single" w:color="auto" w:sz="4" w:space="0"/>
              <w:right w:val="single" w:color="auto" w:sz="4" w:space="0"/>
            </w:tcBorders>
            <w:shd w:val="clear" w:color="auto" w:fill="auto"/>
            <w:vAlign w:val="center"/>
          </w:tcPr>
          <w:p w14:paraId="38F1A3F9">
            <w:pPr>
              <w:spacing w:line="320" w:lineRule="atLeast"/>
              <w:jc w:val="center"/>
              <w:rPr>
                <w:rFonts w:ascii="华文宋体" w:hAnsi="华文宋体" w:eastAsia="华文宋体"/>
                <w:color w:val="000000"/>
              </w:rPr>
            </w:pPr>
            <w:r>
              <w:rPr>
                <w:rFonts w:hint="eastAsia" w:ascii="华文宋体" w:hAnsi="华文宋体" w:eastAsia="华文宋体"/>
                <w:color w:val="000000"/>
              </w:rPr>
              <w:t>170.79</w:t>
            </w:r>
          </w:p>
        </w:tc>
        <w:tc>
          <w:tcPr>
            <w:tcW w:w="4394" w:type="dxa"/>
            <w:tcBorders>
              <w:top w:val="single" w:color="auto" w:sz="4" w:space="0"/>
              <w:left w:val="nil"/>
              <w:bottom w:val="single" w:color="auto" w:sz="4" w:space="0"/>
              <w:right w:val="single" w:color="auto" w:sz="4" w:space="0"/>
            </w:tcBorders>
            <w:shd w:val="clear" w:color="auto" w:fill="auto"/>
            <w:vAlign w:val="center"/>
          </w:tcPr>
          <w:p w14:paraId="0B9A3360">
            <w:pPr>
              <w:spacing w:line="320" w:lineRule="atLeast"/>
              <w:jc w:val="center"/>
              <w:rPr>
                <w:rFonts w:ascii="华文宋体" w:hAnsi="华文宋体" w:eastAsia="华文宋体"/>
              </w:rPr>
            </w:pPr>
            <w:r>
              <w:rPr>
                <w:rFonts w:hint="eastAsia" w:ascii="华文宋体" w:hAnsi="华文宋体" w:eastAsia="华文宋体"/>
              </w:rPr>
              <w:t>背负式蓄电池超低容量喷雾机3台，丸山喷雾器341台，红外热成像体温快速筛检仪3台。</w:t>
            </w:r>
          </w:p>
        </w:tc>
      </w:tr>
      <w:tr w14:paraId="7C66CC7E">
        <w:tblPrEx>
          <w:tblCellMar>
            <w:top w:w="0" w:type="dxa"/>
            <w:left w:w="108" w:type="dxa"/>
            <w:bottom w:w="0" w:type="dxa"/>
            <w:right w:w="108" w:type="dxa"/>
          </w:tblCellMar>
        </w:tblPrEx>
        <w:trPr>
          <w:trHeight w:val="500" w:hRule="atLeast"/>
        </w:trPr>
        <w:tc>
          <w:tcPr>
            <w:tcW w:w="569" w:type="dxa"/>
            <w:vMerge w:val="continue"/>
            <w:tcBorders>
              <w:top w:val="single" w:color="auto" w:sz="4" w:space="0"/>
              <w:left w:val="single" w:color="auto" w:sz="4" w:space="0"/>
              <w:bottom w:val="single" w:color="auto" w:sz="4" w:space="0"/>
              <w:right w:val="single" w:color="auto" w:sz="4" w:space="0"/>
            </w:tcBorders>
            <w:vAlign w:val="center"/>
          </w:tcPr>
          <w:p w14:paraId="055A33B7">
            <w:pPr>
              <w:spacing w:line="320" w:lineRule="atLeast"/>
              <w:jc w:val="center"/>
              <w:rPr>
                <w:rFonts w:ascii="华文宋体" w:hAnsi="华文宋体" w:eastAsia="华文宋体"/>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14:paraId="2EED85E2">
            <w:pPr>
              <w:spacing w:line="320" w:lineRule="atLeast"/>
              <w:jc w:val="center"/>
              <w:rPr>
                <w:rFonts w:ascii="华文宋体" w:hAnsi="华文宋体" w:eastAsia="华文宋体"/>
              </w:rPr>
            </w:pPr>
          </w:p>
        </w:tc>
        <w:tc>
          <w:tcPr>
            <w:tcW w:w="992" w:type="dxa"/>
            <w:tcBorders>
              <w:top w:val="single" w:color="auto" w:sz="4" w:space="0"/>
              <w:left w:val="nil"/>
              <w:bottom w:val="single" w:color="auto" w:sz="4" w:space="0"/>
              <w:right w:val="single" w:color="auto" w:sz="4" w:space="0"/>
            </w:tcBorders>
            <w:shd w:val="clear" w:color="auto" w:fill="auto"/>
            <w:vAlign w:val="center"/>
          </w:tcPr>
          <w:p w14:paraId="294DF45B">
            <w:pPr>
              <w:spacing w:line="320" w:lineRule="atLeast"/>
              <w:jc w:val="center"/>
              <w:rPr>
                <w:rFonts w:ascii="华文宋体" w:hAnsi="华文宋体" w:eastAsia="华文宋体"/>
              </w:rPr>
            </w:pPr>
            <w:r>
              <w:rPr>
                <w:rFonts w:hint="eastAsia" w:ascii="华文宋体" w:hAnsi="华文宋体" w:eastAsia="华文宋体"/>
              </w:rPr>
              <w:t>检测  试剂</w:t>
            </w:r>
          </w:p>
        </w:tc>
        <w:tc>
          <w:tcPr>
            <w:tcW w:w="992" w:type="dxa"/>
            <w:tcBorders>
              <w:top w:val="single" w:color="auto" w:sz="4" w:space="0"/>
              <w:left w:val="nil"/>
              <w:bottom w:val="single" w:color="auto" w:sz="4" w:space="0"/>
              <w:right w:val="single" w:color="auto" w:sz="4" w:space="0"/>
            </w:tcBorders>
            <w:shd w:val="clear" w:color="auto" w:fill="auto"/>
            <w:vAlign w:val="center"/>
          </w:tcPr>
          <w:p w14:paraId="3FF3C8D2">
            <w:pPr>
              <w:spacing w:line="320" w:lineRule="atLeast"/>
              <w:jc w:val="center"/>
              <w:rPr>
                <w:rFonts w:ascii="华文宋体" w:hAnsi="华文宋体" w:eastAsia="华文宋体"/>
              </w:rPr>
            </w:pPr>
            <w:r>
              <w:rPr>
                <w:rFonts w:hint="eastAsia" w:ascii="华文宋体" w:hAnsi="华文宋体" w:eastAsia="华文宋体"/>
              </w:rPr>
              <w:t>360</w:t>
            </w:r>
          </w:p>
        </w:tc>
        <w:tc>
          <w:tcPr>
            <w:tcW w:w="993" w:type="dxa"/>
            <w:tcBorders>
              <w:top w:val="single" w:color="auto" w:sz="4" w:space="0"/>
              <w:left w:val="nil"/>
              <w:bottom w:val="single" w:color="auto" w:sz="4" w:space="0"/>
              <w:right w:val="single" w:color="auto" w:sz="4" w:space="0"/>
            </w:tcBorders>
            <w:shd w:val="clear" w:color="auto" w:fill="auto"/>
            <w:vAlign w:val="center"/>
          </w:tcPr>
          <w:p w14:paraId="2E41AD3F">
            <w:pPr>
              <w:spacing w:line="320" w:lineRule="atLeast"/>
              <w:jc w:val="center"/>
              <w:rPr>
                <w:rFonts w:ascii="华文宋体" w:hAnsi="华文宋体" w:eastAsia="华文宋体"/>
                <w:color w:val="000000"/>
              </w:rPr>
            </w:pPr>
            <w:r>
              <w:rPr>
                <w:rFonts w:hint="eastAsia" w:ascii="华文宋体" w:hAnsi="华文宋体" w:eastAsia="华文宋体"/>
                <w:color w:val="000000"/>
              </w:rPr>
              <w:t>2.94</w:t>
            </w:r>
          </w:p>
        </w:tc>
        <w:tc>
          <w:tcPr>
            <w:tcW w:w="4394" w:type="dxa"/>
            <w:tcBorders>
              <w:top w:val="single" w:color="auto" w:sz="4" w:space="0"/>
              <w:left w:val="nil"/>
              <w:bottom w:val="single" w:color="auto" w:sz="4" w:space="0"/>
              <w:right w:val="single" w:color="auto" w:sz="4" w:space="0"/>
            </w:tcBorders>
            <w:shd w:val="clear" w:color="auto" w:fill="auto"/>
            <w:vAlign w:val="center"/>
          </w:tcPr>
          <w:p w14:paraId="16CA5840">
            <w:pPr>
              <w:spacing w:line="320" w:lineRule="atLeast"/>
              <w:jc w:val="center"/>
              <w:rPr>
                <w:rFonts w:ascii="华文宋体" w:hAnsi="华文宋体" w:eastAsia="华文宋体"/>
              </w:rPr>
            </w:pPr>
            <w:r>
              <w:rPr>
                <w:rFonts w:hint="eastAsia" w:ascii="华文宋体" w:hAnsi="华文宋体" w:eastAsia="华文宋体"/>
              </w:rPr>
              <w:t>新型冠状病毒免核酸提取RNA检测试剂盒360盒。</w:t>
            </w:r>
          </w:p>
        </w:tc>
      </w:tr>
      <w:tr w14:paraId="251E430C">
        <w:tblPrEx>
          <w:tblCellMar>
            <w:top w:w="0" w:type="dxa"/>
            <w:left w:w="108" w:type="dxa"/>
            <w:bottom w:w="0" w:type="dxa"/>
            <w:right w:w="108" w:type="dxa"/>
          </w:tblCellMar>
        </w:tblPrEx>
        <w:trPr>
          <w:trHeight w:val="500" w:hRule="atLeast"/>
        </w:trPr>
        <w:tc>
          <w:tcPr>
            <w:tcW w:w="255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61B8AA7">
            <w:pPr>
              <w:spacing w:line="320" w:lineRule="atLeast"/>
              <w:jc w:val="center"/>
              <w:rPr>
                <w:rFonts w:ascii="华文宋体" w:hAnsi="华文宋体" w:eastAsia="华文宋体"/>
              </w:rPr>
            </w:pPr>
            <w:r>
              <w:rPr>
                <w:rFonts w:hint="eastAsia" w:ascii="华文宋体" w:hAnsi="华文宋体" w:eastAsia="华文宋体"/>
              </w:rPr>
              <w:t>小计</w:t>
            </w:r>
          </w:p>
        </w:tc>
        <w:tc>
          <w:tcPr>
            <w:tcW w:w="992" w:type="dxa"/>
            <w:tcBorders>
              <w:top w:val="single" w:color="auto" w:sz="4" w:space="0"/>
              <w:left w:val="nil"/>
              <w:bottom w:val="single" w:color="auto" w:sz="4" w:space="0"/>
              <w:right w:val="single" w:color="auto" w:sz="4" w:space="0"/>
            </w:tcBorders>
            <w:shd w:val="clear" w:color="auto" w:fill="auto"/>
            <w:vAlign w:val="center"/>
          </w:tcPr>
          <w:p w14:paraId="728FDF66">
            <w:pPr>
              <w:spacing w:line="320" w:lineRule="atLeast"/>
              <w:jc w:val="center"/>
              <w:rPr>
                <w:rFonts w:ascii="华文宋体" w:hAnsi="华文宋体" w:eastAsia="华文宋体"/>
              </w:rPr>
            </w:pPr>
            <w:r>
              <w:rPr>
                <w:rFonts w:hint="eastAsia" w:ascii="华文宋体" w:hAnsi="华文宋体" w:eastAsia="华文宋体"/>
              </w:rPr>
              <w:t>53043</w:t>
            </w:r>
          </w:p>
        </w:tc>
        <w:tc>
          <w:tcPr>
            <w:tcW w:w="993" w:type="dxa"/>
            <w:tcBorders>
              <w:top w:val="single" w:color="auto" w:sz="4" w:space="0"/>
              <w:left w:val="nil"/>
              <w:bottom w:val="single" w:color="auto" w:sz="4" w:space="0"/>
              <w:right w:val="single" w:color="auto" w:sz="4" w:space="0"/>
            </w:tcBorders>
            <w:shd w:val="clear" w:color="auto" w:fill="auto"/>
            <w:vAlign w:val="center"/>
          </w:tcPr>
          <w:p w14:paraId="2D99FDCE">
            <w:pPr>
              <w:spacing w:line="320" w:lineRule="atLeast"/>
              <w:jc w:val="center"/>
              <w:rPr>
                <w:rFonts w:ascii="华文宋体" w:hAnsi="华文宋体" w:eastAsia="华文宋体"/>
              </w:rPr>
            </w:pPr>
            <w:r>
              <w:rPr>
                <w:rFonts w:hint="eastAsia" w:ascii="华文宋体" w:hAnsi="华文宋体" w:eastAsia="华文宋体"/>
              </w:rPr>
              <w:t>613.60</w:t>
            </w:r>
          </w:p>
        </w:tc>
        <w:tc>
          <w:tcPr>
            <w:tcW w:w="4394" w:type="dxa"/>
            <w:tcBorders>
              <w:top w:val="single" w:color="auto" w:sz="4" w:space="0"/>
              <w:left w:val="nil"/>
              <w:bottom w:val="single" w:color="auto" w:sz="4" w:space="0"/>
              <w:right w:val="single" w:color="auto" w:sz="4" w:space="0"/>
            </w:tcBorders>
            <w:shd w:val="clear" w:color="auto" w:fill="auto"/>
            <w:vAlign w:val="center"/>
          </w:tcPr>
          <w:p w14:paraId="5BE7C529">
            <w:pPr>
              <w:spacing w:line="320" w:lineRule="atLeast"/>
              <w:jc w:val="center"/>
              <w:rPr>
                <w:rFonts w:ascii="华文宋体" w:hAnsi="华文宋体" w:eastAsia="华文宋体"/>
                <w:color w:val="000000"/>
              </w:rPr>
            </w:pPr>
          </w:p>
        </w:tc>
      </w:tr>
      <w:tr w14:paraId="1B0733CA">
        <w:tblPrEx>
          <w:tblCellMar>
            <w:top w:w="0" w:type="dxa"/>
            <w:left w:w="108" w:type="dxa"/>
            <w:bottom w:w="0" w:type="dxa"/>
            <w:right w:w="108" w:type="dxa"/>
          </w:tblCellMar>
        </w:tblPrEx>
        <w:trPr>
          <w:trHeight w:val="500" w:hRule="atLeast"/>
        </w:trPr>
        <w:tc>
          <w:tcPr>
            <w:tcW w:w="255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41A830E">
            <w:pPr>
              <w:spacing w:line="320" w:lineRule="atLeast"/>
              <w:jc w:val="center"/>
              <w:rPr>
                <w:rFonts w:ascii="华文宋体" w:hAnsi="华文宋体" w:eastAsia="华文宋体"/>
              </w:rPr>
            </w:pPr>
            <w:r>
              <w:rPr>
                <w:rFonts w:hint="eastAsia" w:ascii="华文宋体" w:hAnsi="华文宋体" w:eastAsia="华文宋体"/>
              </w:rPr>
              <w:t>合计</w:t>
            </w:r>
          </w:p>
        </w:tc>
        <w:tc>
          <w:tcPr>
            <w:tcW w:w="992" w:type="dxa"/>
            <w:tcBorders>
              <w:top w:val="single" w:color="auto" w:sz="4" w:space="0"/>
              <w:left w:val="nil"/>
              <w:bottom w:val="single" w:color="auto" w:sz="4" w:space="0"/>
              <w:right w:val="single" w:color="auto" w:sz="4" w:space="0"/>
            </w:tcBorders>
            <w:shd w:val="clear" w:color="auto" w:fill="auto"/>
            <w:vAlign w:val="center"/>
          </w:tcPr>
          <w:p w14:paraId="1AFF4F01">
            <w:pPr>
              <w:spacing w:line="320" w:lineRule="atLeast"/>
              <w:jc w:val="center"/>
              <w:rPr>
                <w:rFonts w:ascii="华文宋体" w:hAnsi="华文宋体" w:eastAsia="华文宋体"/>
              </w:rPr>
            </w:pPr>
            <w:r>
              <w:rPr>
                <w:rFonts w:hint="eastAsia" w:ascii="华文宋体" w:hAnsi="华文宋体" w:eastAsia="华文宋体"/>
              </w:rPr>
              <w:t>582249</w:t>
            </w:r>
          </w:p>
        </w:tc>
        <w:tc>
          <w:tcPr>
            <w:tcW w:w="993" w:type="dxa"/>
            <w:tcBorders>
              <w:top w:val="single" w:color="auto" w:sz="4" w:space="0"/>
              <w:left w:val="nil"/>
              <w:bottom w:val="single" w:color="auto" w:sz="4" w:space="0"/>
              <w:right w:val="single" w:color="auto" w:sz="4" w:space="0"/>
            </w:tcBorders>
            <w:shd w:val="clear" w:color="auto" w:fill="auto"/>
            <w:vAlign w:val="center"/>
          </w:tcPr>
          <w:p w14:paraId="1995CE2B">
            <w:pPr>
              <w:spacing w:line="320" w:lineRule="atLeast"/>
              <w:jc w:val="center"/>
              <w:rPr>
                <w:rFonts w:ascii="华文宋体" w:hAnsi="华文宋体" w:eastAsia="华文宋体"/>
                <w:color w:val="000000"/>
              </w:rPr>
            </w:pPr>
            <w:r>
              <w:rPr>
                <w:rFonts w:hint="eastAsia" w:ascii="华文宋体" w:hAnsi="华文宋体" w:eastAsia="华文宋体"/>
                <w:color w:val="000000"/>
              </w:rPr>
              <w:t>865.60</w:t>
            </w:r>
          </w:p>
        </w:tc>
        <w:tc>
          <w:tcPr>
            <w:tcW w:w="4394" w:type="dxa"/>
            <w:tcBorders>
              <w:top w:val="single" w:color="auto" w:sz="4" w:space="0"/>
              <w:left w:val="nil"/>
              <w:bottom w:val="single" w:color="auto" w:sz="4" w:space="0"/>
              <w:right w:val="single" w:color="auto" w:sz="4" w:space="0"/>
            </w:tcBorders>
            <w:shd w:val="clear" w:color="auto" w:fill="auto"/>
            <w:vAlign w:val="center"/>
          </w:tcPr>
          <w:p w14:paraId="19C1BD16">
            <w:pPr>
              <w:spacing w:line="320" w:lineRule="atLeast"/>
              <w:jc w:val="center"/>
              <w:rPr>
                <w:rFonts w:ascii="华文宋体" w:hAnsi="华文宋体" w:eastAsia="华文宋体"/>
              </w:rPr>
            </w:pPr>
          </w:p>
        </w:tc>
      </w:tr>
    </w:tbl>
    <w:p w14:paraId="372D2894">
      <w:pPr>
        <w:pStyle w:val="2"/>
        <w:numPr>
          <w:ilvl w:val="0"/>
          <w:numId w:val="1"/>
        </w:numPr>
        <w:ind w:firstLine="480" w:firstLineChars="200"/>
        <w:rPr>
          <w:rFonts w:ascii="华文宋体" w:hAnsi="华文宋体" w:eastAsia="华文宋体"/>
          <w:sz w:val="24"/>
          <w:szCs w:val="24"/>
        </w:rPr>
      </w:pPr>
      <w:bookmarkStart w:id="1" w:name="_Toc75123282"/>
      <w:r>
        <w:rPr>
          <w:rFonts w:hint="eastAsia" w:ascii="华文宋体" w:hAnsi="华文宋体" w:eastAsia="华文宋体"/>
          <w:sz w:val="24"/>
          <w:szCs w:val="24"/>
        </w:rPr>
        <w:t>绩效评价指标分析情况。</w:t>
      </w:r>
      <w:bookmarkEnd w:id="1"/>
      <w:bookmarkStart w:id="2" w:name="_Toc75123283"/>
    </w:p>
    <w:p w14:paraId="7607C9EF">
      <w:pPr>
        <w:pStyle w:val="2"/>
        <w:ind w:firstLine="480" w:firstLineChars="200"/>
        <w:rPr>
          <w:rFonts w:ascii="华文宋体" w:hAnsi="华文宋体" w:eastAsia="华文宋体"/>
          <w:b w:val="0"/>
          <w:sz w:val="24"/>
          <w:szCs w:val="24"/>
        </w:rPr>
      </w:pPr>
      <w:r>
        <w:rPr>
          <w:rFonts w:hint="eastAsia" w:ascii="华文宋体" w:hAnsi="华文宋体" w:eastAsia="华文宋体"/>
          <w:b w:val="0"/>
          <w:sz w:val="24"/>
          <w:szCs w:val="24"/>
        </w:rPr>
        <w:t>（一）项目投入情况</w:t>
      </w:r>
      <w:bookmarkEnd w:id="2"/>
    </w:p>
    <w:p w14:paraId="35D68A63">
      <w:pPr>
        <w:ind w:firstLine="480" w:firstLineChars="200"/>
        <w:rPr>
          <w:rFonts w:ascii="华文宋体" w:hAnsi="华文宋体" w:eastAsia="华文宋体"/>
        </w:rPr>
      </w:pPr>
      <w:r>
        <w:rPr>
          <w:rFonts w:hint="eastAsia" w:ascii="华文宋体" w:hAnsi="华文宋体" w:eastAsia="华文宋体"/>
        </w:rPr>
        <w:t>项目投入总分10分，实际得分10分。</w:t>
      </w:r>
    </w:p>
    <w:p w14:paraId="360D3595">
      <w:pPr>
        <w:ind w:firstLine="480" w:firstLineChars="200"/>
        <w:rPr>
          <w:rFonts w:ascii="华文宋体" w:hAnsi="华文宋体" w:eastAsia="华文宋体"/>
        </w:rPr>
      </w:pPr>
      <w:r>
        <w:rPr>
          <w:rFonts w:hint="eastAsia" w:ascii="华文宋体" w:hAnsi="华文宋体" w:eastAsia="华文宋体"/>
        </w:rPr>
        <w:t>1、项目立项</w:t>
      </w:r>
    </w:p>
    <w:p w14:paraId="3BF46A19">
      <w:pPr>
        <w:ind w:firstLine="480" w:firstLineChars="200"/>
        <w:rPr>
          <w:rFonts w:ascii="华文宋体" w:hAnsi="华文宋体" w:eastAsia="华文宋体"/>
        </w:rPr>
      </w:pPr>
      <w:r>
        <w:rPr>
          <w:rFonts w:hint="eastAsia" w:ascii="华文宋体" w:hAnsi="华文宋体" w:eastAsia="华文宋体"/>
        </w:rPr>
        <w:t xml:space="preserve"> （1）立项规范性</w:t>
      </w:r>
    </w:p>
    <w:p w14:paraId="23E42E8E">
      <w:pPr>
        <w:ind w:firstLine="480" w:firstLineChars="200"/>
        <w:rPr>
          <w:rFonts w:ascii="华文宋体" w:hAnsi="华文宋体" w:eastAsia="华文宋体"/>
        </w:rPr>
      </w:pPr>
      <w:r>
        <w:rPr>
          <w:rFonts w:hint="eastAsia" w:ascii="华文宋体" w:hAnsi="华文宋体" w:eastAsia="华文宋体"/>
        </w:rPr>
        <w:t>①项目立项符合法律法规、相关政策得1分</w:t>
      </w:r>
    </w:p>
    <w:p w14:paraId="1162DDA5">
      <w:pPr>
        <w:ind w:firstLine="480" w:firstLineChars="200"/>
        <w:rPr>
          <w:rFonts w:ascii="华文宋体" w:hAnsi="华文宋体" w:eastAsia="华文宋体"/>
        </w:rPr>
      </w:pPr>
      <w:r>
        <w:rPr>
          <w:rFonts w:hint="eastAsia" w:ascii="华文宋体" w:hAnsi="华文宋体" w:eastAsia="华文宋体"/>
        </w:rPr>
        <w:t>②项目立项与部门职责范围相符，属于部门履职所需得1分</w:t>
      </w:r>
    </w:p>
    <w:p w14:paraId="1A2D5F7E">
      <w:pPr>
        <w:ind w:firstLine="480" w:firstLineChars="200"/>
        <w:rPr>
          <w:rFonts w:ascii="华文宋体" w:hAnsi="华文宋体" w:eastAsia="华文宋体"/>
        </w:rPr>
      </w:pPr>
      <w:r>
        <w:rPr>
          <w:rFonts w:hint="eastAsia" w:ascii="华文宋体" w:hAnsi="华文宋体" w:eastAsia="华文宋体"/>
        </w:rPr>
        <w:t>③项目按照规定的程序申请设立得1分</w:t>
      </w:r>
    </w:p>
    <w:p w14:paraId="01D379A9">
      <w:pPr>
        <w:ind w:firstLine="480" w:firstLineChars="200"/>
        <w:rPr>
          <w:rFonts w:ascii="华文宋体" w:hAnsi="华文宋体" w:eastAsia="华文宋体"/>
        </w:rPr>
      </w:pPr>
      <w:r>
        <w:rPr>
          <w:rFonts w:hint="eastAsia" w:ascii="华文宋体" w:hAnsi="华文宋体" w:eastAsia="华文宋体"/>
        </w:rPr>
        <w:t>④审批文件、材料符合相关要求得1分</w:t>
      </w:r>
    </w:p>
    <w:p w14:paraId="6007E7B3">
      <w:pPr>
        <w:ind w:firstLine="480" w:firstLineChars="200"/>
        <w:rPr>
          <w:rFonts w:ascii="华文宋体" w:hAnsi="华文宋体" w:eastAsia="华文宋体"/>
        </w:rPr>
      </w:pPr>
      <w:r>
        <w:rPr>
          <w:rFonts w:hint="eastAsia" w:ascii="华文宋体" w:hAnsi="华文宋体" w:eastAsia="华文宋体"/>
        </w:rPr>
        <w:t>（2）绩效目标合理性</w:t>
      </w:r>
    </w:p>
    <w:p w14:paraId="76AF7FD6">
      <w:pPr>
        <w:ind w:firstLine="480" w:firstLineChars="200"/>
        <w:rPr>
          <w:rFonts w:ascii="华文宋体" w:hAnsi="华文宋体" w:eastAsia="华文宋体"/>
        </w:rPr>
      </w:pPr>
      <w:r>
        <w:rPr>
          <w:rFonts w:hint="eastAsia" w:ascii="华文宋体" w:hAnsi="华文宋体" w:eastAsia="华文宋体"/>
        </w:rPr>
        <w:t>①项目立项符合国家相关法律法规、国民经济发展规划和党委政府决策得1分</w:t>
      </w:r>
    </w:p>
    <w:p w14:paraId="1C2E5610">
      <w:pPr>
        <w:ind w:firstLine="480" w:firstLineChars="200"/>
        <w:rPr>
          <w:rFonts w:ascii="华文宋体" w:hAnsi="华文宋体" w:eastAsia="华文宋体"/>
        </w:rPr>
      </w:pPr>
      <w:r>
        <w:rPr>
          <w:rFonts w:hint="eastAsia" w:ascii="华文宋体" w:hAnsi="华文宋体" w:eastAsia="华文宋体"/>
        </w:rPr>
        <w:t>②项目预期产出效益和效果符合正常的业绩水平得1分</w:t>
      </w:r>
    </w:p>
    <w:p w14:paraId="644344D4">
      <w:pPr>
        <w:ind w:firstLine="480" w:firstLineChars="200"/>
        <w:rPr>
          <w:rFonts w:ascii="华文宋体" w:hAnsi="华文宋体" w:eastAsia="华文宋体"/>
        </w:rPr>
      </w:pPr>
      <w:r>
        <w:rPr>
          <w:rFonts w:hint="eastAsia" w:ascii="华文宋体" w:hAnsi="华文宋体" w:eastAsia="华文宋体"/>
        </w:rPr>
        <w:t>（3）绩效指标明确性</w:t>
      </w:r>
    </w:p>
    <w:p w14:paraId="517B6CC8">
      <w:pPr>
        <w:ind w:firstLine="480" w:firstLineChars="200"/>
        <w:rPr>
          <w:rFonts w:ascii="华文宋体" w:hAnsi="华文宋体" w:eastAsia="华文宋体"/>
        </w:rPr>
      </w:pPr>
      <w:r>
        <w:rPr>
          <w:rFonts w:hint="eastAsia" w:ascii="华文宋体" w:hAnsi="华文宋体" w:eastAsia="华文宋体"/>
        </w:rPr>
        <w:t>①绩效指标按市级、区县级指标值予以体现得1分</w:t>
      </w:r>
    </w:p>
    <w:p w14:paraId="2EB36344">
      <w:pPr>
        <w:ind w:firstLine="480" w:firstLineChars="200"/>
        <w:rPr>
          <w:rFonts w:ascii="华文宋体" w:hAnsi="华文宋体" w:eastAsia="华文宋体"/>
        </w:rPr>
      </w:pPr>
      <w:r>
        <w:rPr>
          <w:rFonts w:hint="eastAsia" w:ascii="华文宋体" w:hAnsi="华文宋体" w:eastAsia="华文宋体"/>
        </w:rPr>
        <w:t>②绩效目标资金和任务细化到具体单位得1分</w:t>
      </w:r>
    </w:p>
    <w:p w14:paraId="48E89A59">
      <w:pPr>
        <w:ind w:firstLine="480" w:firstLineChars="200"/>
        <w:rPr>
          <w:rFonts w:ascii="华文宋体" w:hAnsi="华文宋体" w:eastAsia="华文宋体"/>
        </w:rPr>
      </w:pPr>
      <w:r>
        <w:rPr>
          <w:rFonts w:hint="eastAsia" w:ascii="华文宋体" w:hAnsi="华文宋体" w:eastAsia="华文宋体"/>
        </w:rPr>
        <w:t>2、资金落实</w:t>
      </w:r>
    </w:p>
    <w:p w14:paraId="29F3DB90">
      <w:pPr>
        <w:ind w:firstLine="480" w:firstLineChars="200"/>
        <w:rPr>
          <w:rFonts w:ascii="华文宋体" w:hAnsi="华文宋体" w:eastAsia="华文宋体"/>
        </w:rPr>
      </w:pPr>
      <w:r>
        <w:rPr>
          <w:rFonts w:hint="eastAsia" w:ascii="华文宋体" w:hAnsi="华文宋体" w:eastAsia="华文宋体"/>
        </w:rPr>
        <w:t>（1）资金到位率</w:t>
      </w:r>
    </w:p>
    <w:p w14:paraId="53F80A12">
      <w:pPr>
        <w:ind w:firstLine="480" w:firstLineChars="200"/>
        <w:rPr>
          <w:rFonts w:ascii="华文宋体" w:hAnsi="华文宋体" w:eastAsia="华文宋体"/>
        </w:rPr>
      </w:pPr>
      <w:r>
        <w:rPr>
          <w:rFonts w:hint="eastAsia" w:ascii="华文宋体" w:hAnsi="华文宋体" w:eastAsia="华文宋体"/>
        </w:rPr>
        <w:t>项目资金2020年度预算总额865.6万元，实际到位865.6万元，资金到位率100%。资金到位率=（865.6万元/865.6万元）×100%=100%，资金到位率100%得1分。</w:t>
      </w:r>
    </w:p>
    <w:p w14:paraId="3C550F88">
      <w:pPr>
        <w:pStyle w:val="15"/>
        <w:tabs>
          <w:tab w:val="center" w:pos="4153"/>
          <w:tab w:val="left" w:pos="7275"/>
        </w:tabs>
        <w:spacing w:line="600" w:lineRule="exact"/>
        <w:ind w:firstLine="0" w:firstLineChars="0"/>
        <w:rPr>
          <w:rFonts w:ascii="华文宋体" w:hAnsi="华文宋体" w:eastAsia="华文宋体" w:cs="宋体"/>
          <w:b/>
          <w:kern w:val="0"/>
          <w:sz w:val="24"/>
          <w:szCs w:val="24"/>
        </w:rPr>
      </w:pPr>
      <w:r>
        <w:rPr>
          <w:rFonts w:hint="eastAsia" w:ascii="华文宋体" w:hAnsi="华文宋体" w:eastAsia="华文宋体" w:cs="宋体"/>
          <w:sz w:val="24"/>
          <w:szCs w:val="24"/>
        </w:rPr>
        <w:t>各项目2020年度预算金额及实际到位情况详见下表（单位：万元）：</w:t>
      </w:r>
    </w:p>
    <w:tbl>
      <w:tblPr>
        <w:tblStyle w:val="9"/>
        <w:tblW w:w="9140" w:type="dxa"/>
        <w:tblInd w:w="93" w:type="dxa"/>
        <w:tblLayout w:type="fixed"/>
        <w:tblCellMar>
          <w:top w:w="0" w:type="dxa"/>
          <w:left w:w="108" w:type="dxa"/>
          <w:bottom w:w="0" w:type="dxa"/>
          <w:right w:w="108" w:type="dxa"/>
        </w:tblCellMar>
      </w:tblPr>
      <w:tblGrid>
        <w:gridCol w:w="430"/>
        <w:gridCol w:w="1995"/>
        <w:gridCol w:w="1459"/>
        <w:gridCol w:w="1276"/>
        <w:gridCol w:w="951"/>
        <w:gridCol w:w="1842"/>
        <w:gridCol w:w="1187"/>
      </w:tblGrid>
      <w:tr w14:paraId="751AC29F">
        <w:tblPrEx>
          <w:tblCellMar>
            <w:top w:w="0" w:type="dxa"/>
            <w:left w:w="108" w:type="dxa"/>
            <w:bottom w:w="0" w:type="dxa"/>
            <w:right w:w="108" w:type="dxa"/>
          </w:tblCellMar>
        </w:tblPrEx>
        <w:trPr>
          <w:trHeight w:val="501" w:hRule="atLeast"/>
        </w:trPr>
        <w:tc>
          <w:tcPr>
            <w:tcW w:w="430" w:type="dxa"/>
            <w:tcBorders>
              <w:top w:val="single" w:color="auto" w:sz="4" w:space="0"/>
              <w:left w:val="single" w:color="auto" w:sz="4" w:space="0"/>
              <w:bottom w:val="single" w:color="auto" w:sz="4" w:space="0"/>
              <w:right w:val="single" w:color="auto" w:sz="4" w:space="0"/>
            </w:tcBorders>
            <w:shd w:val="clear" w:color="auto" w:fill="auto"/>
            <w:vAlign w:val="center"/>
          </w:tcPr>
          <w:p w14:paraId="6A2D8179">
            <w:pPr>
              <w:spacing w:line="320" w:lineRule="atLeast"/>
              <w:jc w:val="center"/>
              <w:rPr>
                <w:rFonts w:ascii="华文宋体" w:hAnsi="华文宋体" w:eastAsia="华文宋体"/>
              </w:rPr>
            </w:pPr>
            <w:r>
              <w:rPr>
                <w:rFonts w:hint="eastAsia" w:ascii="华文宋体" w:hAnsi="华文宋体" w:eastAsia="华文宋体"/>
              </w:rPr>
              <w:t>序号</w:t>
            </w:r>
          </w:p>
        </w:tc>
        <w:tc>
          <w:tcPr>
            <w:tcW w:w="1995" w:type="dxa"/>
            <w:tcBorders>
              <w:top w:val="single" w:color="auto" w:sz="4" w:space="0"/>
              <w:left w:val="nil"/>
              <w:bottom w:val="single" w:color="auto" w:sz="4" w:space="0"/>
              <w:right w:val="single" w:color="auto" w:sz="4" w:space="0"/>
            </w:tcBorders>
            <w:shd w:val="clear" w:color="auto" w:fill="auto"/>
            <w:vAlign w:val="center"/>
          </w:tcPr>
          <w:p w14:paraId="49DE6980">
            <w:pPr>
              <w:spacing w:line="320" w:lineRule="atLeast"/>
              <w:jc w:val="center"/>
              <w:rPr>
                <w:rFonts w:ascii="华文宋体" w:hAnsi="华文宋体" w:eastAsia="华文宋体"/>
                <w:color w:val="000000"/>
              </w:rPr>
            </w:pPr>
            <w:r>
              <w:rPr>
                <w:rFonts w:hint="eastAsia" w:ascii="华文宋体" w:hAnsi="华文宋体" w:eastAsia="华文宋体"/>
                <w:color w:val="000000"/>
              </w:rPr>
              <w:t>项目实施单位</w:t>
            </w:r>
          </w:p>
        </w:tc>
        <w:tc>
          <w:tcPr>
            <w:tcW w:w="1459" w:type="dxa"/>
            <w:tcBorders>
              <w:top w:val="single" w:color="auto" w:sz="4" w:space="0"/>
              <w:left w:val="nil"/>
              <w:bottom w:val="single" w:color="auto" w:sz="4" w:space="0"/>
              <w:right w:val="single" w:color="auto" w:sz="4" w:space="0"/>
            </w:tcBorders>
            <w:shd w:val="clear" w:color="auto" w:fill="auto"/>
            <w:vAlign w:val="center"/>
          </w:tcPr>
          <w:p w14:paraId="78380521">
            <w:pPr>
              <w:spacing w:line="320" w:lineRule="atLeast"/>
              <w:jc w:val="center"/>
              <w:rPr>
                <w:rFonts w:ascii="华文宋体" w:hAnsi="华文宋体" w:eastAsia="华文宋体"/>
              </w:rPr>
            </w:pPr>
            <w:r>
              <w:rPr>
                <w:rFonts w:hint="eastAsia" w:ascii="华文宋体" w:hAnsi="华文宋体" w:eastAsia="华文宋体"/>
              </w:rPr>
              <w:t>2020年财政专项预算资金</w:t>
            </w:r>
          </w:p>
        </w:tc>
        <w:tc>
          <w:tcPr>
            <w:tcW w:w="1276" w:type="dxa"/>
            <w:tcBorders>
              <w:top w:val="single" w:color="auto" w:sz="4" w:space="0"/>
              <w:left w:val="nil"/>
              <w:bottom w:val="single" w:color="auto" w:sz="4" w:space="0"/>
              <w:right w:val="single" w:color="auto" w:sz="4" w:space="0"/>
            </w:tcBorders>
            <w:shd w:val="clear" w:color="auto" w:fill="auto"/>
            <w:vAlign w:val="center"/>
          </w:tcPr>
          <w:p w14:paraId="753A087B">
            <w:pPr>
              <w:spacing w:line="320" w:lineRule="atLeast"/>
              <w:jc w:val="center"/>
              <w:rPr>
                <w:rFonts w:ascii="华文宋体" w:hAnsi="华文宋体" w:eastAsia="华文宋体"/>
              </w:rPr>
            </w:pPr>
            <w:r>
              <w:rPr>
                <w:rFonts w:hint="eastAsia" w:ascii="华文宋体" w:hAnsi="华文宋体" w:eastAsia="华文宋体"/>
              </w:rPr>
              <w:t>2020年实际到位资金</w:t>
            </w:r>
          </w:p>
        </w:tc>
        <w:tc>
          <w:tcPr>
            <w:tcW w:w="951" w:type="dxa"/>
            <w:tcBorders>
              <w:top w:val="single" w:color="auto" w:sz="4" w:space="0"/>
              <w:left w:val="nil"/>
              <w:bottom w:val="single" w:color="auto" w:sz="4" w:space="0"/>
              <w:right w:val="single" w:color="auto" w:sz="4" w:space="0"/>
            </w:tcBorders>
            <w:shd w:val="clear" w:color="auto" w:fill="auto"/>
            <w:vAlign w:val="center"/>
          </w:tcPr>
          <w:p w14:paraId="0A2825D1">
            <w:pPr>
              <w:spacing w:line="320" w:lineRule="atLeast"/>
              <w:jc w:val="center"/>
              <w:rPr>
                <w:rFonts w:ascii="华文宋体" w:hAnsi="华文宋体" w:eastAsia="华文宋体"/>
              </w:rPr>
            </w:pPr>
            <w:r>
              <w:rPr>
                <w:rFonts w:hint="eastAsia" w:ascii="华文宋体" w:hAnsi="华文宋体" w:eastAsia="华文宋体"/>
              </w:rPr>
              <w:t>资金到位率</w:t>
            </w:r>
          </w:p>
        </w:tc>
        <w:tc>
          <w:tcPr>
            <w:tcW w:w="1842" w:type="dxa"/>
            <w:tcBorders>
              <w:top w:val="single" w:color="auto" w:sz="4" w:space="0"/>
              <w:left w:val="nil"/>
              <w:bottom w:val="single" w:color="auto" w:sz="4" w:space="0"/>
              <w:right w:val="single" w:color="auto" w:sz="4" w:space="0"/>
            </w:tcBorders>
            <w:shd w:val="clear" w:color="auto" w:fill="auto"/>
            <w:vAlign w:val="center"/>
          </w:tcPr>
          <w:p w14:paraId="4C9F98BF">
            <w:pPr>
              <w:spacing w:line="320" w:lineRule="atLeast"/>
              <w:jc w:val="center"/>
              <w:rPr>
                <w:rFonts w:ascii="华文宋体" w:hAnsi="华文宋体" w:eastAsia="华文宋体"/>
              </w:rPr>
            </w:pPr>
            <w:r>
              <w:rPr>
                <w:rFonts w:hint="eastAsia" w:ascii="华文宋体" w:hAnsi="华文宋体" w:eastAsia="华文宋体"/>
              </w:rPr>
              <w:t>下达应急储备预拨资金文件</w:t>
            </w:r>
          </w:p>
        </w:tc>
        <w:tc>
          <w:tcPr>
            <w:tcW w:w="1187" w:type="dxa"/>
            <w:tcBorders>
              <w:top w:val="single" w:color="auto" w:sz="4" w:space="0"/>
              <w:left w:val="nil"/>
              <w:bottom w:val="single" w:color="auto" w:sz="4" w:space="0"/>
              <w:right w:val="single" w:color="auto" w:sz="4" w:space="0"/>
            </w:tcBorders>
            <w:shd w:val="clear" w:color="auto" w:fill="auto"/>
            <w:vAlign w:val="center"/>
          </w:tcPr>
          <w:p w14:paraId="33FCB8A9">
            <w:pPr>
              <w:spacing w:line="320" w:lineRule="atLeast"/>
              <w:jc w:val="center"/>
              <w:rPr>
                <w:rFonts w:ascii="华文宋体" w:hAnsi="华文宋体" w:eastAsia="华文宋体"/>
              </w:rPr>
            </w:pPr>
            <w:r>
              <w:rPr>
                <w:rFonts w:hint="eastAsia" w:ascii="华文宋体" w:hAnsi="华文宋体" w:eastAsia="华文宋体"/>
              </w:rPr>
              <w:t>定点储备项目级别</w:t>
            </w:r>
          </w:p>
        </w:tc>
      </w:tr>
      <w:tr w14:paraId="3DD78B70">
        <w:tblPrEx>
          <w:tblCellMar>
            <w:top w:w="0" w:type="dxa"/>
            <w:left w:w="108" w:type="dxa"/>
            <w:bottom w:w="0" w:type="dxa"/>
            <w:right w:w="108" w:type="dxa"/>
          </w:tblCellMar>
        </w:tblPrEx>
        <w:trPr>
          <w:trHeight w:val="670" w:hRule="atLeast"/>
        </w:trPr>
        <w:tc>
          <w:tcPr>
            <w:tcW w:w="430" w:type="dxa"/>
            <w:tcBorders>
              <w:top w:val="nil"/>
              <w:left w:val="single" w:color="auto" w:sz="4" w:space="0"/>
              <w:bottom w:val="single" w:color="auto" w:sz="4" w:space="0"/>
              <w:right w:val="single" w:color="auto" w:sz="4" w:space="0"/>
            </w:tcBorders>
            <w:shd w:val="clear" w:color="auto" w:fill="auto"/>
            <w:vAlign w:val="center"/>
          </w:tcPr>
          <w:p w14:paraId="5E8E135D">
            <w:pPr>
              <w:spacing w:line="320" w:lineRule="atLeast"/>
              <w:jc w:val="center"/>
              <w:rPr>
                <w:rFonts w:ascii="华文宋体" w:hAnsi="华文宋体" w:eastAsia="华文宋体"/>
              </w:rPr>
            </w:pPr>
            <w:r>
              <w:rPr>
                <w:rFonts w:hint="eastAsia" w:ascii="华文宋体" w:hAnsi="华文宋体" w:eastAsia="华文宋体"/>
              </w:rPr>
              <w:t>1</w:t>
            </w:r>
          </w:p>
        </w:tc>
        <w:tc>
          <w:tcPr>
            <w:tcW w:w="1995" w:type="dxa"/>
            <w:tcBorders>
              <w:top w:val="nil"/>
              <w:left w:val="nil"/>
              <w:bottom w:val="single" w:color="auto" w:sz="4" w:space="0"/>
              <w:right w:val="single" w:color="auto" w:sz="4" w:space="0"/>
            </w:tcBorders>
            <w:shd w:val="clear" w:color="auto" w:fill="auto"/>
            <w:vAlign w:val="center"/>
          </w:tcPr>
          <w:p w14:paraId="7E872D19">
            <w:pPr>
              <w:spacing w:line="320" w:lineRule="atLeast"/>
              <w:jc w:val="center"/>
              <w:rPr>
                <w:rFonts w:ascii="华文宋体" w:hAnsi="华文宋体" w:eastAsia="华文宋体"/>
                <w:color w:val="000000"/>
              </w:rPr>
            </w:pPr>
            <w:r>
              <w:rPr>
                <w:rFonts w:hint="eastAsia" w:ascii="华文宋体" w:hAnsi="华文宋体" w:eastAsia="华文宋体"/>
                <w:color w:val="000000"/>
              </w:rPr>
              <w:t>南岸区基层医疗卫生服务管理中心</w:t>
            </w:r>
          </w:p>
        </w:tc>
        <w:tc>
          <w:tcPr>
            <w:tcW w:w="1459" w:type="dxa"/>
            <w:tcBorders>
              <w:top w:val="nil"/>
              <w:left w:val="nil"/>
              <w:bottom w:val="single" w:color="auto" w:sz="4" w:space="0"/>
              <w:right w:val="single" w:color="auto" w:sz="4" w:space="0"/>
            </w:tcBorders>
            <w:shd w:val="clear" w:color="auto" w:fill="auto"/>
            <w:vAlign w:val="center"/>
          </w:tcPr>
          <w:p w14:paraId="07D57BEB">
            <w:pPr>
              <w:spacing w:line="320" w:lineRule="atLeast"/>
              <w:jc w:val="center"/>
              <w:rPr>
                <w:rFonts w:ascii="华文宋体" w:hAnsi="华文宋体" w:eastAsia="华文宋体"/>
              </w:rPr>
            </w:pPr>
            <w:r>
              <w:rPr>
                <w:rFonts w:hint="eastAsia" w:ascii="华文宋体" w:hAnsi="华文宋体" w:eastAsia="华文宋体"/>
              </w:rPr>
              <w:t>196.00</w:t>
            </w:r>
          </w:p>
        </w:tc>
        <w:tc>
          <w:tcPr>
            <w:tcW w:w="1276" w:type="dxa"/>
            <w:tcBorders>
              <w:top w:val="nil"/>
              <w:left w:val="nil"/>
              <w:bottom w:val="single" w:color="auto" w:sz="4" w:space="0"/>
              <w:right w:val="single" w:color="auto" w:sz="4" w:space="0"/>
            </w:tcBorders>
            <w:shd w:val="clear" w:color="auto" w:fill="auto"/>
            <w:vAlign w:val="center"/>
          </w:tcPr>
          <w:p w14:paraId="4A6BB9F7">
            <w:pPr>
              <w:spacing w:line="320" w:lineRule="atLeast"/>
              <w:jc w:val="center"/>
              <w:rPr>
                <w:rFonts w:ascii="华文宋体" w:hAnsi="华文宋体" w:eastAsia="华文宋体"/>
              </w:rPr>
            </w:pPr>
            <w:r>
              <w:rPr>
                <w:rFonts w:hint="eastAsia" w:ascii="华文宋体" w:hAnsi="华文宋体" w:eastAsia="华文宋体"/>
              </w:rPr>
              <w:t>196.00</w:t>
            </w:r>
          </w:p>
        </w:tc>
        <w:tc>
          <w:tcPr>
            <w:tcW w:w="951" w:type="dxa"/>
            <w:tcBorders>
              <w:top w:val="nil"/>
              <w:left w:val="nil"/>
              <w:bottom w:val="single" w:color="auto" w:sz="4" w:space="0"/>
              <w:right w:val="single" w:color="auto" w:sz="4" w:space="0"/>
            </w:tcBorders>
            <w:shd w:val="clear" w:color="auto" w:fill="auto"/>
            <w:vAlign w:val="center"/>
          </w:tcPr>
          <w:p w14:paraId="7E860D90">
            <w:pPr>
              <w:spacing w:line="320" w:lineRule="atLeast"/>
              <w:jc w:val="center"/>
              <w:rPr>
                <w:rFonts w:ascii="华文宋体" w:hAnsi="华文宋体" w:eastAsia="华文宋体"/>
              </w:rPr>
            </w:pPr>
            <w:r>
              <w:rPr>
                <w:rFonts w:hint="eastAsia" w:ascii="华文宋体" w:hAnsi="华文宋体" w:eastAsia="华文宋体"/>
              </w:rPr>
              <w:t>100.00%</w:t>
            </w:r>
          </w:p>
        </w:tc>
        <w:tc>
          <w:tcPr>
            <w:tcW w:w="1842" w:type="dxa"/>
            <w:tcBorders>
              <w:top w:val="nil"/>
              <w:left w:val="nil"/>
              <w:bottom w:val="single" w:color="auto" w:sz="4" w:space="0"/>
              <w:right w:val="single" w:color="auto" w:sz="4" w:space="0"/>
            </w:tcBorders>
            <w:shd w:val="clear" w:color="auto" w:fill="auto"/>
            <w:vAlign w:val="center"/>
          </w:tcPr>
          <w:p w14:paraId="33D251CF">
            <w:pPr>
              <w:spacing w:line="320" w:lineRule="atLeast"/>
              <w:jc w:val="center"/>
              <w:rPr>
                <w:rFonts w:ascii="华文宋体" w:hAnsi="华文宋体" w:eastAsia="华文宋体"/>
              </w:rPr>
            </w:pPr>
            <w:r>
              <w:rPr>
                <w:rFonts w:hint="eastAsia" w:ascii="华文宋体" w:hAnsi="华文宋体" w:eastAsia="华文宋体"/>
              </w:rPr>
              <w:t>渝财产业[2020]73号</w:t>
            </w:r>
          </w:p>
        </w:tc>
        <w:tc>
          <w:tcPr>
            <w:tcW w:w="1187" w:type="dxa"/>
            <w:tcBorders>
              <w:top w:val="nil"/>
              <w:left w:val="nil"/>
              <w:bottom w:val="single" w:color="auto" w:sz="4" w:space="0"/>
              <w:right w:val="single" w:color="auto" w:sz="4" w:space="0"/>
            </w:tcBorders>
            <w:shd w:val="clear" w:color="auto" w:fill="auto"/>
            <w:vAlign w:val="center"/>
          </w:tcPr>
          <w:p w14:paraId="4082F82F">
            <w:pPr>
              <w:spacing w:line="320" w:lineRule="atLeast"/>
              <w:jc w:val="center"/>
              <w:rPr>
                <w:rFonts w:ascii="华文宋体" w:hAnsi="华文宋体" w:eastAsia="华文宋体"/>
              </w:rPr>
            </w:pPr>
            <w:r>
              <w:rPr>
                <w:rFonts w:hint="eastAsia" w:ascii="华文宋体" w:hAnsi="华文宋体" w:eastAsia="华文宋体"/>
              </w:rPr>
              <w:t>区县定点储备补助</w:t>
            </w:r>
          </w:p>
        </w:tc>
      </w:tr>
      <w:tr w14:paraId="7ACEE6AB">
        <w:tblPrEx>
          <w:tblCellMar>
            <w:top w:w="0" w:type="dxa"/>
            <w:left w:w="108" w:type="dxa"/>
            <w:bottom w:w="0" w:type="dxa"/>
            <w:right w:w="108" w:type="dxa"/>
          </w:tblCellMar>
        </w:tblPrEx>
        <w:trPr>
          <w:trHeight w:val="600" w:hRule="atLeast"/>
        </w:trPr>
        <w:tc>
          <w:tcPr>
            <w:tcW w:w="430" w:type="dxa"/>
            <w:tcBorders>
              <w:top w:val="nil"/>
              <w:left w:val="single" w:color="auto" w:sz="4" w:space="0"/>
              <w:bottom w:val="single" w:color="auto" w:sz="4" w:space="0"/>
              <w:right w:val="single" w:color="auto" w:sz="4" w:space="0"/>
            </w:tcBorders>
            <w:shd w:val="clear" w:color="auto" w:fill="auto"/>
            <w:vAlign w:val="center"/>
          </w:tcPr>
          <w:p w14:paraId="57757FEA">
            <w:pPr>
              <w:spacing w:line="320" w:lineRule="atLeast"/>
              <w:jc w:val="center"/>
              <w:rPr>
                <w:rFonts w:ascii="华文宋体" w:hAnsi="华文宋体" w:eastAsia="华文宋体"/>
              </w:rPr>
            </w:pPr>
            <w:r>
              <w:rPr>
                <w:rFonts w:hint="eastAsia" w:ascii="华文宋体" w:hAnsi="华文宋体" w:eastAsia="华文宋体"/>
              </w:rPr>
              <w:t>2</w:t>
            </w:r>
          </w:p>
        </w:tc>
        <w:tc>
          <w:tcPr>
            <w:tcW w:w="1995" w:type="dxa"/>
            <w:tcBorders>
              <w:top w:val="nil"/>
              <w:left w:val="nil"/>
              <w:bottom w:val="single" w:color="auto" w:sz="4" w:space="0"/>
              <w:right w:val="single" w:color="auto" w:sz="4" w:space="0"/>
            </w:tcBorders>
            <w:shd w:val="clear" w:color="auto" w:fill="auto"/>
            <w:vAlign w:val="center"/>
          </w:tcPr>
          <w:p w14:paraId="6D162CF3">
            <w:pPr>
              <w:spacing w:line="320" w:lineRule="atLeast"/>
              <w:jc w:val="center"/>
              <w:rPr>
                <w:rFonts w:ascii="华文宋体" w:hAnsi="华文宋体" w:eastAsia="华文宋体"/>
                <w:color w:val="000000"/>
              </w:rPr>
            </w:pPr>
            <w:r>
              <w:rPr>
                <w:rFonts w:hint="eastAsia" w:ascii="华文宋体" w:hAnsi="华文宋体" w:eastAsia="华文宋体"/>
                <w:color w:val="000000"/>
              </w:rPr>
              <w:t>国药控股重庆医疗器械公司</w:t>
            </w:r>
          </w:p>
        </w:tc>
        <w:tc>
          <w:tcPr>
            <w:tcW w:w="1459" w:type="dxa"/>
            <w:tcBorders>
              <w:top w:val="nil"/>
              <w:left w:val="nil"/>
              <w:bottom w:val="single" w:color="auto" w:sz="4" w:space="0"/>
              <w:right w:val="single" w:color="auto" w:sz="4" w:space="0"/>
            </w:tcBorders>
            <w:shd w:val="clear" w:color="auto" w:fill="auto"/>
            <w:vAlign w:val="center"/>
          </w:tcPr>
          <w:p w14:paraId="119605D9">
            <w:pPr>
              <w:spacing w:line="320" w:lineRule="atLeast"/>
              <w:jc w:val="center"/>
              <w:rPr>
                <w:rFonts w:ascii="华文宋体" w:hAnsi="华文宋体" w:eastAsia="华文宋体"/>
              </w:rPr>
            </w:pPr>
            <w:r>
              <w:rPr>
                <w:rFonts w:hint="eastAsia" w:ascii="华文宋体" w:hAnsi="华文宋体" w:eastAsia="华文宋体"/>
              </w:rPr>
              <w:t>56.00</w:t>
            </w:r>
          </w:p>
        </w:tc>
        <w:tc>
          <w:tcPr>
            <w:tcW w:w="1276" w:type="dxa"/>
            <w:tcBorders>
              <w:top w:val="nil"/>
              <w:left w:val="nil"/>
              <w:bottom w:val="single" w:color="auto" w:sz="4" w:space="0"/>
              <w:right w:val="single" w:color="auto" w:sz="4" w:space="0"/>
            </w:tcBorders>
            <w:shd w:val="clear" w:color="auto" w:fill="auto"/>
            <w:vAlign w:val="center"/>
          </w:tcPr>
          <w:p w14:paraId="4833A587">
            <w:pPr>
              <w:spacing w:line="320" w:lineRule="atLeast"/>
              <w:jc w:val="center"/>
              <w:rPr>
                <w:rFonts w:ascii="华文宋体" w:hAnsi="华文宋体" w:eastAsia="华文宋体"/>
              </w:rPr>
            </w:pPr>
            <w:r>
              <w:rPr>
                <w:rFonts w:hint="eastAsia" w:ascii="华文宋体" w:hAnsi="华文宋体" w:eastAsia="华文宋体"/>
              </w:rPr>
              <w:t>56.00</w:t>
            </w:r>
          </w:p>
        </w:tc>
        <w:tc>
          <w:tcPr>
            <w:tcW w:w="951" w:type="dxa"/>
            <w:tcBorders>
              <w:top w:val="nil"/>
              <w:left w:val="nil"/>
              <w:bottom w:val="single" w:color="auto" w:sz="4" w:space="0"/>
              <w:right w:val="single" w:color="auto" w:sz="4" w:space="0"/>
            </w:tcBorders>
            <w:shd w:val="clear" w:color="auto" w:fill="auto"/>
            <w:vAlign w:val="center"/>
          </w:tcPr>
          <w:p w14:paraId="3BC7008F">
            <w:pPr>
              <w:spacing w:line="320" w:lineRule="atLeast"/>
              <w:jc w:val="center"/>
              <w:rPr>
                <w:rFonts w:ascii="华文宋体" w:hAnsi="华文宋体" w:eastAsia="华文宋体"/>
              </w:rPr>
            </w:pPr>
            <w:r>
              <w:rPr>
                <w:rFonts w:hint="eastAsia" w:ascii="华文宋体" w:hAnsi="华文宋体" w:eastAsia="华文宋体"/>
              </w:rPr>
              <w:t>100.00%</w:t>
            </w:r>
          </w:p>
        </w:tc>
        <w:tc>
          <w:tcPr>
            <w:tcW w:w="1842" w:type="dxa"/>
            <w:vMerge w:val="restart"/>
            <w:tcBorders>
              <w:top w:val="nil"/>
              <w:left w:val="single" w:color="auto" w:sz="4" w:space="0"/>
              <w:bottom w:val="single" w:color="auto" w:sz="4" w:space="0"/>
              <w:right w:val="single" w:color="auto" w:sz="4" w:space="0"/>
            </w:tcBorders>
            <w:shd w:val="clear" w:color="auto" w:fill="auto"/>
            <w:vAlign w:val="center"/>
          </w:tcPr>
          <w:p w14:paraId="7658F41A">
            <w:pPr>
              <w:spacing w:line="320" w:lineRule="atLeast"/>
              <w:jc w:val="center"/>
              <w:rPr>
                <w:rFonts w:ascii="华文宋体" w:hAnsi="华文宋体" w:eastAsia="华文宋体"/>
              </w:rPr>
            </w:pPr>
            <w:r>
              <w:rPr>
                <w:rFonts w:hint="eastAsia" w:ascii="华文宋体" w:hAnsi="华文宋体" w:eastAsia="华文宋体"/>
              </w:rPr>
              <w:t>渝财产业[2020]73号、渝财产业[2020]87号、渝财产业[2020]195号</w:t>
            </w:r>
          </w:p>
        </w:tc>
        <w:tc>
          <w:tcPr>
            <w:tcW w:w="1187" w:type="dxa"/>
            <w:vMerge w:val="restart"/>
            <w:tcBorders>
              <w:top w:val="nil"/>
              <w:left w:val="single" w:color="auto" w:sz="4" w:space="0"/>
              <w:bottom w:val="single" w:color="auto" w:sz="4" w:space="0"/>
              <w:right w:val="single" w:color="auto" w:sz="4" w:space="0"/>
            </w:tcBorders>
            <w:shd w:val="clear" w:color="auto" w:fill="auto"/>
            <w:vAlign w:val="center"/>
          </w:tcPr>
          <w:p w14:paraId="04400B73">
            <w:pPr>
              <w:spacing w:line="320" w:lineRule="atLeast"/>
              <w:jc w:val="center"/>
              <w:rPr>
                <w:rFonts w:ascii="华文宋体" w:hAnsi="华文宋体" w:eastAsia="华文宋体"/>
              </w:rPr>
            </w:pPr>
            <w:r>
              <w:rPr>
                <w:rFonts w:hint="eastAsia" w:ascii="华文宋体" w:hAnsi="华文宋体" w:eastAsia="华文宋体"/>
              </w:rPr>
              <w:t>市级定点储备补助</w:t>
            </w:r>
          </w:p>
        </w:tc>
      </w:tr>
      <w:tr w14:paraId="5FEC9F86">
        <w:tblPrEx>
          <w:tblCellMar>
            <w:top w:w="0" w:type="dxa"/>
            <w:left w:w="108" w:type="dxa"/>
            <w:bottom w:w="0" w:type="dxa"/>
            <w:right w:w="108" w:type="dxa"/>
          </w:tblCellMar>
        </w:tblPrEx>
        <w:trPr>
          <w:trHeight w:val="600" w:hRule="atLeast"/>
        </w:trPr>
        <w:tc>
          <w:tcPr>
            <w:tcW w:w="430" w:type="dxa"/>
            <w:tcBorders>
              <w:top w:val="nil"/>
              <w:left w:val="single" w:color="auto" w:sz="4" w:space="0"/>
              <w:bottom w:val="single" w:color="auto" w:sz="4" w:space="0"/>
              <w:right w:val="single" w:color="auto" w:sz="4" w:space="0"/>
            </w:tcBorders>
            <w:shd w:val="clear" w:color="auto" w:fill="auto"/>
            <w:vAlign w:val="center"/>
          </w:tcPr>
          <w:p w14:paraId="0E917B89">
            <w:pPr>
              <w:spacing w:line="320" w:lineRule="atLeast"/>
              <w:jc w:val="center"/>
              <w:rPr>
                <w:rFonts w:ascii="华文宋体" w:hAnsi="华文宋体" w:eastAsia="华文宋体"/>
              </w:rPr>
            </w:pPr>
            <w:r>
              <w:rPr>
                <w:rFonts w:hint="eastAsia" w:ascii="华文宋体" w:hAnsi="华文宋体" w:eastAsia="华文宋体"/>
              </w:rPr>
              <w:t>3</w:t>
            </w:r>
          </w:p>
        </w:tc>
        <w:tc>
          <w:tcPr>
            <w:tcW w:w="1995" w:type="dxa"/>
            <w:tcBorders>
              <w:top w:val="nil"/>
              <w:left w:val="nil"/>
              <w:bottom w:val="single" w:color="auto" w:sz="4" w:space="0"/>
              <w:right w:val="single" w:color="auto" w:sz="4" w:space="0"/>
            </w:tcBorders>
            <w:shd w:val="clear" w:color="auto" w:fill="auto"/>
            <w:vAlign w:val="center"/>
          </w:tcPr>
          <w:p w14:paraId="0B843840">
            <w:pPr>
              <w:spacing w:line="320" w:lineRule="atLeast"/>
              <w:jc w:val="center"/>
              <w:rPr>
                <w:rFonts w:ascii="华文宋体" w:hAnsi="华文宋体" w:eastAsia="华文宋体"/>
                <w:color w:val="000000"/>
              </w:rPr>
            </w:pPr>
            <w:r>
              <w:rPr>
                <w:rFonts w:hint="eastAsia" w:ascii="华文宋体" w:hAnsi="华文宋体" w:eastAsia="华文宋体"/>
                <w:color w:val="000000"/>
              </w:rPr>
              <w:t>国药控制重庆泰民医药公司</w:t>
            </w:r>
          </w:p>
        </w:tc>
        <w:tc>
          <w:tcPr>
            <w:tcW w:w="1459" w:type="dxa"/>
            <w:tcBorders>
              <w:top w:val="nil"/>
              <w:left w:val="nil"/>
              <w:bottom w:val="single" w:color="auto" w:sz="4" w:space="0"/>
              <w:right w:val="single" w:color="auto" w:sz="4" w:space="0"/>
            </w:tcBorders>
            <w:shd w:val="clear" w:color="auto" w:fill="auto"/>
            <w:vAlign w:val="center"/>
          </w:tcPr>
          <w:p w14:paraId="1580103E">
            <w:pPr>
              <w:spacing w:line="320" w:lineRule="atLeast"/>
              <w:jc w:val="center"/>
              <w:rPr>
                <w:rFonts w:ascii="华文宋体" w:hAnsi="华文宋体" w:eastAsia="华文宋体"/>
              </w:rPr>
            </w:pPr>
            <w:r>
              <w:rPr>
                <w:rFonts w:hint="eastAsia" w:ascii="华文宋体" w:hAnsi="华文宋体" w:eastAsia="华文宋体"/>
              </w:rPr>
              <w:t>613.60</w:t>
            </w:r>
          </w:p>
        </w:tc>
        <w:tc>
          <w:tcPr>
            <w:tcW w:w="1276" w:type="dxa"/>
            <w:tcBorders>
              <w:top w:val="nil"/>
              <w:left w:val="nil"/>
              <w:bottom w:val="single" w:color="auto" w:sz="4" w:space="0"/>
              <w:right w:val="single" w:color="auto" w:sz="4" w:space="0"/>
            </w:tcBorders>
            <w:shd w:val="clear" w:color="auto" w:fill="auto"/>
            <w:vAlign w:val="center"/>
          </w:tcPr>
          <w:p w14:paraId="33910AE7">
            <w:pPr>
              <w:spacing w:line="320" w:lineRule="atLeast"/>
              <w:jc w:val="center"/>
              <w:rPr>
                <w:rFonts w:ascii="华文宋体" w:hAnsi="华文宋体" w:eastAsia="华文宋体"/>
              </w:rPr>
            </w:pPr>
            <w:r>
              <w:rPr>
                <w:rFonts w:hint="eastAsia" w:ascii="华文宋体" w:hAnsi="华文宋体" w:eastAsia="华文宋体"/>
              </w:rPr>
              <w:t>613.60</w:t>
            </w:r>
          </w:p>
        </w:tc>
        <w:tc>
          <w:tcPr>
            <w:tcW w:w="951" w:type="dxa"/>
            <w:tcBorders>
              <w:top w:val="nil"/>
              <w:left w:val="nil"/>
              <w:bottom w:val="single" w:color="auto" w:sz="4" w:space="0"/>
              <w:right w:val="single" w:color="auto" w:sz="4" w:space="0"/>
            </w:tcBorders>
            <w:shd w:val="clear" w:color="auto" w:fill="auto"/>
            <w:vAlign w:val="center"/>
          </w:tcPr>
          <w:p w14:paraId="49F31260">
            <w:pPr>
              <w:spacing w:line="320" w:lineRule="atLeast"/>
              <w:jc w:val="center"/>
              <w:rPr>
                <w:rFonts w:ascii="华文宋体" w:hAnsi="华文宋体" w:eastAsia="华文宋体"/>
              </w:rPr>
            </w:pPr>
            <w:r>
              <w:rPr>
                <w:rFonts w:hint="eastAsia" w:ascii="华文宋体" w:hAnsi="华文宋体" w:eastAsia="华文宋体"/>
              </w:rPr>
              <w:t>100.00%</w:t>
            </w:r>
          </w:p>
        </w:tc>
        <w:tc>
          <w:tcPr>
            <w:tcW w:w="1842" w:type="dxa"/>
            <w:vMerge w:val="continue"/>
            <w:tcBorders>
              <w:top w:val="nil"/>
              <w:left w:val="single" w:color="auto" w:sz="4" w:space="0"/>
              <w:bottom w:val="single" w:color="auto" w:sz="4" w:space="0"/>
              <w:right w:val="single" w:color="auto" w:sz="4" w:space="0"/>
            </w:tcBorders>
            <w:vAlign w:val="center"/>
          </w:tcPr>
          <w:p w14:paraId="29ABA330">
            <w:pPr>
              <w:spacing w:line="320" w:lineRule="atLeast"/>
              <w:jc w:val="center"/>
              <w:rPr>
                <w:rFonts w:ascii="华文宋体" w:hAnsi="华文宋体" w:eastAsia="华文宋体"/>
              </w:rPr>
            </w:pPr>
          </w:p>
        </w:tc>
        <w:tc>
          <w:tcPr>
            <w:tcW w:w="1187" w:type="dxa"/>
            <w:vMerge w:val="continue"/>
            <w:tcBorders>
              <w:top w:val="nil"/>
              <w:left w:val="single" w:color="auto" w:sz="4" w:space="0"/>
              <w:bottom w:val="single" w:color="auto" w:sz="4" w:space="0"/>
              <w:right w:val="single" w:color="auto" w:sz="4" w:space="0"/>
            </w:tcBorders>
            <w:vAlign w:val="center"/>
          </w:tcPr>
          <w:p w14:paraId="15C35A42">
            <w:pPr>
              <w:spacing w:line="320" w:lineRule="atLeast"/>
              <w:jc w:val="center"/>
              <w:rPr>
                <w:rFonts w:ascii="华文宋体" w:hAnsi="华文宋体" w:eastAsia="华文宋体"/>
              </w:rPr>
            </w:pPr>
          </w:p>
        </w:tc>
      </w:tr>
      <w:tr w14:paraId="5259A1B8">
        <w:tblPrEx>
          <w:tblCellMar>
            <w:top w:w="0" w:type="dxa"/>
            <w:left w:w="108" w:type="dxa"/>
            <w:bottom w:w="0" w:type="dxa"/>
            <w:right w:w="108" w:type="dxa"/>
          </w:tblCellMar>
        </w:tblPrEx>
        <w:trPr>
          <w:trHeight w:val="504" w:hRule="atLeast"/>
        </w:trPr>
        <w:tc>
          <w:tcPr>
            <w:tcW w:w="430" w:type="dxa"/>
            <w:tcBorders>
              <w:top w:val="nil"/>
              <w:left w:val="single" w:color="auto" w:sz="4" w:space="0"/>
              <w:bottom w:val="single" w:color="auto" w:sz="4" w:space="0"/>
              <w:right w:val="single" w:color="auto" w:sz="4" w:space="0"/>
            </w:tcBorders>
            <w:shd w:val="clear" w:color="auto" w:fill="auto"/>
            <w:vAlign w:val="center"/>
          </w:tcPr>
          <w:p w14:paraId="55D618A8">
            <w:pPr>
              <w:spacing w:line="320" w:lineRule="atLeast"/>
              <w:jc w:val="center"/>
              <w:rPr>
                <w:rFonts w:ascii="华文宋体" w:hAnsi="华文宋体" w:eastAsia="华文宋体"/>
              </w:rPr>
            </w:pPr>
          </w:p>
        </w:tc>
        <w:tc>
          <w:tcPr>
            <w:tcW w:w="1995" w:type="dxa"/>
            <w:tcBorders>
              <w:top w:val="nil"/>
              <w:left w:val="nil"/>
              <w:bottom w:val="single" w:color="auto" w:sz="4" w:space="0"/>
              <w:right w:val="single" w:color="auto" w:sz="4" w:space="0"/>
            </w:tcBorders>
            <w:shd w:val="clear" w:color="auto" w:fill="auto"/>
            <w:vAlign w:val="center"/>
          </w:tcPr>
          <w:p w14:paraId="28B4AF3C">
            <w:pPr>
              <w:spacing w:line="320" w:lineRule="atLeast"/>
              <w:jc w:val="center"/>
              <w:rPr>
                <w:rFonts w:ascii="华文宋体" w:hAnsi="华文宋体" w:eastAsia="华文宋体"/>
                <w:color w:val="000000"/>
              </w:rPr>
            </w:pPr>
            <w:r>
              <w:rPr>
                <w:rFonts w:hint="eastAsia" w:ascii="华文宋体" w:hAnsi="华文宋体" w:eastAsia="华文宋体"/>
                <w:color w:val="000000"/>
              </w:rPr>
              <w:t>合计</w:t>
            </w:r>
          </w:p>
        </w:tc>
        <w:tc>
          <w:tcPr>
            <w:tcW w:w="1459" w:type="dxa"/>
            <w:tcBorders>
              <w:top w:val="nil"/>
              <w:left w:val="nil"/>
              <w:bottom w:val="single" w:color="auto" w:sz="4" w:space="0"/>
              <w:right w:val="single" w:color="auto" w:sz="4" w:space="0"/>
            </w:tcBorders>
            <w:shd w:val="clear" w:color="auto" w:fill="auto"/>
            <w:vAlign w:val="center"/>
          </w:tcPr>
          <w:p w14:paraId="280B843A">
            <w:pPr>
              <w:spacing w:line="320" w:lineRule="atLeast"/>
              <w:jc w:val="center"/>
              <w:rPr>
                <w:rFonts w:ascii="华文宋体" w:hAnsi="华文宋体" w:eastAsia="华文宋体"/>
              </w:rPr>
            </w:pPr>
            <w:r>
              <w:rPr>
                <w:rFonts w:hint="eastAsia" w:ascii="华文宋体" w:hAnsi="华文宋体" w:eastAsia="华文宋体"/>
              </w:rPr>
              <w:t>865.60</w:t>
            </w:r>
          </w:p>
        </w:tc>
        <w:tc>
          <w:tcPr>
            <w:tcW w:w="1276" w:type="dxa"/>
            <w:tcBorders>
              <w:top w:val="nil"/>
              <w:left w:val="nil"/>
              <w:bottom w:val="single" w:color="auto" w:sz="4" w:space="0"/>
              <w:right w:val="single" w:color="auto" w:sz="4" w:space="0"/>
            </w:tcBorders>
            <w:shd w:val="clear" w:color="auto" w:fill="auto"/>
            <w:vAlign w:val="center"/>
          </w:tcPr>
          <w:p w14:paraId="168188B2">
            <w:pPr>
              <w:spacing w:line="320" w:lineRule="atLeast"/>
              <w:jc w:val="center"/>
              <w:rPr>
                <w:rFonts w:ascii="华文宋体" w:hAnsi="华文宋体" w:eastAsia="华文宋体"/>
              </w:rPr>
            </w:pPr>
            <w:r>
              <w:rPr>
                <w:rFonts w:hint="eastAsia" w:ascii="华文宋体" w:hAnsi="华文宋体" w:eastAsia="华文宋体"/>
              </w:rPr>
              <w:t>865.60</w:t>
            </w:r>
          </w:p>
        </w:tc>
        <w:tc>
          <w:tcPr>
            <w:tcW w:w="951" w:type="dxa"/>
            <w:tcBorders>
              <w:top w:val="nil"/>
              <w:left w:val="nil"/>
              <w:bottom w:val="single" w:color="auto" w:sz="4" w:space="0"/>
              <w:right w:val="single" w:color="auto" w:sz="4" w:space="0"/>
            </w:tcBorders>
            <w:shd w:val="clear" w:color="auto" w:fill="auto"/>
            <w:vAlign w:val="center"/>
          </w:tcPr>
          <w:p w14:paraId="0CC49915">
            <w:pPr>
              <w:spacing w:line="320" w:lineRule="atLeast"/>
              <w:jc w:val="center"/>
              <w:rPr>
                <w:rFonts w:ascii="华文宋体" w:hAnsi="华文宋体" w:eastAsia="华文宋体"/>
              </w:rPr>
            </w:pPr>
            <w:r>
              <w:rPr>
                <w:rFonts w:hint="eastAsia" w:ascii="华文宋体" w:hAnsi="华文宋体" w:eastAsia="华文宋体"/>
              </w:rPr>
              <w:t>100.00%</w:t>
            </w:r>
          </w:p>
        </w:tc>
        <w:tc>
          <w:tcPr>
            <w:tcW w:w="1842" w:type="dxa"/>
            <w:tcBorders>
              <w:top w:val="nil"/>
              <w:left w:val="nil"/>
              <w:bottom w:val="single" w:color="auto" w:sz="4" w:space="0"/>
              <w:right w:val="single" w:color="auto" w:sz="4" w:space="0"/>
            </w:tcBorders>
            <w:shd w:val="clear" w:color="auto" w:fill="auto"/>
            <w:vAlign w:val="center"/>
          </w:tcPr>
          <w:p w14:paraId="46506462">
            <w:pPr>
              <w:spacing w:line="320" w:lineRule="atLeast"/>
              <w:jc w:val="center"/>
              <w:rPr>
                <w:rFonts w:ascii="华文宋体" w:hAnsi="华文宋体" w:eastAsia="华文宋体"/>
              </w:rPr>
            </w:pPr>
          </w:p>
        </w:tc>
        <w:tc>
          <w:tcPr>
            <w:tcW w:w="1187" w:type="dxa"/>
            <w:tcBorders>
              <w:top w:val="nil"/>
              <w:left w:val="nil"/>
              <w:bottom w:val="single" w:color="auto" w:sz="4" w:space="0"/>
              <w:right w:val="single" w:color="auto" w:sz="4" w:space="0"/>
            </w:tcBorders>
            <w:shd w:val="clear" w:color="auto" w:fill="auto"/>
            <w:vAlign w:val="center"/>
          </w:tcPr>
          <w:p w14:paraId="0256A956">
            <w:pPr>
              <w:spacing w:line="320" w:lineRule="atLeast"/>
              <w:jc w:val="center"/>
              <w:rPr>
                <w:rFonts w:ascii="华文宋体" w:hAnsi="华文宋体" w:eastAsia="华文宋体"/>
              </w:rPr>
            </w:pPr>
          </w:p>
        </w:tc>
      </w:tr>
    </w:tbl>
    <w:p w14:paraId="172B537A">
      <w:pPr>
        <w:ind w:firstLine="480" w:firstLineChars="200"/>
        <w:rPr>
          <w:rFonts w:ascii="华文宋体" w:hAnsi="华文宋体" w:eastAsia="华文宋体"/>
        </w:rPr>
      </w:pPr>
      <w:r>
        <w:rPr>
          <w:rFonts w:hint="eastAsia" w:ascii="华文宋体" w:hAnsi="华文宋体" w:eastAsia="华文宋体"/>
        </w:rPr>
        <w:t>（2）资金到位及时率</w:t>
      </w:r>
    </w:p>
    <w:p w14:paraId="69339F02">
      <w:pPr>
        <w:ind w:firstLine="480" w:firstLineChars="200"/>
        <w:rPr>
          <w:rFonts w:ascii="华文宋体" w:hAnsi="华文宋体" w:eastAsia="华文宋体"/>
          <w:bCs/>
        </w:rPr>
      </w:pPr>
      <w:r>
        <w:rPr>
          <w:rFonts w:hint="eastAsia" w:ascii="华文宋体" w:hAnsi="华文宋体" w:eastAsia="华文宋体"/>
          <w:bCs/>
        </w:rPr>
        <w:t>到位及时率=（及时到位资金/到位总资金）×100%</w:t>
      </w:r>
    </w:p>
    <w:p w14:paraId="32F36FB7">
      <w:pPr>
        <w:ind w:firstLine="1680" w:firstLineChars="700"/>
        <w:rPr>
          <w:rFonts w:ascii="华文宋体" w:hAnsi="华文宋体" w:eastAsia="华文宋体"/>
          <w:bCs/>
        </w:rPr>
      </w:pPr>
      <w:r>
        <w:rPr>
          <w:rFonts w:hint="eastAsia" w:ascii="华文宋体" w:hAnsi="华文宋体" w:eastAsia="华文宋体"/>
          <w:bCs/>
        </w:rPr>
        <w:t>=（865.6万元/865.6万元）×100%=100%</w:t>
      </w:r>
    </w:p>
    <w:p w14:paraId="53A4B0BE">
      <w:pPr>
        <w:ind w:firstLine="480" w:firstLineChars="200"/>
        <w:rPr>
          <w:rFonts w:ascii="华文宋体" w:hAnsi="华文宋体" w:eastAsia="华文宋体"/>
          <w:bCs/>
        </w:rPr>
      </w:pPr>
      <w:r>
        <w:rPr>
          <w:rFonts w:hint="eastAsia" w:ascii="华文宋体" w:hAnsi="华文宋体" w:eastAsia="华文宋体"/>
          <w:bCs/>
        </w:rPr>
        <w:t>资金到位及时率100%得1分。</w:t>
      </w:r>
    </w:p>
    <w:p w14:paraId="18E78AF9">
      <w:pPr>
        <w:pStyle w:val="3"/>
        <w:rPr>
          <w:rFonts w:ascii="华文宋体" w:hAnsi="华文宋体" w:eastAsia="华文宋体" w:cs="宋体"/>
          <w:b w:val="0"/>
          <w:sz w:val="24"/>
          <w:szCs w:val="24"/>
        </w:rPr>
      </w:pPr>
      <w:bookmarkStart w:id="3" w:name="_Toc75123284"/>
      <w:r>
        <w:rPr>
          <w:rFonts w:hint="eastAsia" w:ascii="华文宋体" w:hAnsi="华文宋体" w:eastAsia="华文宋体" w:cs="宋体"/>
          <w:b w:val="0"/>
          <w:sz w:val="24"/>
          <w:szCs w:val="24"/>
        </w:rPr>
        <w:t>（二）项目管理情况分析。</w:t>
      </w:r>
      <w:bookmarkEnd w:id="3"/>
    </w:p>
    <w:p w14:paraId="48295539">
      <w:pPr>
        <w:ind w:firstLine="480" w:firstLineChars="200"/>
        <w:rPr>
          <w:rFonts w:ascii="华文宋体" w:hAnsi="华文宋体" w:eastAsia="华文宋体"/>
        </w:rPr>
      </w:pPr>
      <w:r>
        <w:rPr>
          <w:rFonts w:hint="eastAsia" w:ascii="华文宋体" w:hAnsi="华文宋体" w:eastAsia="华文宋体"/>
        </w:rPr>
        <w:t>项目管理总分20分，实际得分16分。</w:t>
      </w:r>
    </w:p>
    <w:p w14:paraId="7E629B70">
      <w:pPr>
        <w:ind w:firstLine="480" w:firstLineChars="200"/>
        <w:rPr>
          <w:rFonts w:ascii="华文宋体" w:hAnsi="华文宋体" w:eastAsia="华文宋体"/>
        </w:rPr>
      </w:pPr>
      <w:r>
        <w:rPr>
          <w:rFonts w:hint="eastAsia" w:ascii="华文宋体" w:hAnsi="华文宋体" w:eastAsia="华文宋体"/>
        </w:rPr>
        <w:t>1.业务管理</w:t>
      </w:r>
    </w:p>
    <w:p w14:paraId="0B59C2F4">
      <w:pPr>
        <w:ind w:firstLine="480" w:firstLineChars="200"/>
        <w:rPr>
          <w:rFonts w:ascii="华文宋体" w:hAnsi="华文宋体" w:eastAsia="华文宋体"/>
        </w:rPr>
      </w:pPr>
      <w:r>
        <w:rPr>
          <w:rFonts w:hint="eastAsia" w:ascii="华文宋体" w:hAnsi="华文宋体" w:eastAsia="华文宋体"/>
        </w:rPr>
        <w:t>（1）管理制度健全性</w:t>
      </w:r>
    </w:p>
    <w:p w14:paraId="3A01A280">
      <w:pPr>
        <w:ind w:firstLine="480" w:firstLineChars="200"/>
        <w:rPr>
          <w:rFonts w:ascii="华文宋体" w:hAnsi="华文宋体" w:eastAsia="华文宋体"/>
        </w:rPr>
      </w:pPr>
      <w:r>
        <w:rPr>
          <w:rFonts w:hint="eastAsia" w:ascii="华文宋体" w:hAnsi="华文宋体" w:eastAsia="华文宋体"/>
        </w:rPr>
        <w:t>已制定或具有相应的业务管理制度得2分。南岸区卫健委对区级应急物资储备制定了《南岸区卫生应急物资储备工作实施方案》（以下简称《方案》），《方案》确定南岸区基层医疗卫生服务管理中心（以下简称南岸区基药管理中心）负责集中物资储备的日常管理，南岸区基药管理中心与代储单位国药控股重庆医疗器械有限公司签订了《应急物资代储协议书》。重庆市财政局、重庆市经济和信息化委员会对市级定点储备物资印发了《关于印发重庆市新冠肺炎疫情防控物资储备补偿管理暂行办法的通知》，得2分；业务管理制度合法、合规、完整，得2分，共计得4分。</w:t>
      </w:r>
    </w:p>
    <w:p w14:paraId="18C2D6FF">
      <w:pPr>
        <w:ind w:firstLine="480" w:firstLineChars="200"/>
        <w:rPr>
          <w:rFonts w:ascii="华文宋体" w:hAnsi="华文宋体" w:eastAsia="华文宋体"/>
        </w:rPr>
      </w:pPr>
      <w:r>
        <w:rPr>
          <w:rFonts w:hint="eastAsia" w:ascii="华文宋体" w:hAnsi="华文宋体" w:eastAsia="华文宋体"/>
        </w:rPr>
        <w:t>（2）制度执行有效性</w:t>
      </w:r>
    </w:p>
    <w:p w14:paraId="7E1D6160">
      <w:pPr>
        <w:ind w:firstLine="480" w:firstLineChars="200"/>
        <w:rPr>
          <w:rFonts w:ascii="华文宋体" w:hAnsi="华文宋体" w:eastAsia="华文宋体"/>
        </w:rPr>
      </w:pPr>
      <w:r>
        <w:rPr>
          <w:rFonts w:hint="eastAsia" w:ascii="华文宋体" w:hAnsi="华文宋体" w:eastAsia="华文宋体"/>
        </w:rPr>
        <w:t>项目实施与已制定相关业务管理规定完全相符得2分，部分不相符扣1分，完全不相符扣2分。南岸区基药管理中心制定了《南岸区卫生应急储备物资议价方案》，判断标准为“须议价成员3/4以上同意方可确定储备品种的生产厂家和价格，”部分区级应急储备物资的生产厂家与代储协议约定的生产厂家不一致，更换应急物资生产厂家未提交议价小组重新议价，未严格执行《南岸区卫生应急储备物资议价方案》，部分相符扣1分，实际得分1分。</w:t>
      </w:r>
    </w:p>
    <w:p w14:paraId="2799BC5E">
      <w:pPr>
        <w:ind w:firstLine="480" w:firstLineChars="200"/>
        <w:rPr>
          <w:rFonts w:ascii="华文宋体" w:hAnsi="华文宋体" w:eastAsia="华文宋体"/>
        </w:rPr>
      </w:pPr>
      <w:r>
        <w:rPr>
          <w:rFonts w:hint="eastAsia" w:ascii="华文宋体" w:hAnsi="华文宋体" w:eastAsia="华文宋体"/>
        </w:rPr>
        <w:t>（3）项目质量可控性</w:t>
      </w:r>
    </w:p>
    <w:p w14:paraId="0ABA4C9E">
      <w:pPr>
        <w:ind w:firstLine="480" w:firstLineChars="200"/>
        <w:rPr>
          <w:rFonts w:ascii="华文宋体" w:hAnsi="华文宋体" w:eastAsia="华文宋体"/>
        </w:rPr>
      </w:pPr>
      <w:r>
        <w:rPr>
          <w:rFonts w:hint="eastAsia" w:ascii="华文宋体" w:hAnsi="华文宋体" w:eastAsia="华文宋体"/>
        </w:rPr>
        <w:t>项目实施与已签订的合同规定完全相符得2分，部分相符扣1分，完全不符扣2分。南岸区基药管理中心与代储单位国药医疗器械公司签订的《代储协议》约定：代储单位建立台账，每周定期上报物资情况，设立物资效期预警机制，部分物资已到有效期预警期，代储单位未履行上报程序，未严格执行《代储协议》的约定，部分相符扣1分，实际得1分。</w:t>
      </w:r>
    </w:p>
    <w:p w14:paraId="509D9139">
      <w:pPr>
        <w:ind w:firstLine="480" w:firstLineChars="200"/>
        <w:rPr>
          <w:rFonts w:ascii="华文宋体" w:hAnsi="华文宋体" w:eastAsia="华文宋体"/>
        </w:rPr>
      </w:pPr>
      <w:r>
        <w:rPr>
          <w:rFonts w:hint="eastAsia" w:ascii="华文宋体" w:hAnsi="华文宋体" w:eastAsia="华文宋体"/>
        </w:rPr>
        <w:t>2.财务管理。</w:t>
      </w:r>
    </w:p>
    <w:p w14:paraId="6831397A">
      <w:pPr>
        <w:ind w:firstLine="480" w:firstLineChars="200"/>
        <w:rPr>
          <w:rFonts w:ascii="华文宋体" w:hAnsi="华文宋体" w:eastAsia="华文宋体"/>
        </w:rPr>
      </w:pPr>
      <w:r>
        <w:rPr>
          <w:rFonts w:hint="eastAsia" w:ascii="华文宋体" w:hAnsi="华文宋体" w:eastAsia="华文宋体"/>
        </w:rPr>
        <w:t>（1）管理制度健全性</w:t>
      </w:r>
    </w:p>
    <w:p w14:paraId="750ECF52">
      <w:pPr>
        <w:ind w:firstLine="480" w:firstLineChars="200"/>
        <w:rPr>
          <w:rFonts w:ascii="华文宋体" w:hAnsi="华文宋体" w:eastAsia="华文宋体"/>
        </w:rPr>
      </w:pPr>
      <w:r>
        <w:rPr>
          <w:rFonts w:hint="eastAsia" w:ascii="华文宋体" w:hAnsi="华文宋体" w:eastAsia="华文宋体"/>
        </w:rPr>
        <w:t>南岸区卫健委已制定《资金管理暂行办法》（南卫计发〔2018〕470号 ）、《专项资金管理暂行办法（试行）》和《进一步规范基本公共卫生服务会计核算》（南卫计发〔2018〕489号），《财务定期巡查制度》（南卫计发[2018]292号），财务管理制度完整、规范，得2分。</w:t>
      </w:r>
    </w:p>
    <w:p w14:paraId="4CD9EE39">
      <w:pPr>
        <w:ind w:firstLine="480" w:firstLineChars="200"/>
        <w:rPr>
          <w:rFonts w:ascii="华文宋体" w:hAnsi="华文宋体" w:eastAsia="华文宋体"/>
        </w:rPr>
      </w:pPr>
      <w:r>
        <w:rPr>
          <w:rFonts w:hint="eastAsia" w:ascii="华文宋体" w:hAnsi="华文宋体" w:eastAsia="华文宋体"/>
        </w:rPr>
        <w:t>（2）资金使用合规性</w:t>
      </w:r>
    </w:p>
    <w:p w14:paraId="1A7D321F">
      <w:pPr>
        <w:ind w:firstLine="480" w:firstLineChars="200"/>
        <w:rPr>
          <w:rFonts w:ascii="华文宋体" w:hAnsi="华文宋体" w:eastAsia="华文宋体"/>
        </w:rPr>
      </w:pPr>
      <w:r>
        <w:rPr>
          <w:rFonts w:hint="eastAsia" w:ascii="华文宋体" w:hAnsi="华文宋体" w:eastAsia="华文宋体"/>
        </w:rPr>
        <w:t>①符合国家财经法规和财务管理制度以及有关专项资金管理办法的规定，得1分，不符合扣1分；</w:t>
      </w:r>
    </w:p>
    <w:p w14:paraId="150188B1">
      <w:pPr>
        <w:ind w:firstLine="480" w:firstLineChars="200"/>
        <w:rPr>
          <w:rFonts w:ascii="华文宋体" w:hAnsi="华文宋体" w:eastAsia="华文宋体"/>
        </w:rPr>
      </w:pPr>
      <w:r>
        <w:rPr>
          <w:rFonts w:hint="eastAsia" w:ascii="华文宋体" w:hAnsi="华文宋体" w:eastAsia="华文宋体"/>
        </w:rPr>
        <w:t>②资金的拨付有完整的审批程序和手续，得1分；</w:t>
      </w:r>
    </w:p>
    <w:p w14:paraId="4C563161">
      <w:pPr>
        <w:ind w:firstLine="480" w:firstLineChars="200"/>
        <w:rPr>
          <w:rFonts w:ascii="华文宋体" w:hAnsi="华文宋体" w:eastAsia="华文宋体"/>
        </w:rPr>
      </w:pPr>
      <w:r>
        <w:rPr>
          <w:rFonts w:hint="eastAsia" w:ascii="华文宋体" w:hAnsi="华文宋体" w:eastAsia="华文宋体"/>
        </w:rPr>
        <w:t>③符合项目预算批复或合同规定的用途，得1分；</w:t>
      </w:r>
    </w:p>
    <w:p w14:paraId="5C465A69">
      <w:pPr>
        <w:ind w:firstLine="480" w:firstLineChars="200"/>
        <w:rPr>
          <w:rFonts w:ascii="华文宋体" w:hAnsi="华文宋体" w:eastAsia="华文宋体"/>
        </w:rPr>
      </w:pPr>
      <w:r>
        <w:rPr>
          <w:rFonts w:hint="eastAsia" w:ascii="华文宋体" w:hAnsi="华文宋体" w:eastAsia="华文宋体"/>
        </w:rPr>
        <w:t>④是否存在截留、挤占、挪用、虚列支出等情况，不存在得1分，存在扣1分。</w:t>
      </w:r>
    </w:p>
    <w:p w14:paraId="29DD61B9">
      <w:pPr>
        <w:ind w:firstLine="480" w:firstLineChars="200"/>
        <w:rPr>
          <w:rFonts w:ascii="华文宋体" w:hAnsi="华文宋体" w:eastAsia="华文宋体"/>
        </w:rPr>
      </w:pPr>
      <w:r>
        <w:rPr>
          <w:rFonts w:hint="eastAsia" w:ascii="华文宋体" w:hAnsi="华文宋体" w:eastAsia="华文宋体"/>
        </w:rPr>
        <w:t>重庆市经济和信息化委员会《关于移交疫情防控储备物资的通知》要求，市级定点储备单位2020年12月31日前将库存物资移交至重庆医药（集团）股份有限公司集中收储。2020年7月31日后销售物资资金，划转至重庆医药（集团）股份有限公司防疫物资专户暂时保管。国药泰民公司2020年7月31日后销售防疫物资资金194,903.57元，目前未按重庆市经济和信息化委员会《关于移交疫情防控储备物资的通知》划转重庆医药（集团）股份有限公司防疫物资专户保管，资金使用合规性4分扣2分，实际得2分。</w:t>
      </w:r>
    </w:p>
    <w:p w14:paraId="1F7D9682">
      <w:pPr>
        <w:ind w:firstLine="480" w:firstLineChars="200"/>
        <w:rPr>
          <w:rFonts w:ascii="华文宋体" w:hAnsi="华文宋体" w:eastAsia="华文宋体"/>
        </w:rPr>
      </w:pPr>
      <w:r>
        <w:rPr>
          <w:rFonts w:hint="eastAsia" w:ascii="华文宋体" w:hAnsi="华文宋体" w:eastAsia="华文宋体"/>
        </w:rPr>
        <w:t>（3）财务监控有效性</w:t>
      </w:r>
    </w:p>
    <w:p w14:paraId="4D2E9376">
      <w:pPr>
        <w:ind w:firstLine="480" w:firstLineChars="200"/>
        <w:rPr>
          <w:rFonts w:ascii="华文宋体" w:hAnsi="华文宋体" w:eastAsia="华文宋体"/>
        </w:rPr>
      </w:pPr>
      <w:r>
        <w:rPr>
          <w:rFonts w:hint="eastAsia" w:ascii="华文宋体" w:hAnsi="华文宋体" w:eastAsia="华文宋体"/>
        </w:rPr>
        <w:t>财务监控方面，按《财务定期巡查制度》采取了财务检查、考核等控制措施或手段，得2分。</w:t>
      </w:r>
    </w:p>
    <w:p w14:paraId="6F0392C1">
      <w:pPr>
        <w:pStyle w:val="3"/>
        <w:rPr>
          <w:rFonts w:ascii="华文宋体" w:hAnsi="华文宋体" w:eastAsia="华文宋体" w:cs="宋体"/>
          <w:b w:val="0"/>
          <w:sz w:val="24"/>
          <w:szCs w:val="24"/>
        </w:rPr>
      </w:pPr>
      <w:bookmarkStart w:id="4" w:name="_Toc75123285"/>
      <w:r>
        <w:rPr>
          <w:rFonts w:hint="eastAsia" w:ascii="华文宋体" w:hAnsi="华文宋体" w:eastAsia="华文宋体" w:cs="宋体"/>
          <w:b w:val="0"/>
          <w:sz w:val="24"/>
          <w:szCs w:val="24"/>
        </w:rPr>
        <w:t>（三）项目绩效情况分析</w:t>
      </w:r>
      <w:bookmarkEnd w:id="4"/>
    </w:p>
    <w:p w14:paraId="5CA27E17">
      <w:pPr>
        <w:ind w:firstLine="480" w:firstLineChars="200"/>
        <w:rPr>
          <w:rFonts w:ascii="华文宋体" w:hAnsi="华文宋体" w:eastAsia="华文宋体"/>
        </w:rPr>
      </w:pPr>
      <w:r>
        <w:rPr>
          <w:rFonts w:hint="eastAsia" w:ascii="华文宋体" w:hAnsi="华文宋体" w:eastAsia="华文宋体"/>
        </w:rPr>
        <w:t>1.项目产出分析（总分40分，实际得分40分）</w:t>
      </w:r>
    </w:p>
    <w:p w14:paraId="47BFFEF7">
      <w:pPr>
        <w:pStyle w:val="15"/>
        <w:tabs>
          <w:tab w:val="center" w:pos="4153"/>
          <w:tab w:val="left" w:pos="7275"/>
        </w:tabs>
        <w:spacing w:line="600" w:lineRule="exact"/>
        <w:ind w:firstLine="480"/>
        <w:rPr>
          <w:rFonts w:ascii="华文宋体" w:hAnsi="华文宋体" w:eastAsia="华文宋体" w:cs="宋体"/>
          <w:b/>
          <w:kern w:val="0"/>
          <w:sz w:val="24"/>
          <w:szCs w:val="24"/>
        </w:rPr>
      </w:pPr>
      <w:r>
        <w:rPr>
          <w:rFonts w:hint="eastAsia" w:ascii="华文宋体" w:hAnsi="华文宋体" w:eastAsia="华文宋体" w:cs="宋体"/>
          <w:sz w:val="24"/>
          <w:szCs w:val="24"/>
        </w:rPr>
        <w:t>（1）疫情防控应急储备物资产出数量</w:t>
      </w:r>
    </w:p>
    <w:tbl>
      <w:tblPr>
        <w:tblStyle w:val="9"/>
        <w:tblW w:w="9073" w:type="dxa"/>
        <w:tblInd w:w="-34" w:type="dxa"/>
        <w:tblLayout w:type="fixed"/>
        <w:tblCellMar>
          <w:top w:w="0" w:type="dxa"/>
          <w:left w:w="108" w:type="dxa"/>
          <w:bottom w:w="0" w:type="dxa"/>
          <w:right w:w="108" w:type="dxa"/>
        </w:tblCellMar>
      </w:tblPr>
      <w:tblGrid>
        <w:gridCol w:w="889"/>
        <w:gridCol w:w="771"/>
        <w:gridCol w:w="1075"/>
        <w:gridCol w:w="4111"/>
        <w:gridCol w:w="951"/>
        <w:gridCol w:w="567"/>
        <w:gridCol w:w="709"/>
      </w:tblGrid>
      <w:tr w14:paraId="3B2799D2">
        <w:tblPrEx>
          <w:tblCellMar>
            <w:top w:w="0" w:type="dxa"/>
            <w:left w:w="108" w:type="dxa"/>
            <w:bottom w:w="0" w:type="dxa"/>
            <w:right w:w="108" w:type="dxa"/>
          </w:tblCellMar>
        </w:tblPrEx>
        <w:trPr>
          <w:trHeight w:val="984" w:hRule="atLeast"/>
        </w:trPr>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4C6D4134">
            <w:pPr>
              <w:spacing w:line="300" w:lineRule="exact"/>
              <w:jc w:val="center"/>
              <w:rPr>
                <w:rFonts w:ascii="华文宋体" w:hAnsi="华文宋体" w:eastAsia="华文宋体"/>
              </w:rPr>
            </w:pPr>
            <w:r>
              <w:rPr>
                <w:rFonts w:hint="eastAsia" w:ascii="华文宋体" w:hAnsi="华文宋体" w:eastAsia="华文宋体"/>
              </w:rPr>
              <w:t>项目实施单位</w:t>
            </w:r>
          </w:p>
        </w:tc>
        <w:tc>
          <w:tcPr>
            <w:tcW w:w="771" w:type="dxa"/>
            <w:tcBorders>
              <w:top w:val="single" w:color="auto" w:sz="4" w:space="0"/>
              <w:left w:val="nil"/>
              <w:bottom w:val="single" w:color="auto" w:sz="4" w:space="0"/>
              <w:right w:val="single" w:color="auto" w:sz="4" w:space="0"/>
            </w:tcBorders>
            <w:shd w:val="clear" w:color="auto" w:fill="auto"/>
            <w:vAlign w:val="center"/>
          </w:tcPr>
          <w:p w14:paraId="08DF91B0">
            <w:pPr>
              <w:spacing w:line="300" w:lineRule="exact"/>
              <w:jc w:val="center"/>
              <w:rPr>
                <w:rFonts w:ascii="华文宋体" w:hAnsi="华文宋体" w:eastAsia="华文宋体"/>
              </w:rPr>
            </w:pPr>
            <w:r>
              <w:rPr>
                <w:rFonts w:hint="eastAsia" w:ascii="华文宋体" w:hAnsi="华文宋体" w:eastAsia="华文宋体"/>
              </w:rPr>
              <w:t>储备物资类别</w:t>
            </w:r>
          </w:p>
        </w:tc>
        <w:tc>
          <w:tcPr>
            <w:tcW w:w="1075" w:type="dxa"/>
            <w:tcBorders>
              <w:top w:val="single" w:color="auto" w:sz="4" w:space="0"/>
              <w:left w:val="nil"/>
              <w:bottom w:val="single" w:color="auto" w:sz="4" w:space="0"/>
              <w:right w:val="single" w:color="auto" w:sz="4" w:space="0"/>
            </w:tcBorders>
            <w:shd w:val="clear" w:color="auto" w:fill="auto"/>
            <w:vAlign w:val="center"/>
          </w:tcPr>
          <w:p w14:paraId="1E08C64D">
            <w:pPr>
              <w:spacing w:line="300" w:lineRule="exact"/>
              <w:jc w:val="center"/>
              <w:rPr>
                <w:rFonts w:ascii="华文宋体" w:hAnsi="华文宋体" w:eastAsia="华文宋体"/>
              </w:rPr>
            </w:pPr>
            <w:r>
              <w:rPr>
                <w:rFonts w:hint="eastAsia" w:ascii="华文宋体" w:hAnsi="华文宋体" w:eastAsia="华文宋体"/>
              </w:rPr>
              <w:t>储备总数量(个/瓶/套）</w:t>
            </w:r>
          </w:p>
        </w:tc>
        <w:tc>
          <w:tcPr>
            <w:tcW w:w="4111" w:type="dxa"/>
            <w:tcBorders>
              <w:top w:val="single" w:color="auto" w:sz="4" w:space="0"/>
              <w:left w:val="nil"/>
              <w:bottom w:val="single" w:color="auto" w:sz="4" w:space="0"/>
              <w:right w:val="single" w:color="auto" w:sz="4" w:space="0"/>
            </w:tcBorders>
            <w:shd w:val="clear" w:color="auto" w:fill="auto"/>
            <w:vAlign w:val="center"/>
          </w:tcPr>
          <w:p w14:paraId="7C7462CD">
            <w:pPr>
              <w:spacing w:line="300" w:lineRule="exact"/>
              <w:jc w:val="center"/>
              <w:rPr>
                <w:rFonts w:ascii="华文宋体" w:hAnsi="华文宋体" w:eastAsia="华文宋体"/>
              </w:rPr>
            </w:pPr>
            <w:r>
              <w:rPr>
                <w:rFonts w:hint="eastAsia" w:ascii="华文宋体" w:hAnsi="华文宋体" w:eastAsia="华文宋体"/>
              </w:rPr>
              <w:t>储备具体数量(个/台/瓶/套）</w:t>
            </w:r>
          </w:p>
        </w:tc>
        <w:tc>
          <w:tcPr>
            <w:tcW w:w="951" w:type="dxa"/>
            <w:tcBorders>
              <w:top w:val="single" w:color="auto" w:sz="4" w:space="0"/>
              <w:left w:val="nil"/>
              <w:bottom w:val="single" w:color="auto" w:sz="4" w:space="0"/>
              <w:right w:val="single" w:color="auto" w:sz="4" w:space="0"/>
            </w:tcBorders>
            <w:shd w:val="clear" w:color="auto" w:fill="auto"/>
            <w:vAlign w:val="center"/>
          </w:tcPr>
          <w:p w14:paraId="14710432">
            <w:pPr>
              <w:spacing w:line="300" w:lineRule="exact"/>
              <w:jc w:val="center"/>
              <w:rPr>
                <w:rFonts w:ascii="华文宋体" w:hAnsi="华文宋体" w:eastAsia="华文宋体"/>
              </w:rPr>
            </w:pPr>
            <w:r>
              <w:rPr>
                <w:rFonts w:hint="eastAsia" w:ascii="华文宋体" w:hAnsi="华文宋体" w:eastAsia="华文宋体"/>
              </w:rPr>
              <w:t>完成  情况</w:t>
            </w:r>
          </w:p>
        </w:tc>
        <w:tc>
          <w:tcPr>
            <w:tcW w:w="567" w:type="dxa"/>
            <w:tcBorders>
              <w:top w:val="single" w:color="auto" w:sz="4" w:space="0"/>
              <w:left w:val="nil"/>
              <w:bottom w:val="single" w:color="auto" w:sz="4" w:space="0"/>
              <w:right w:val="single" w:color="auto" w:sz="4" w:space="0"/>
            </w:tcBorders>
            <w:shd w:val="clear" w:color="auto" w:fill="auto"/>
            <w:vAlign w:val="center"/>
          </w:tcPr>
          <w:p w14:paraId="1B7C2DD9">
            <w:pPr>
              <w:spacing w:line="300" w:lineRule="exact"/>
              <w:jc w:val="center"/>
              <w:rPr>
                <w:rFonts w:ascii="华文宋体" w:hAnsi="华文宋体" w:eastAsia="华文宋体"/>
              </w:rPr>
            </w:pPr>
            <w:r>
              <w:rPr>
                <w:rFonts w:hint="eastAsia" w:ascii="华文宋体" w:hAnsi="华文宋体" w:eastAsia="华文宋体"/>
              </w:rPr>
              <w:t>标准分</w:t>
            </w:r>
          </w:p>
        </w:tc>
        <w:tc>
          <w:tcPr>
            <w:tcW w:w="709" w:type="dxa"/>
            <w:tcBorders>
              <w:top w:val="single" w:color="auto" w:sz="4" w:space="0"/>
              <w:left w:val="nil"/>
              <w:bottom w:val="single" w:color="auto" w:sz="4" w:space="0"/>
              <w:right w:val="single" w:color="auto" w:sz="4" w:space="0"/>
            </w:tcBorders>
            <w:shd w:val="clear" w:color="auto" w:fill="auto"/>
            <w:vAlign w:val="center"/>
          </w:tcPr>
          <w:p w14:paraId="7930E7A6">
            <w:pPr>
              <w:spacing w:line="300" w:lineRule="exact"/>
              <w:jc w:val="center"/>
              <w:rPr>
                <w:rFonts w:ascii="华文宋体" w:hAnsi="华文宋体" w:eastAsia="华文宋体"/>
              </w:rPr>
            </w:pPr>
            <w:r>
              <w:rPr>
                <w:rFonts w:hint="eastAsia" w:ascii="华文宋体" w:hAnsi="华文宋体" w:eastAsia="华文宋体"/>
              </w:rPr>
              <w:t>实际得分</w:t>
            </w:r>
          </w:p>
        </w:tc>
      </w:tr>
      <w:tr w14:paraId="063E2C86">
        <w:tblPrEx>
          <w:tblCellMar>
            <w:top w:w="0" w:type="dxa"/>
            <w:left w:w="108" w:type="dxa"/>
            <w:bottom w:w="0" w:type="dxa"/>
            <w:right w:w="108" w:type="dxa"/>
          </w:tblCellMar>
        </w:tblPrEx>
        <w:trPr>
          <w:trHeight w:val="2106" w:hRule="atLeast"/>
        </w:trPr>
        <w:tc>
          <w:tcPr>
            <w:tcW w:w="8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B4D60F">
            <w:pPr>
              <w:spacing w:line="300" w:lineRule="exact"/>
              <w:jc w:val="center"/>
              <w:rPr>
                <w:rFonts w:ascii="华文宋体" w:hAnsi="华文宋体" w:eastAsia="华文宋体"/>
              </w:rPr>
            </w:pPr>
            <w:r>
              <w:rPr>
                <w:rFonts w:hint="eastAsia" w:ascii="华文宋体" w:hAnsi="华文宋体" w:eastAsia="华文宋体"/>
              </w:rPr>
              <w:t>南岸区基层医疗卫生服务管理中心</w:t>
            </w:r>
          </w:p>
        </w:tc>
        <w:tc>
          <w:tcPr>
            <w:tcW w:w="771" w:type="dxa"/>
            <w:tcBorders>
              <w:top w:val="single" w:color="auto" w:sz="4" w:space="0"/>
              <w:left w:val="nil"/>
              <w:bottom w:val="single" w:color="auto" w:sz="4" w:space="0"/>
              <w:right w:val="single" w:color="auto" w:sz="4" w:space="0"/>
            </w:tcBorders>
            <w:shd w:val="clear" w:color="auto" w:fill="auto"/>
            <w:vAlign w:val="center"/>
          </w:tcPr>
          <w:p w14:paraId="2AB9CD1F">
            <w:pPr>
              <w:spacing w:line="300" w:lineRule="exact"/>
              <w:jc w:val="center"/>
              <w:rPr>
                <w:rFonts w:ascii="华文宋体" w:hAnsi="华文宋体" w:eastAsia="华文宋体"/>
              </w:rPr>
            </w:pPr>
            <w:r>
              <w:rPr>
                <w:rFonts w:hint="eastAsia" w:ascii="华文宋体" w:hAnsi="华文宋体" w:eastAsia="华文宋体"/>
              </w:rPr>
              <w:t>防护 物资</w:t>
            </w:r>
          </w:p>
        </w:tc>
        <w:tc>
          <w:tcPr>
            <w:tcW w:w="1075" w:type="dxa"/>
            <w:tcBorders>
              <w:top w:val="single" w:color="auto" w:sz="4" w:space="0"/>
              <w:left w:val="nil"/>
              <w:bottom w:val="single" w:color="auto" w:sz="4" w:space="0"/>
              <w:right w:val="single" w:color="auto" w:sz="4" w:space="0"/>
            </w:tcBorders>
            <w:shd w:val="clear" w:color="auto" w:fill="auto"/>
            <w:vAlign w:val="center"/>
          </w:tcPr>
          <w:p w14:paraId="7614FC95">
            <w:pPr>
              <w:spacing w:line="300" w:lineRule="exact"/>
              <w:jc w:val="center"/>
              <w:rPr>
                <w:rFonts w:ascii="华文宋体" w:hAnsi="华文宋体" w:eastAsia="华文宋体"/>
              </w:rPr>
            </w:pPr>
            <w:r>
              <w:rPr>
                <w:rFonts w:hint="eastAsia" w:ascii="华文宋体" w:hAnsi="华文宋体" w:eastAsia="华文宋体"/>
              </w:rPr>
              <w:t>509745</w:t>
            </w:r>
          </w:p>
        </w:tc>
        <w:tc>
          <w:tcPr>
            <w:tcW w:w="4111" w:type="dxa"/>
            <w:tcBorders>
              <w:top w:val="single" w:color="auto" w:sz="4" w:space="0"/>
              <w:left w:val="nil"/>
              <w:bottom w:val="single" w:color="auto" w:sz="4" w:space="0"/>
              <w:right w:val="single" w:color="auto" w:sz="4" w:space="0"/>
            </w:tcBorders>
            <w:shd w:val="clear" w:color="auto" w:fill="auto"/>
            <w:vAlign w:val="center"/>
          </w:tcPr>
          <w:p w14:paraId="2D340280">
            <w:pPr>
              <w:spacing w:line="300" w:lineRule="exact"/>
              <w:jc w:val="center"/>
              <w:rPr>
                <w:rFonts w:ascii="华文宋体" w:hAnsi="华文宋体" w:eastAsia="华文宋体"/>
              </w:rPr>
            </w:pPr>
            <w:r>
              <w:rPr>
                <w:rFonts w:hint="eastAsia" w:ascii="华文宋体" w:hAnsi="华文宋体" w:eastAsia="华文宋体"/>
              </w:rPr>
              <w:t>医用防护口罩18000个，医用外科口罩300000个，一次性防护面罩3000个，防雾护目镜800个，医用防护服5000件，医用隔离医40000件，一次性使用灭菌橡胶外科手套30935双，医用检查手套20000双，医用工作帽60000个，长筒靴套7000双，一次性保护鞋套25000双，正压头盔10个。</w:t>
            </w:r>
          </w:p>
        </w:tc>
        <w:tc>
          <w:tcPr>
            <w:tcW w:w="951" w:type="dxa"/>
            <w:tcBorders>
              <w:top w:val="single" w:color="auto" w:sz="4" w:space="0"/>
              <w:left w:val="nil"/>
              <w:bottom w:val="single" w:color="auto" w:sz="4" w:space="0"/>
              <w:right w:val="single" w:color="auto" w:sz="4" w:space="0"/>
            </w:tcBorders>
            <w:shd w:val="clear" w:color="auto" w:fill="auto"/>
            <w:vAlign w:val="center"/>
          </w:tcPr>
          <w:p w14:paraId="72F8AFEF">
            <w:pPr>
              <w:spacing w:line="300" w:lineRule="exact"/>
              <w:jc w:val="center"/>
              <w:rPr>
                <w:rFonts w:ascii="华文宋体" w:hAnsi="华文宋体" w:eastAsia="华文宋体"/>
              </w:rPr>
            </w:pPr>
            <w:r>
              <w:rPr>
                <w:rFonts w:hint="eastAsia" w:ascii="华文宋体" w:hAnsi="华文宋体" w:eastAsia="华文宋体"/>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194FAF61">
            <w:pPr>
              <w:spacing w:line="300" w:lineRule="exact"/>
              <w:jc w:val="center"/>
              <w:rPr>
                <w:rFonts w:ascii="华文宋体" w:hAnsi="华文宋体" w:eastAsia="华文宋体"/>
              </w:rPr>
            </w:pPr>
            <w:r>
              <w:rPr>
                <w:rFonts w:hint="eastAsia" w:ascii="华文宋体" w:hAnsi="华文宋体" w:eastAsia="华文宋体"/>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5B2F1EA2">
            <w:pPr>
              <w:spacing w:line="300" w:lineRule="exact"/>
              <w:jc w:val="center"/>
              <w:rPr>
                <w:rFonts w:ascii="华文宋体" w:hAnsi="华文宋体" w:eastAsia="华文宋体"/>
              </w:rPr>
            </w:pPr>
            <w:r>
              <w:rPr>
                <w:rFonts w:hint="eastAsia" w:ascii="华文宋体" w:hAnsi="华文宋体" w:eastAsia="华文宋体"/>
              </w:rPr>
              <w:t>1</w:t>
            </w:r>
          </w:p>
        </w:tc>
      </w:tr>
      <w:tr w14:paraId="44970960">
        <w:tblPrEx>
          <w:tblCellMar>
            <w:top w:w="0" w:type="dxa"/>
            <w:left w:w="108" w:type="dxa"/>
            <w:bottom w:w="0" w:type="dxa"/>
            <w:right w:w="108" w:type="dxa"/>
          </w:tblCellMar>
        </w:tblPrEx>
        <w:trPr>
          <w:trHeight w:val="864" w:hRule="atLeast"/>
        </w:trPr>
        <w:tc>
          <w:tcPr>
            <w:tcW w:w="889" w:type="dxa"/>
            <w:vMerge w:val="continue"/>
            <w:tcBorders>
              <w:top w:val="single" w:color="auto" w:sz="4" w:space="0"/>
              <w:left w:val="single" w:color="auto" w:sz="4" w:space="0"/>
              <w:bottom w:val="single" w:color="auto" w:sz="4" w:space="0"/>
              <w:right w:val="single" w:color="auto" w:sz="4" w:space="0"/>
            </w:tcBorders>
            <w:vAlign w:val="center"/>
          </w:tcPr>
          <w:p w14:paraId="0DFD30C4">
            <w:pPr>
              <w:spacing w:line="300" w:lineRule="exact"/>
              <w:jc w:val="center"/>
              <w:rPr>
                <w:rFonts w:ascii="华文宋体" w:hAnsi="华文宋体" w:eastAsia="华文宋体"/>
              </w:rPr>
            </w:pPr>
          </w:p>
        </w:tc>
        <w:tc>
          <w:tcPr>
            <w:tcW w:w="771" w:type="dxa"/>
            <w:tcBorders>
              <w:top w:val="single" w:color="auto" w:sz="4" w:space="0"/>
              <w:left w:val="nil"/>
              <w:bottom w:val="single" w:color="auto" w:sz="4" w:space="0"/>
              <w:right w:val="single" w:color="auto" w:sz="4" w:space="0"/>
            </w:tcBorders>
            <w:shd w:val="clear" w:color="auto" w:fill="auto"/>
            <w:vAlign w:val="center"/>
          </w:tcPr>
          <w:p w14:paraId="3403D27F">
            <w:pPr>
              <w:spacing w:line="300" w:lineRule="exact"/>
              <w:jc w:val="center"/>
              <w:rPr>
                <w:rFonts w:ascii="华文宋体" w:hAnsi="华文宋体" w:eastAsia="华文宋体"/>
              </w:rPr>
            </w:pPr>
            <w:r>
              <w:rPr>
                <w:rFonts w:hint="eastAsia" w:ascii="华文宋体" w:hAnsi="华文宋体" w:eastAsia="华文宋体"/>
              </w:rPr>
              <w:t>消杀 用品</w:t>
            </w:r>
          </w:p>
        </w:tc>
        <w:tc>
          <w:tcPr>
            <w:tcW w:w="1075" w:type="dxa"/>
            <w:tcBorders>
              <w:top w:val="single" w:color="auto" w:sz="4" w:space="0"/>
              <w:left w:val="nil"/>
              <w:bottom w:val="single" w:color="auto" w:sz="4" w:space="0"/>
              <w:right w:val="single" w:color="auto" w:sz="4" w:space="0"/>
            </w:tcBorders>
            <w:shd w:val="clear" w:color="auto" w:fill="auto"/>
            <w:vAlign w:val="center"/>
          </w:tcPr>
          <w:p w14:paraId="36EE0D3E">
            <w:pPr>
              <w:spacing w:line="300" w:lineRule="exact"/>
              <w:jc w:val="center"/>
              <w:rPr>
                <w:rFonts w:ascii="华文宋体" w:hAnsi="华文宋体" w:eastAsia="华文宋体"/>
              </w:rPr>
            </w:pPr>
            <w:r>
              <w:rPr>
                <w:rFonts w:hint="eastAsia" w:ascii="华文宋体" w:hAnsi="华文宋体" w:eastAsia="华文宋体"/>
              </w:rPr>
              <w:t>8800</w:t>
            </w:r>
          </w:p>
        </w:tc>
        <w:tc>
          <w:tcPr>
            <w:tcW w:w="4111" w:type="dxa"/>
            <w:tcBorders>
              <w:top w:val="single" w:color="auto" w:sz="4" w:space="0"/>
              <w:left w:val="nil"/>
              <w:bottom w:val="single" w:color="auto" w:sz="4" w:space="0"/>
              <w:right w:val="single" w:color="auto" w:sz="4" w:space="0"/>
            </w:tcBorders>
            <w:shd w:val="clear" w:color="auto" w:fill="auto"/>
            <w:vAlign w:val="center"/>
          </w:tcPr>
          <w:p w14:paraId="2A8FF8D0">
            <w:pPr>
              <w:spacing w:line="300" w:lineRule="exact"/>
              <w:jc w:val="center"/>
              <w:rPr>
                <w:rFonts w:ascii="华文宋体" w:hAnsi="华文宋体" w:eastAsia="华文宋体"/>
              </w:rPr>
            </w:pPr>
            <w:r>
              <w:rPr>
                <w:rFonts w:hint="eastAsia" w:ascii="华文宋体" w:hAnsi="华文宋体" w:eastAsia="华文宋体"/>
              </w:rPr>
              <w:t>速干手消毒液4000瓶，医用酒精1000瓶，泡腾消毒片2000瓶，季铵盐消毒湿巾1500包，优氯净300盒。</w:t>
            </w:r>
          </w:p>
        </w:tc>
        <w:tc>
          <w:tcPr>
            <w:tcW w:w="951" w:type="dxa"/>
            <w:tcBorders>
              <w:top w:val="single" w:color="auto" w:sz="4" w:space="0"/>
              <w:left w:val="nil"/>
              <w:bottom w:val="single" w:color="auto" w:sz="4" w:space="0"/>
              <w:right w:val="single" w:color="auto" w:sz="4" w:space="0"/>
            </w:tcBorders>
            <w:shd w:val="clear" w:color="auto" w:fill="auto"/>
            <w:vAlign w:val="center"/>
          </w:tcPr>
          <w:p w14:paraId="7211307F">
            <w:pPr>
              <w:spacing w:line="300" w:lineRule="exact"/>
              <w:jc w:val="center"/>
              <w:rPr>
                <w:rFonts w:ascii="华文宋体" w:hAnsi="华文宋体" w:eastAsia="华文宋体"/>
              </w:rPr>
            </w:pPr>
            <w:r>
              <w:rPr>
                <w:rFonts w:hint="eastAsia" w:ascii="华文宋体" w:hAnsi="华文宋体" w:eastAsia="华文宋体"/>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018B291D">
            <w:pPr>
              <w:spacing w:line="300" w:lineRule="exact"/>
              <w:jc w:val="center"/>
              <w:rPr>
                <w:rFonts w:ascii="华文宋体" w:hAnsi="华文宋体" w:eastAsia="华文宋体"/>
              </w:rPr>
            </w:pPr>
            <w:r>
              <w:rPr>
                <w:rFonts w:hint="eastAsia" w:ascii="华文宋体" w:hAnsi="华文宋体" w:eastAsia="华文宋体"/>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0B3493B4">
            <w:pPr>
              <w:spacing w:line="300" w:lineRule="exact"/>
              <w:jc w:val="center"/>
              <w:rPr>
                <w:rFonts w:ascii="华文宋体" w:hAnsi="华文宋体" w:eastAsia="华文宋体"/>
              </w:rPr>
            </w:pPr>
            <w:r>
              <w:rPr>
                <w:rFonts w:hint="eastAsia" w:ascii="华文宋体" w:hAnsi="华文宋体" w:eastAsia="华文宋体"/>
              </w:rPr>
              <w:t>1</w:t>
            </w:r>
          </w:p>
        </w:tc>
      </w:tr>
      <w:tr w14:paraId="2AF608AA">
        <w:tblPrEx>
          <w:tblCellMar>
            <w:top w:w="0" w:type="dxa"/>
            <w:left w:w="108" w:type="dxa"/>
            <w:bottom w:w="0" w:type="dxa"/>
            <w:right w:w="108" w:type="dxa"/>
          </w:tblCellMar>
        </w:tblPrEx>
        <w:trPr>
          <w:trHeight w:val="1155" w:hRule="atLeast"/>
        </w:trPr>
        <w:tc>
          <w:tcPr>
            <w:tcW w:w="889" w:type="dxa"/>
            <w:vMerge w:val="continue"/>
            <w:tcBorders>
              <w:top w:val="single" w:color="auto" w:sz="4" w:space="0"/>
              <w:left w:val="single" w:color="auto" w:sz="4" w:space="0"/>
              <w:bottom w:val="single" w:color="auto" w:sz="4" w:space="0"/>
              <w:right w:val="single" w:color="auto" w:sz="4" w:space="0"/>
            </w:tcBorders>
            <w:vAlign w:val="center"/>
          </w:tcPr>
          <w:p w14:paraId="64B6D4EE">
            <w:pPr>
              <w:spacing w:line="300" w:lineRule="exact"/>
              <w:jc w:val="center"/>
              <w:rPr>
                <w:rFonts w:ascii="华文宋体" w:hAnsi="华文宋体" w:eastAsia="华文宋体"/>
              </w:rPr>
            </w:pPr>
          </w:p>
        </w:tc>
        <w:tc>
          <w:tcPr>
            <w:tcW w:w="771" w:type="dxa"/>
            <w:tcBorders>
              <w:top w:val="single" w:color="auto" w:sz="4" w:space="0"/>
              <w:left w:val="nil"/>
              <w:bottom w:val="single" w:color="auto" w:sz="4" w:space="0"/>
              <w:right w:val="single" w:color="auto" w:sz="4" w:space="0"/>
            </w:tcBorders>
            <w:shd w:val="clear" w:color="auto" w:fill="auto"/>
            <w:vAlign w:val="center"/>
          </w:tcPr>
          <w:p w14:paraId="1702771E">
            <w:pPr>
              <w:spacing w:line="300" w:lineRule="exact"/>
              <w:jc w:val="center"/>
              <w:rPr>
                <w:rFonts w:ascii="华文宋体" w:hAnsi="华文宋体" w:eastAsia="华文宋体"/>
              </w:rPr>
            </w:pPr>
            <w:r>
              <w:rPr>
                <w:rFonts w:hint="eastAsia" w:ascii="华文宋体" w:hAnsi="华文宋体" w:eastAsia="华文宋体"/>
              </w:rPr>
              <w:t>防护 器械</w:t>
            </w:r>
          </w:p>
        </w:tc>
        <w:tc>
          <w:tcPr>
            <w:tcW w:w="1075" w:type="dxa"/>
            <w:tcBorders>
              <w:top w:val="single" w:color="auto" w:sz="4" w:space="0"/>
              <w:left w:val="nil"/>
              <w:bottom w:val="single" w:color="auto" w:sz="4" w:space="0"/>
              <w:right w:val="single" w:color="auto" w:sz="4" w:space="0"/>
            </w:tcBorders>
            <w:shd w:val="clear" w:color="auto" w:fill="auto"/>
            <w:vAlign w:val="center"/>
          </w:tcPr>
          <w:p w14:paraId="64FC0D76">
            <w:pPr>
              <w:spacing w:line="300" w:lineRule="exact"/>
              <w:jc w:val="center"/>
              <w:rPr>
                <w:rFonts w:ascii="华文宋体" w:hAnsi="华文宋体" w:eastAsia="华文宋体"/>
              </w:rPr>
            </w:pPr>
            <w:r>
              <w:rPr>
                <w:rFonts w:hint="eastAsia" w:ascii="华文宋体" w:hAnsi="华文宋体" w:eastAsia="华文宋体"/>
              </w:rPr>
              <w:t>1077</w:t>
            </w:r>
          </w:p>
        </w:tc>
        <w:tc>
          <w:tcPr>
            <w:tcW w:w="4111" w:type="dxa"/>
            <w:tcBorders>
              <w:top w:val="single" w:color="auto" w:sz="4" w:space="0"/>
              <w:left w:val="nil"/>
              <w:bottom w:val="single" w:color="auto" w:sz="4" w:space="0"/>
              <w:right w:val="single" w:color="auto" w:sz="4" w:space="0"/>
            </w:tcBorders>
            <w:shd w:val="clear" w:color="auto" w:fill="auto"/>
            <w:vAlign w:val="center"/>
          </w:tcPr>
          <w:p w14:paraId="5CBFDFCD">
            <w:pPr>
              <w:spacing w:line="300" w:lineRule="exact"/>
              <w:jc w:val="center"/>
              <w:rPr>
                <w:rFonts w:ascii="华文宋体" w:hAnsi="华文宋体" w:eastAsia="华文宋体"/>
              </w:rPr>
            </w:pPr>
            <w:r>
              <w:rPr>
                <w:rFonts w:hint="eastAsia" w:ascii="华文宋体" w:hAnsi="华文宋体" w:eastAsia="华文宋体"/>
              </w:rPr>
              <w:t>手持式红外线测温仪500个，红外热成像仪1台，正压滤盒5个，正压头套20个，正压送风系统1台，玻璃体温计500支，生物安全运输箱50个。</w:t>
            </w:r>
          </w:p>
        </w:tc>
        <w:tc>
          <w:tcPr>
            <w:tcW w:w="951" w:type="dxa"/>
            <w:tcBorders>
              <w:top w:val="single" w:color="auto" w:sz="4" w:space="0"/>
              <w:left w:val="nil"/>
              <w:bottom w:val="single" w:color="auto" w:sz="4" w:space="0"/>
              <w:right w:val="single" w:color="auto" w:sz="4" w:space="0"/>
            </w:tcBorders>
            <w:shd w:val="clear" w:color="auto" w:fill="auto"/>
            <w:vAlign w:val="center"/>
          </w:tcPr>
          <w:p w14:paraId="3EA5503C">
            <w:pPr>
              <w:spacing w:line="300" w:lineRule="exact"/>
              <w:jc w:val="center"/>
              <w:rPr>
                <w:rFonts w:ascii="华文宋体" w:hAnsi="华文宋体" w:eastAsia="华文宋体"/>
              </w:rPr>
            </w:pPr>
            <w:r>
              <w:rPr>
                <w:rFonts w:hint="eastAsia" w:ascii="华文宋体" w:hAnsi="华文宋体" w:eastAsia="华文宋体"/>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61B4CF22">
            <w:pPr>
              <w:spacing w:line="300" w:lineRule="exact"/>
              <w:jc w:val="center"/>
              <w:rPr>
                <w:rFonts w:ascii="华文宋体" w:hAnsi="华文宋体" w:eastAsia="华文宋体"/>
              </w:rPr>
            </w:pPr>
            <w:r>
              <w:rPr>
                <w:rFonts w:hint="eastAsia" w:ascii="华文宋体" w:hAnsi="华文宋体" w:eastAsia="华文宋体"/>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61B23F51">
            <w:pPr>
              <w:spacing w:line="300" w:lineRule="exact"/>
              <w:jc w:val="center"/>
              <w:rPr>
                <w:rFonts w:ascii="华文宋体" w:hAnsi="华文宋体" w:eastAsia="华文宋体"/>
              </w:rPr>
            </w:pPr>
            <w:r>
              <w:rPr>
                <w:rFonts w:hint="eastAsia" w:ascii="华文宋体" w:hAnsi="华文宋体" w:eastAsia="华文宋体"/>
              </w:rPr>
              <w:t>1</w:t>
            </w:r>
          </w:p>
        </w:tc>
      </w:tr>
      <w:tr w14:paraId="35504B43">
        <w:tblPrEx>
          <w:tblCellMar>
            <w:top w:w="0" w:type="dxa"/>
            <w:left w:w="108" w:type="dxa"/>
            <w:bottom w:w="0" w:type="dxa"/>
            <w:right w:w="108" w:type="dxa"/>
          </w:tblCellMar>
        </w:tblPrEx>
        <w:trPr>
          <w:trHeight w:val="704" w:hRule="atLeast"/>
        </w:trPr>
        <w:tc>
          <w:tcPr>
            <w:tcW w:w="889" w:type="dxa"/>
            <w:vMerge w:val="continue"/>
            <w:tcBorders>
              <w:top w:val="single" w:color="auto" w:sz="4" w:space="0"/>
              <w:left w:val="single" w:color="auto" w:sz="4" w:space="0"/>
              <w:bottom w:val="single" w:color="auto" w:sz="4" w:space="0"/>
              <w:right w:val="single" w:color="auto" w:sz="4" w:space="0"/>
            </w:tcBorders>
            <w:vAlign w:val="center"/>
          </w:tcPr>
          <w:p w14:paraId="63233429">
            <w:pPr>
              <w:spacing w:line="300" w:lineRule="exact"/>
              <w:jc w:val="center"/>
              <w:rPr>
                <w:rFonts w:ascii="华文宋体" w:hAnsi="华文宋体" w:eastAsia="华文宋体"/>
              </w:rPr>
            </w:pPr>
          </w:p>
        </w:tc>
        <w:tc>
          <w:tcPr>
            <w:tcW w:w="771" w:type="dxa"/>
            <w:tcBorders>
              <w:top w:val="single" w:color="auto" w:sz="4" w:space="0"/>
              <w:left w:val="nil"/>
              <w:bottom w:val="single" w:color="auto" w:sz="4" w:space="0"/>
              <w:right w:val="single" w:color="auto" w:sz="4" w:space="0"/>
            </w:tcBorders>
            <w:shd w:val="clear" w:color="auto" w:fill="auto"/>
            <w:vAlign w:val="center"/>
          </w:tcPr>
          <w:p w14:paraId="6E2C56EE">
            <w:pPr>
              <w:spacing w:line="300" w:lineRule="exact"/>
              <w:jc w:val="center"/>
              <w:rPr>
                <w:rFonts w:ascii="华文宋体" w:hAnsi="华文宋体" w:eastAsia="华文宋体"/>
              </w:rPr>
            </w:pPr>
            <w:r>
              <w:rPr>
                <w:rFonts w:hint="eastAsia" w:ascii="华文宋体" w:hAnsi="华文宋体" w:eastAsia="华文宋体"/>
              </w:rPr>
              <w:t xml:space="preserve">检测 试剂      </w:t>
            </w:r>
          </w:p>
        </w:tc>
        <w:tc>
          <w:tcPr>
            <w:tcW w:w="1075" w:type="dxa"/>
            <w:tcBorders>
              <w:top w:val="single" w:color="auto" w:sz="4" w:space="0"/>
              <w:left w:val="nil"/>
              <w:bottom w:val="single" w:color="auto" w:sz="4" w:space="0"/>
              <w:right w:val="single" w:color="auto" w:sz="4" w:space="0"/>
            </w:tcBorders>
            <w:shd w:val="clear" w:color="auto" w:fill="auto"/>
            <w:vAlign w:val="center"/>
          </w:tcPr>
          <w:p w14:paraId="4357F0E2">
            <w:pPr>
              <w:spacing w:line="300" w:lineRule="exact"/>
              <w:jc w:val="center"/>
              <w:rPr>
                <w:rFonts w:ascii="华文宋体" w:hAnsi="华文宋体" w:eastAsia="华文宋体"/>
              </w:rPr>
            </w:pPr>
            <w:r>
              <w:rPr>
                <w:rFonts w:hint="eastAsia" w:ascii="华文宋体" w:hAnsi="华文宋体" w:eastAsia="华文宋体"/>
              </w:rPr>
              <w:t>1000</w:t>
            </w:r>
          </w:p>
        </w:tc>
        <w:tc>
          <w:tcPr>
            <w:tcW w:w="4111" w:type="dxa"/>
            <w:tcBorders>
              <w:top w:val="single" w:color="auto" w:sz="4" w:space="0"/>
              <w:left w:val="nil"/>
              <w:bottom w:val="single" w:color="auto" w:sz="4" w:space="0"/>
              <w:right w:val="single" w:color="auto" w:sz="4" w:space="0"/>
            </w:tcBorders>
            <w:shd w:val="clear" w:color="auto" w:fill="auto"/>
            <w:vAlign w:val="center"/>
          </w:tcPr>
          <w:p w14:paraId="13B65461">
            <w:pPr>
              <w:spacing w:line="300" w:lineRule="exact"/>
              <w:jc w:val="center"/>
              <w:rPr>
                <w:rFonts w:ascii="华文宋体" w:hAnsi="华文宋体" w:eastAsia="华文宋体"/>
              </w:rPr>
            </w:pPr>
            <w:r>
              <w:rPr>
                <w:rFonts w:hint="eastAsia" w:ascii="华文宋体" w:hAnsi="华文宋体" w:eastAsia="华文宋体"/>
              </w:rPr>
              <w:t>一次性病毒采样管（非灭活）500支，混检病毒采样管（非灭活）500支。</w:t>
            </w:r>
          </w:p>
        </w:tc>
        <w:tc>
          <w:tcPr>
            <w:tcW w:w="951" w:type="dxa"/>
            <w:tcBorders>
              <w:top w:val="single" w:color="auto" w:sz="4" w:space="0"/>
              <w:left w:val="nil"/>
              <w:bottom w:val="single" w:color="auto" w:sz="4" w:space="0"/>
              <w:right w:val="single" w:color="auto" w:sz="4" w:space="0"/>
            </w:tcBorders>
            <w:shd w:val="clear" w:color="auto" w:fill="auto"/>
            <w:vAlign w:val="center"/>
          </w:tcPr>
          <w:p w14:paraId="41CFE98E">
            <w:pPr>
              <w:spacing w:line="300" w:lineRule="exact"/>
              <w:jc w:val="center"/>
              <w:rPr>
                <w:rFonts w:ascii="华文宋体" w:hAnsi="华文宋体" w:eastAsia="华文宋体"/>
              </w:rPr>
            </w:pPr>
            <w:r>
              <w:rPr>
                <w:rFonts w:hint="eastAsia" w:ascii="华文宋体" w:hAnsi="华文宋体" w:eastAsia="华文宋体"/>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553AFC44">
            <w:pPr>
              <w:spacing w:line="300" w:lineRule="exact"/>
              <w:jc w:val="center"/>
              <w:rPr>
                <w:rFonts w:ascii="华文宋体" w:hAnsi="华文宋体" w:eastAsia="华文宋体"/>
              </w:rPr>
            </w:pPr>
            <w:r>
              <w:rPr>
                <w:rFonts w:hint="eastAsia" w:ascii="华文宋体" w:hAnsi="华文宋体" w:eastAsia="华文宋体"/>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0A4A2F40">
            <w:pPr>
              <w:spacing w:line="300" w:lineRule="exact"/>
              <w:jc w:val="center"/>
              <w:rPr>
                <w:rFonts w:ascii="华文宋体" w:hAnsi="华文宋体" w:eastAsia="华文宋体"/>
              </w:rPr>
            </w:pPr>
            <w:r>
              <w:rPr>
                <w:rFonts w:hint="eastAsia" w:ascii="华文宋体" w:hAnsi="华文宋体" w:eastAsia="华文宋体"/>
              </w:rPr>
              <w:t>1</w:t>
            </w:r>
          </w:p>
        </w:tc>
      </w:tr>
      <w:tr w14:paraId="2E12EBC4">
        <w:tblPrEx>
          <w:tblCellMar>
            <w:top w:w="0" w:type="dxa"/>
            <w:left w:w="108" w:type="dxa"/>
            <w:bottom w:w="0" w:type="dxa"/>
            <w:right w:w="108" w:type="dxa"/>
          </w:tblCellMar>
        </w:tblPrEx>
        <w:trPr>
          <w:trHeight w:val="557" w:hRule="atLeast"/>
        </w:trPr>
        <w:tc>
          <w:tcPr>
            <w:tcW w:w="8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69BE42">
            <w:pPr>
              <w:spacing w:line="300" w:lineRule="exact"/>
              <w:jc w:val="center"/>
              <w:rPr>
                <w:rFonts w:ascii="华文宋体" w:hAnsi="华文宋体" w:eastAsia="华文宋体"/>
              </w:rPr>
            </w:pPr>
            <w:r>
              <w:rPr>
                <w:rFonts w:hint="eastAsia" w:ascii="华文宋体" w:hAnsi="华文宋体" w:eastAsia="华文宋体"/>
              </w:rPr>
              <w:t>国药控股重庆医疗器械公司</w:t>
            </w:r>
          </w:p>
        </w:tc>
        <w:tc>
          <w:tcPr>
            <w:tcW w:w="771" w:type="dxa"/>
            <w:tcBorders>
              <w:top w:val="single" w:color="auto" w:sz="4" w:space="0"/>
              <w:left w:val="nil"/>
              <w:bottom w:val="single" w:color="auto" w:sz="4" w:space="0"/>
              <w:right w:val="single" w:color="auto" w:sz="4" w:space="0"/>
            </w:tcBorders>
            <w:shd w:val="clear" w:color="auto" w:fill="auto"/>
            <w:vAlign w:val="center"/>
          </w:tcPr>
          <w:p w14:paraId="246036EB">
            <w:pPr>
              <w:spacing w:line="300" w:lineRule="exact"/>
              <w:jc w:val="center"/>
              <w:rPr>
                <w:rFonts w:ascii="华文宋体" w:hAnsi="华文宋体" w:eastAsia="华文宋体"/>
              </w:rPr>
            </w:pPr>
            <w:r>
              <w:rPr>
                <w:rFonts w:hint="eastAsia" w:ascii="华文宋体" w:hAnsi="华文宋体" w:eastAsia="华文宋体"/>
              </w:rPr>
              <w:t>防护 器械</w:t>
            </w:r>
          </w:p>
        </w:tc>
        <w:tc>
          <w:tcPr>
            <w:tcW w:w="1075" w:type="dxa"/>
            <w:tcBorders>
              <w:top w:val="single" w:color="auto" w:sz="4" w:space="0"/>
              <w:left w:val="nil"/>
              <w:bottom w:val="single" w:color="auto" w:sz="4" w:space="0"/>
              <w:right w:val="single" w:color="auto" w:sz="4" w:space="0"/>
            </w:tcBorders>
            <w:shd w:val="clear" w:color="auto" w:fill="auto"/>
            <w:vAlign w:val="center"/>
          </w:tcPr>
          <w:p w14:paraId="18F6F4C5">
            <w:pPr>
              <w:spacing w:line="300" w:lineRule="exact"/>
              <w:jc w:val="center"/>
              <w:rPr>
                <w:rFonts w:ascii="华文宋体" w:hAnsi="华文宋体" w:eastAsia="华文宋体"/>
              </w:rPr>
            </w:pPr>
            <w:r>
              <w:rPr>
                <w:rFonts w:hint="eastAsia" w:ascii="华文宋体" w:hAnsi="华文宋体" w:eastAsia="华文宋体"/>
              </w:rPr>
              <w:t>5</w:t>
            </w:r>
          </w:p>
        </w:tc>
        <w:tc>
          <w:tcPr>
            <w:tcW w:w="4111" w:type="dxa"/>
            <w:tcBorders>
              <w:top w:val="single" w:color="auto" w:sz="4" w:space="0"/>
              <w:left w:val="nil"/>
              <w:bottom w:val="single" w:color="auto" w:sz="4" w:space="0"/>
              <w:right w:val="single" w:color="auto" w:sz="4" w:space="0"/>
            </w:tcBorders>
            <w:shd w:val="clear" w:color="auto" w:fill="auto"/>
            <w:vAlign w:val="center"/>
          </w:tcPr>
          <w:p w14:paraId="0559CA9F">
            <w:pPr>
              <w:spacing w:line="300" w:lineRule="exact"/>
              <w:jc w:val="center"/>
              <w:rPr>
                <w:rFonts w:ascii="华文宋体" w:hAnsi="华文宋体" w:eastAsia="华文宋体"/>
              </w:rPr>
            </w:pPr>
            <w:r>
              <w:rPr>
                <w:rFonts w:hint="eastAsia" w:ascii="华文宋体" w:hAnsi="华文宋体" w:eastAsia="华文宋体"/>
              </w:rPr>
              <w:t>红外热像仪5台。</w:t>
            </w:r>
          </w:p>
        </w:tc>
        <w:tc>
          <w:tcPr>
            <w:tcW w:w="951" w:type="dxa"/>
            <w:tcBorders>
              <w:top w:val="single" w:color="auto" w:sz="4" w:space="0"/>
              <w:left w:val="nil"/>
              <w:bottom w:val="single" w:color="auto" w:sz="4" w:space="0"/>
              <w:right w:val="single" w:color="auto" w:sz="4" w:space="0"/>
            </w:tcBorders>
            <w:shd w:val="clear" w:color="auto" w:fill="auto"/>
            <w:vAlign w:val="center"/>
          </w:tcPr>
          <w:p w14:paraId="4825689D">
            <w:pPr>
              <w:spacing w:line="300" w:lineRule="exact"/>
              <w:jc w:val="center"/>
              <w:rPr>
                <w:rFonts w:ascii="华文宋体" w:hAnsi="华文宋体" w:eastAsia="华文宋体"/>
              </w:rPr>
            </w:pPr>
            <w:r>
              <w:rPr>
                <w:rFonts w:hint="eastAsia" w:ascii="华文宋体" w:hAnsi="华文宋体" w:eastAsia="华文宋体"/>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44220461">
            <w:pPr>
              <w:spacing w:line="300" w:lineRule="exact"/>
              <w:jc w:val="center"/>
              <w:rPr>
                <w:rFonts w:ascii="华文宋体" w:hAnsi="华文宋体" w:eastAsia="华文宋体"/>
              </w:rPr>
            </w:pPr>
            <w:r>
              <w:rPr>
                <w:rFonts w:hint="eastAsia" w:ascii="华文宋体" w:hAnsi="华文宋体" w:eastAsia="华文宋体"/>
              </w:rPr>
              <w:t>0.5</w:t>
            </w:r>
          </w:p>
        </w:tc>
        <w:tc>
          <w:tcPr>
            <w:tcW w:w="709" w:type="dxa"/>
            <w:tcBorders>
              <w:top w:val="single" w:color="auto" w:sz="4" w:space="0"/>
              <w:left w:val="nil"/>
              <w:bottom w:val="single" w:color="auto" w:sz="4" w:space="0"/>
              <w:right w:val="single" w:color="auto" w:sz="4" w:space="0"/>
            </w:tcBorders>
            <w:shd w:val="clear" w:color="auto" w:fill="auto"/>
            <w:vAlign w:val="center"/>
          </w:tcPr>
          <w:p w14:paraId="71367DE3">
            <w:pPr>
              <w:spacing w:line="300" w:lineRule="exact"/>
              <w:jc w:val="center"/>
              <w:rPr>
                <w:rFonts w:ascii="华文宋体" w:hAnsi="华文宋体" w:eastAsia="华文宋体"/>
              </w:rPr>
            </w:pPr>
            <w:r>
              <w:rPr>
                <w:rFonts w:hint="eastAsia" w:ascii="华文宋体" w:hAnsi="华文宋体" w:eastAsia="华文宋体"/>
              </w:rPr>
              <w:t>0.5</w:t>
            </w:r>
          </w:p>
        </w:tc>
      </w:tr>
      <w:tr w14:paraId="2475F79A">
        <w:tblPrEx>
          <w:tblCellMar>
            <w:top w:w="0" w:type="dxa"/>
            <w:left w:w="108" w:type="dxa"/>
            <w:bottom w:w="0" w:type="dxa"/>
            <w:right w:w="108" w:type="dxa"/>
          </w:tblCellMar>
        </w:tblPrEx>
        <w:trPr>
          <w:trHeight w:val="582" w:hRule="atLeast"/>
        </w:trPr>
        <w:tc>
          <w:tcPr>
            <w:tcW w:w="889" w:type="dxa"/>
            <w:vMerge w:val="continue"/>
            <w:tcBorders>
              <w:top w:val="single" w:color="auto" w:sz="4" w:space="0"/>
              <w:left w:val="single" w:color="auto" w:sz="4" w:space="0"/>
              <w:bottom w:val="single" w:color="auto" w:sz="4" w:space="0"/>
              <w:right w:val="single" w:color="auto" w:sz="4" w:space="0"/>
            </w:tcBorders>
            <w:vAlign w:val="center"/>
          </w:tcPr>
          <w:p w14:paraId="2463CBCE">
            <w:pPr>
              <w:spacing w:line="300" w:lineRule="exact"/>
              <w:jc w:val="center"/>
              <w:rPr>
                <w:rFonts w:ascii="华文宋体" w:hAnsi="华文宋体" w:eastAsia="华文宋体"/>
              </w:rPr>
            </w:pPr>
          </w:p>
        </w:tc>
        <w:tc>
          <w:tcPr>
            <w:tcW w:w="771" w:type="dxa"/>
            <w:tcBorders>
              <w:top w:val="single" w:color="auto" w:sz="4" w:space="0"/>
              <w:left w:val="nil"/>
              <w:bottom w:val="single" w:color="auto" w:sz="4" w:space="0"/>
              <w:right w:val="single" w:color="auto" w:sz="4" w:space="0"/>
            </w:tcBorders>
            <w:shd w:val="clear" w:color="auto" w:fill="auto"/>
            <w:vAlign w:val="center"/>
          </w:tcPr>
          <w:p w14:paraId="2E68C337">
            <w:pPr>
              <w:spacing w:line="300" w:lineRule="exact"/>
              <w:jc w:val="center"/>
              <w:rPr>
                <w:rFonts w:ascii="华文宋体" w:hAnsi="华文宋体" w:eastAsia="华文宋体"/>
              </w:rPr>
            </w:pPr>
            <w:r>
              <w:rPr>
                <w:rFonts w:hint="eastAsia" w:ascii="华文宋体" w:hAnsi="华文宋体" w:eastAsia="华文宋体"/>
              </w:rPr>
              <w:t>防护 物资</w:t>
            </w:r>
          </w:p>
        </w:tc>
        <w:tc>
          <w:tcPr>
            <w:tcW w:w="1075" w:type="dxa"/>
            <w:tcBorders>
              <w:top w:val="single" w:color="auto" w:sz="4" w:space="0"/>
              <w:left w:val="nil"/>
              <w:bottom w:val="single" w:color="auto" w:sz="4" w:space="0"/>
              <w:right w:val="single" w:color="auto" w:sz="4" w:space="0"/>
            </w:tcBorders>
            <w:shd w:val="clear" w:color="auto" w:fill="auto"/>
            <w:vAlign w:val="center"/>
          </w:tcPr>
          <w:p w14:paraId="4394117B">
            <w:pPr>
              <w:spacing w:line="300" w:lineRule="exact"/>
              <w:jc w:val="center"/>
              <w:rPr>
                <w:rFonts w:ascii="华文宋体" w:hAnsi="华文宋体" w:eastAsia="华文宋体"/>
                <w:color w:val="000000"/>
              </w:rPr>
            </w:pPr>
            <w:r>
              <w:rPr>
                <w:rFonts w:hint="eastAsia" w:ascii="华文宋体" w:hAnsi="华文宋体" w:eastAsia="华文宋体"/>
                <w:color w:val="000000"/>
              </w:rPr>
              <w:t>7785</w:t>
            </w:r>
          </w:p>
        </w:tc>
        <w:tc>
          <w:tcPr>
            <w:tcW w:w="4111" w:type="dxa"/>
            <w:tcBorders>
              <w:top w:val="single" w:color="auto" w:sz="4" w:space="0"/>
              <w:left w:val="nil"/>
              <w:bottom w:val="single" w:color="auto" w:sz="4" w:space="0"/>
              <w:right w:val="single" w:color="auto" w:sz="4" w:space="0"/>
            </w:tcBorders>
            <w:shd w:val="clear" w:color="auto" w:fill="auto"/>
            <w:vAlign w:val="center"/>
          </w:tcPr>
          <w:p w14:paraId="4ED15375">
            <w:pPr>
              <w:spacing w:line="300" w:lineRule="exact"/>
              <w:jc w:val="center"/>
              <w:rPr>
                <w:rFonts w:ascii="华文宋体" w:hAnsi="华文宋体" w:eastAsia="华文宋体"/>
              </w:rPr>
            </w:pPr>
            <w:r>
              <w:rPr>
                <w:rFonts w:hint="eastAsia" w:ascii="华文宋体" w:hAnsi="华文宋体" w:eastAsia="华文宋体"/>
              </w:rPr>
              <w:t>全面罩50个，医用隔离面罩7735个。</w:t>
            </w:r>
          </w:p>
        </w:tc>
        <w:tc>
          <w:tcPr>
            <w:tcW w:w="951" w:type="dxa"/>
            <w:tcBorders>
              <w:top w:val="single" w:color="auto" w:sz="4" w:space="0"/>
              <w:left w:val="nil"/>
              <w:bottom w:val="single" w:color="auto" w:sz="4" w:space="0"/>
              <w:right w:val="single" w:color="auto" w:sz="4" w:space="0"/>
            </w:tcBorders>
            <w:shd w:val="clear" w:color="auto" w:fill="auto"/>
            <w:vAlign w:val="center"/>
          </w:tcPr>
          <w:p w14:paraId="2D03B5B7">
            <w:pPr>
              <w:spacing w:line="300" w:lineRule="exact"/>
              <w:jc w:val="center"/>
              <w:rPr>
                <w:rFonts w:ascii="华文宋体" w:hAnsi="华文宋体" w:eastAsia="华文宋体"/>
              </w:rPr>
            </w:pPr>
            <w:r>
              <w:rPr>
                <w:rFonts w:hint="eastAsia" w:ascii="华文宋体" w:hAnsi="华文宋体" w:eastAsia="华文宋体"/>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61E6D122">
            <w:pPr>
              <w:spacing w:line="300" w:lineRule="exact"/>
              <w:jc w:val="center"/>
              <w:rPr>
                <w:rFonts w:ascii="华文宋体" w:hAnsi="华文宋体" w:eastAsia="华文宋体"/>
              </w:rPr>
            </w:pPr>
            <w:r>
              <w:rPr>
                <w:rFonts w:hint="eastAsia" w:ascii="华文宋体" w:hAnsi="华文宋体" w:eastAsia="华文宋体"/>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7C04A2D4">
            <w:pPr>
              <w:spacing w:line="300" w:lineRule="exact"/>
              <w:jc w:val="center"/>
              <w:rPr>
                <w:rFonts w:ascii="华文宋体" w:hAnsi="华文宋体" w:eastAsia="华文宋体"/>
              </w:rPr>
            </w:pPr>
            <w:r>
              <w:rPr>
                <w:rFonts w:hint="eastAsia" w:ascii="华文宋体" w:hAnsi="华文宋体" w:eastAsia="华文宋体"/>
              </w:rPr>
              <w:t>1</w:t>
            </w:r>
          </w:p>
        </w:tc>
      </w:tr>
      <w:tr w14:paraId="16D46F53">
        <w:tblPrEx>
          <w:tblCellMar>
            <w:top w:w="0" w:type="dxa"/>
            <w:left w:w="108" w:type="dxa"/>
            <w:bottom w:w="0" w:type="dxa"/>
            <w:right w:w="108" w:type="dxa"/>
          </w:tblCellMar>
        </w:tblPrEx>
        <w:trPr>
          <w:trHeight w:val="521" w:hRule="atLeast"/>
        </w:trPr>
        <w:tc>
          <w:tcPr>
            <w:tcW w:w="889" w:type="dxa"/>
            <w:vMerge w:val="continue"/>
            <w:tcBorders>
              <w:top w:val="single" w:color="auto" w:sz="4" w:space="0"/>
              <w:left w:val="single" w:color="auto" w:sz="4" w:space="0"/>
              <w:bottom w:val="single" w:color="auto" w:sz="4" w:space="0"/>
              <w:right w:val="single" w:color="auto" w:sz="4" w:space="0"/>
            </w:tcBorders>
            <w:vAlign w:val="center"/>
          </w:tcPr>
          <w:p w14:paraId="1FB11F6E">
            <w:pPr>
              <w:spacing w:line="300" w:lineRule="exact"/>
              <w:jc w:val="center"/>
              <w:rPr>
                <w:rFonts w:ascii="华文宋体" w:hAnsi="华文宋体" w:eastAsia="华文宋体"/>
              </w:rPr>
            </w:pPr>
          </w:p>
        </w:tc>
        <w:tc>
          <w:tcPr>
            <w:tcW w:w="771" w:type="dxa"/>
            <w:tcBorders>
              <w:top w:val="single" w:color="auto" w:sz="4" w:space="0"/>
              <w:left w:val="nil"/>
              <w:bottom w:val="single" w:color="auto" w:sz="4" w:space="0"/>
              <w:right w:val="single" w:color="auto" w:sz="4" w:space="0"/>
            </w:tcBorders>
            <w:shd w:val="clear" w:color="auto" w:fill="auto"/>
            <w:vAlign w:val="center"/>
          </w:tcPr>
          <w:p w14:paraId="31362485">
            <w:pPr>
              <w:spacing w:line="300" w:lineRule="exact"/>
              <w:jc w:val="center"/>
              <w:rPr>
                <w:rFonts w:ascii="华文宋体" w:hAnsi="华文宋体" w:eastAsia="华文宋体"/>
              </w:rPr>
            </w:pPr>
            <w:r>
              <w:rPr>
                <w:rFonts w:hint="eastAsia" w:ascii="华文宋体" w:hAnsi="华文宋体" w:eastAsia="华文宋体"/>
              </w:rPr>
              <w:t>消杀 用品</w:t>
            </w:r>
          </w:p>
        </w:tc>
        <w:tc>
          <w:tcPr>
            <w:tcW w:w="1075" w:type="dxa"/>
            <w:tcBorders>
              <w:top w:val="single" w:color="auto" w:sz="4" w:space="0"/>
              <w:left w:val="nil"/>
              <w:bottom w:val="single" w:color="auto" w:sz="4" w:space="0"/>
              <w:right w:val="single" w:color="auto" w:sz="4" w:space="0"/>
            </w:tcBorders>
            <w:shd w:val="clear" w:color="auto" w:fill="auto"/>
            <w:vAlign w:val="center"/>
          </w:tcPr>
          <w:p w14:paraId="59E89C80">
            <w:pPr>
              <w:spacing w:line="300" w:lineRule="exact"/>
              <w:jc w:val="center"/>
              <w:rPr>
                <w:rFonts w:ascii="华文宋体" w:hAnsi="华文宋体" w:eastAsia="华文宋体"/>
                <w:color w:val="000000"/>
              </w:rPr>
            </w:pPr>
            <w:r>
              <w:rPr>
                <w:rFonts w:hint="eastAsia" w:ascii="华文宋体" w:hAnsi="华文宋体" w:eastAsia="华文宋体"/>
                <w:color w:val="000000"/>
              </w:rPr>
              <w:t>794</w:t>
            </w:r>
          </w:p>
        </w:tc>
        <w:tc>
          <w:tcPr>
            <w:tcW w:w="4111" w:type="dxa"/>
            <w:tcBorders>
              <w:top w:val="single" w:color="auto" w:sz="4" w:space="0"/>
              <w:left w:val="nil"/>
              <w:bottom w:val="single" w:color="auto" w:sz="4" w:space="0"/>
              <w:right w:val="single" w:color="auto" w:sz="4" w:space="0"/>
            </w:tcBorders>
            <w:shd w:val="clear" w:color="auto" w:fill="auto"/>
            <w:vAlign w:val="center"/>
          </w:tcPr>
          <w:p w14:paraId="07F6115A">
            <w:pPr>
              <w:spacing w:line="300" w:lineRule="exact"/>
              <w:jc w:val="center"/>
              <w:rPr>
                <w:rFonts w:ascii="华文宋体" w:hAnsi="华文宋体" w:eastAsia="华文宋体"/>
              </w:rPr>
            </w:pPr>
            <w:r>
              <w:rPr>
                <w:rFonts w:hint="eastAsia" w:ascii="华文宋体" w:hAnsi="华文宋体" w:eastAsia="华文宋体"/>
              </w:rPr>
              <w:t>95%消毒酒精（500ml）794瓶。</w:t>
            </w:r>
          </w:p>
        </w:tc>
        <w:tc>
          <w:tcPr>
            <w:tcW w:w="951" w:type="dxa"/>
            <w:tcBorders>
              <w:top w:val="single" w:color="auto" w:sz="4" w:space="0"/>
              <w:left w:val="nil"/>
              <w:bottom w:val="single" w:color="auto" w:sz="4" w:space="0"/>
              <w:right w:val="single" w:color="auto" w:sz="4" w:space="0"/>
            </w:tcBorders>
            <w:shd w:val="clear" w:color="auto" w:fill="auto"/>
            <w:vAlign w:val="center"/>
          </w:tcPr>
          <w:p w14:paraId="6AAC481E">
            <w:pPr>
              <w:spacing w:line="300" w:lineRule="exact"/>
              <w:jc w:val="center"/>
              <w:rPr>
                <w:rFonts w:ascii="华文宋体" w:hAnsi="华文宋体" w:eastAsia="华文宋体"/>
              </w:rPr>
            </w:pPr>
            <w:r>
              <w:rPr>
                <w:rFonts w:hint="eastAsia" w:ascii="华文宋体" w:hAnsi="华文宋体" w:eastAsia="华文宋体"/>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2D9B45B5">
            <w:pPr>
              <w:spacing w:line="300" w:lineRule="exact"/>
              <w:jc w:val="center"/>
              <w:rPr>
                <w:rFonts w:ascii="华文宋体" w:hAnsi="华文宋体" w:eastAsia="华文宋体"/>
              </w:rPr>
            </w:pPr>
            <w:r>
              <w:rPr>
                <w:rFonts w:hint="eastAsia" w:ascii="华文宋体" w:hAnsi="华文宋体" w:eastAsia="华文宋体"/>
              </w:rPr>
              <w:t>0.5</w:t>
            </w:r>
          </w:p>
        </w:tc>
        <w:tc>
          <w:tcPr>
            <w:tcW w:w="709" w:type="dxa"/>
            <w:tcBorders>
              <w:top w:val="single" w:color="auto" w:sz="4" w:space="0"/>
              <w:left w:val="nil"/>
              <w:bottom w:val="single" w:color="auto" w:sz="4" w:space="0"/>
              <w:right w:val="single" w:color="auto" w:sz="4" w:space="0"/>
            </w:tcBorders>
            <w:shd w:val="clear" w:color="auto" w:fill="auto"/>
            <w:vAlign w:val="center"/>
          </w:tcPr>
          <w:p w14:paraId="42B50BE9">
            <w:pPr>
              <w:spacing w:line="300" w:lineRule="exact"/>
              <w:jc w:val="center"/>
              <w:rPr>
                <w:rFonts w:ascii="华文宋体" w:hAnsi="华文宋体" w:eastAsia="华文宋体"/>
              </w:rPr>
            </w:pPr>
            <w:r>
              <w:rPr>
                <w:rFonts w:hint="eastAsia" w:ascii="华文宋体" w:hAnsi="华文宋体" w:eastAsia="华文宋体"/>
              </w:rPr>
              <w:t>0.5</w:t>
            </w:r>
          </w:p>
        </w:tc>
      </w:tr>
      <w:tr w14:paraId="5A5A5449">
        <w:tblPrEx>
          <w:tblCellMar>
            <w:top w:w="0" w:type="dxa"/>
            <w:left w:w="108" w:type="dxa"/>
            <w:bottom w:w="0" w:type="dxa"/>
            <w:right w:w="108" w:type="dxa"/>
          </w:tblCellMar>
        </w:tblPrEx>
        <w:trPr>
          <w:trHeight w:val="971" w:hRule="atLeast"/>
        </w:trPr>
        <w:tc>
          <w:tcPr>
            <w:tcW w:w="8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6E4613">
            <w:pPr>
              <w:spacing w:line="300" w:lineRule="exact"/>
              <w:jc w:val="center"/>
              <w:rPr>
                <w:rFonts w:ascii="华文宋体" w:hAnsi="华文宋体" w:eastAsia="华文宋体"/>
              </w:rPr>
            </w:pPr>
            <w:r>
              <w:rPr>
                <w:rFonts w:hint="eastAsia" w:ascii="华文宋体" w:hAnsi="华文宋体" w:eastAsia="华文宋体"/>
              </w:rPr>
              <w:t>国药控制重庆泰民医药有限公司</w:t>
            </w:r>
          </w:p>
        </w:tc>
        <w:tc>
          <w:tcPr>
            <w:tcW w:w="771" w:type="dxa"/>
            <w:tcBorders>
              <w:top w:val="single" w:color="auto" w:sz="4" w:space="0"/>
              <w:left w:val="nil"/>
              <w:bottom w:val="single" w:color="auto" w:sz="4" w:space="0"/>
              <w:right w:val="single" w:color="auto" w:sz="4" w:space="0"/>
            </w:tcBorders>
            <w:shd w:val="clear" w:color="auto" w:fill="auto"/>
            <w:vAlign w:val="center"/>
          </w:tcPr>
          <w:p w14:paraId="3176A356">
            <w:pPr>
              <w:spacing w:line="300" w:lineRule="exact"/>
              <w:jc w:val="center"/>
              <w:rPr>
                <w:rFonts w:ascii="华文宋体" w:hAnsi="华文宋体" w:eastAsia="华文宋体"/>
              </w:rPr>
            </w:pPr>
            <w:r>
              <w:rPr>
                <w:rFonts w:hint="eastAsia" w:ascii="华文宋体" w:hAnsi="华文宋体" w:eastAsia="华文宋体"/>
              </w:rPr>
              <w:t>防护 物资</w:t>
            </w:r>
          </w:p>
        </w:tc>
        <w:tc>
          <w:tcPr>
            <w:tcW w:w="1075" w:type="dxa"/>
            <w:tcBorders>
              <w:top w:val="single" w:color="auto" w:sz="4" w:space="0"/>
              <w:left w:val="nil"/>
              <w:bottom w:val="single" w:color="auto" w:sz="4" w:space="0"/>
              <w:right w:val="single" w:color="auto" w:sz="4" w:space="0"/>
            </w:tcBorders>
            <w:shd w:val="clear" w:color="auto" w:fill="auto"/>
            <w:vAlign w:val="center"/>
          </w:tcPr>
          <w:p w14:paraId="20D3FA6D">
            <w:pPr>
              <w:spacing w:line="300" w:lineRule="exact"/>
              <w:jc w:val="center"/>
              <w:rPr>
                <w:rFonts w:ascii="华文宋体" w:hAnsi="华文宋体" w:eastAsia="华文宋体"/>
              </w:rPr>
            </w:pPr>
            <w:r>
              <w:rPr>
                <w:rFonts w:hint="eastAsia" w:ascii="华文宋体" w:hAnsi="华文宋体" w:eastAsia="华文宋体"/>
              </w:rPr>
              <w:t>52336</w:t>
            </w:r>
          </w:p>
        </w:tc>
        <w:tc>
          <w:tcPr>
            <w:tcW w:w="4111" w:type="dxa"/>
            <w:tcBorders>
              <w:top w:val="single" w:color="auto" w:sz="4" w:space="0"/>
              <w:left w:val="nil"/>
              <w:bottom w:val="single" w:color="auto" w:sz="4" w:space="0"/>
              <w:right w:val="single" w:color="auto" w:sz="4" w:space="0"/>
            </w:tcBorders>
            <w:shd w:val="clear" w:color="auto" w:fill="auto"/>
            <w:vAlign w:val="center"/>
          </w:tcPr>
          <w:p w14:paraId="4C017A0C">
            <w:pPr>
              <w:spacing w:line="300" w:lineRule="exact"/>
              <w:jc w:val="center"/>
              <w:rPr>
                <w:rFonts w:ascii="华文宋体" w:hAnsi="华文宋体" w:eastAsia="华文宋体"/>
              </w:rPr>
            </w:pPr>
            <w:r>
              <w:rPr>
                <w:rFonts w:hint="eastAsia" w:ascii="华文宋体" w:hAnsi="华文宋体" w:eastAsia="华文宋体"/>
              </w:rPr>
              <w:t>紧急物资医用防护服9999件，一次性医用隔离衣18216件，手术衣390件，I'am防疫口罩10000个，石墨烯防护口罩995个，耐化学品德工业用模压塑料靴3双，医用护目镜12733个。</w:t>
            </w:r>
          </w:p>
        </w:tc>
        <w:tc>
          <w:tcPr>
            <w:tcW w:w="951" w:type="dxa"/>
            <w:tcBorders>
              <w:top w:val="single" w:color="auto" w:sz="4" w:space="0"/>
              <w:left w:val="nil"/>
              <w:bottom w:val="single" w:color="auto" w:sz="4" w:space="0"/>
              <w:right w:val="single" w:color="auto" w:sz="4" w:space="0"/>
            </w:tcBorders>
            <w:shd w:val="clear" w:color="auto" w:fill="auto"/>
            <w:vAlign w:val="center"/>
          </w:tcPr>
          <w:p w14:paraId="7E605FA1">
            <w:pPr>
              <w:spacing w:line="300" w:lineRule="exact"/>
              <w:jc w:val="center"/>
              <w:rPr>
                <w:rFonts w:ascii="华文宋体" w:hAnsi="华文宋体" w:eastAsia="华文宋体"/>
              </w:rPr>
            </w:pPr>
            <w:r>
              <w:rPr>
                <w:rFonts w:hint="eastAsia" w:ascii="华文宋体" w:hAnsi="华文宋体" w:eastAsia="华文宋体"/>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37C3AC31">
            <w:pPr>
              <w:spacing w:line="300" w:lineRule="exact"/>
              <w:jc w:val="center"/>
              <w:rPr>
                <w:rFonts w:ascii="华文宋体" w:hAnsi="华文宋体" w:eastAsia="华文宋体"/>
              </w:rPr>
            </w:pPr>
            <w:r>
              <w:rPr>
                <w:rFonts w:hint="eastAsia" w:ascii="华文宋体" w:hAnsi="华文宋体" w:eastAsia="华文宋体"/>
              </w:rPr>
              <w:t>2</w:t>
            </w:r>
          </w:p>
        </w:tc>
        <w:tc>
          <w:tcPr>
            <w:tcW w:w="709" w:type="dxa"/>
            <w:tcBorders>
              <w:top w:val="single" w:color="auto" w:sz="4" w:space="0"/>
              <w:left w:val="nil"/>
              <w:bottom w:val="single" w:color="auto" w:sz="4" w:space="0"/>
              <w:right w:val="single" w:color="auto" w:sz="4" w:space="0"/>
            </w:tcBorders>
            <w:shd w:val="clear" w:color="auto" w:fill="auto"/>
            <w:vAlign w:val="center"/>
          </w:tcPr>
          <w:p w14:paraId="48BC6EAB">
            <w:pPr>
              <w:spacing w:line="300" w:lineRule="exact"/>
              <w:jc w:val="center"/>
              <w:rPr>
                <w:rFonts w:ascii="华文宋体" w:hAnsi="华文宋体" w:eastAsia="华文宋体"/>
              </w:rPr>
            </w:pPr>
            <w:r>
              <w:rPr>
                <w:rFonts w:hint="eastAsia" w:ascii="华文宋体" w:hAnsi="华文宋体" w:eastAsia="华文宋体"/>
              </w:rPr>
              <w:t>2</w:t>
            </w:r>
          </w:p>
        </w:tc>
      </w:tr>
      <w:tr w14:paraId="5EC190E4">
        <w:tblPrEx>
          <w:tblCellMar>
            <w:top w:w="0" w:type="dxa"/>
            <w:left w:w="108" w:type="dxa"/>
            <w:bottom w:w="0" w:type="dxa"/>
            <w:right w:w="108" w:type="dxa"/>
          </w:tblCellMar>
        </w:tblPrEx>
        <w:trPr>
          <w:trHeight w:val="800" w:hRule="atLeast"/>
        </w:trPr>
        <w:tc>
          <w:tcPr>
            <w:tcW w:w="889" w:type="dxa"/>
            <w:vMerge w:val="continue"/>
            <w:tcBorders>
              <w:top w:val="single" w:color="auto" w:sz="4" w:space="0"/>
              <w:left w:val="single" w:color="auto" w:sz="4" w:space="0"/>
              <w:bottom w:val="single" w:color="auto" w:sz="4" w:space="0"/>
              <w:right w:val="single" w:color="auto" w:sz="4" w:space="0"/>
            </w:tcBorders>
            <w:vAlign w:val="center"/>
          </w:tcPr>
          <w:p w14:paraId="23450995">
            <w:pPr>
              <w:spacing w:line="300" w:lineRule="exact"/>
              <w:jc w:val="center"/>
              <w:rPr>
                <w:rFonts w:ascii="华文宋体" w:hAnsi="华文宋体" w:eastAsia="华文宋体"/>
              </w:rPr>
            </w:pPr>
          </w:p>
        </w:tc>
        <w:tc>
          <w:tcPr>
            <w:tcW w:w="771" w:type="dxa"/>
            <w:tcBorders>
              <w:top w:val="single" w:color="auto" w:sz="4" w:space="0"/>
              <w:left w:val="nil"/>
              <w:bottom w:val="single" w:color="auto" w:sz="4" w:space="0"/>
              <w:right w:val="single" w:color="auto" w:sz="4" w:space="0"/>
            </w:tcBorders>
            <w:shd w:val="clear" w:color="auto" w:fill="auto"/>
            <w:vAlign w:val="center"/>
          </w:tcPr>
          <w:p w14:paraId="37C779BD">
            <w:pPr>
              <w:spacing w:line="300" w:lineRule="exact"/>
              <w:jc w:val="center"/>
              <w:rPr>
                <w:rFonts w:ascii="华文宋体" w:hAnsi="华文宋体" w:eastAsia="华文宋体"/>
              </w:rPr>
            </w:pPr>
            <w:r>
              <w:rPr>
                <w:rFonts w:hint="eastAsia" w:ascii="华文宋体" w:hAnsi="华文宋体" w:eastAsia="华文宋体"/>
              </w:rPr>
              <w:t>防护</w:t>
            </w:r>
          </w:p>
          <w:p w14:paraId="490CCD7B">
            <w:pPr>
              <w:spacing w:line="300" w:lineRule="exact"/>
              <w:jc w:val="center"/>
              <w:rPr>
                <w:rFonts w:ascii="华文宋体" w:hAnsi="华文宋体" w:eastAsia="华文宋体"/>
              </w:rPr>
            </w:pPr>
            <w:r>
              <w:rPr>
                <w:rFonts w:hint="eastAsia" w:ascii="华文宋体" w:hAnsi="华文宋体" w:eastAsia="华文宋体"/>
              </w:rPr>
              <w:t>器械</w:t>
            </w:r>
          </w:p>
        </w:tc>
        <w:tc>
          <w:tcPr>
            <w:tcW w:w="1075" w:type="dxa"/>
            <w:tcBorders>
              <w:top w:val="single" w:color="auto" w:sz="4" w:space="0"/>
              <w:left w:val="nil"/>
              <w:bottom w:val="single" w:color="auto" w:sz="4" w:space="0"/>
              <w:right w:val="single" w:color="auto" w:sz="4" w:space="0"/>
            </w:tcBorders>
            <w:shd w:val="clear" w:color="auto" w:fill="auto"/>
            <w:vAlign w:val="center"/>
          </w:tcPr>
          <w:p w14:paraId="1AA705DB">
            <w:pPr>
              <w:spacing w:line="300" w:lineRule="exact"/>
              <w:jc w:val="center"/>
              <w:rPr>
                <w:rFonts w:ascii="华文宋体" w:hAnsi="华文宋体" w:eastAsia="华文宋体"/>
              </w:rPr>
            </w:pPr>
            <w:r>
              <w:rPr>
                <w:rFonts w:hint="eastAsia" w:ascii="华文宋体" w:hAnsi="华文宋体" w:eastAsia="华文宋体"/>
              </w:rPr>
              <w:t>347</w:t>
            </w:r>
          </w:p>
        </w:tc>
        <w:tc>
          <w:tcPr>
            <w:tcW w:w="4111" w:type="dxa"/>
            <w:tcBorders>
              <w:top w:val="single" w:color="auto" w:sz="4" w:space="0"/>
              <w:left w:val="nil"/>
              <w:bottom w:val="single" w:color="auto" w:sz="4" w:space="0"/>
              <w:right w:val="single" w:color="auto" w:sz="4" w:space="0"/>
            </w:tcBorders>
            <w:shd w:val="clear" w:color="auto" w:fill="auto"/>
            <w:vAlign w:val="center"/>
          </w:tcPr>
          <w:p w14:paraId="3D0B29E7">
            <w:pPr>
              <w:spacing w:line="300" w:lineRule="exact"/>
              <w:jc w:val="center"/>
              <w:rPr>
                <w:rFonts w:ascii="华文宋体" w:hAnsi="华文宋体" w:eastAsia="华文宋体"/>
              </w:rPr>
            </w:pPr>
            <w:r>
              <w:rPr>
                <w:rFonts w:hint="eastAsia" w:ascii="华文宋体" w:hAnsi="华文宋体" w:eastAsia="华文宋体"/>
              </w:rPr>
              <w:t>背负式蓄电池超低容量喷雾机3台，丸山喷雾器341台，红外热成像体温快速筛检仪3台。</w:t>
            </w:r>
          </w:p>
        </w:tc>
        <w:tc>
          <w:tcPr>
            <w:tcW w:w="951" w:type="dxa"/>
            <w:tcBorders>
              <w:top w:val="single" w:color="auto" w:sz="4" w:space="0"/>
              <w:left w:val="nil"/>
              <w:bottom w:val="single" w:color="auto" w:sz="4" w:space="0"/>
              <w:right w:val="single" w:color="auto" w:sz="4" w:space="0"/>
            </w:tcBorders>
            <w:shd w:val="clear" w:color="auto" w:fill="auto"/>
            <w:vAlign w:val="center"/>
          </w:tcPr>
          <w:p w14:paraId="7EA4FA50">
            <w:pPr>
              <w:spacing w:line="300" w:lineRule="exact"/>
              <w:jc w:val="center"/>
              <w:rPr>
                <w:rFonts w:ascii="华文宋体" w:hAnsi="华文宋体" w:eastAsia="华文宋体"/>
              </w:rPr>
            </w:pPr>
            <w:r>
              <w:rPr>
                <w:rFonts w:hint="eastAsia" w:ascii="华文宋体" w:hAnsi="华文宋体" w:eastAsia="华文宋体"/>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32069AAF">
            <w:pPr>
              <w:spacing w:line="300" w:lineRule="exact"/>
              <w:jc w:val="center"/>
              <w:rPr>
                <w:rFonts w:ascii="华文宋体" w:hAnsi="华文宋体" w:eastAsia="华文宋体"/>
              </w:rPr>
            </w:pPr>
            <w:r>
              <w:rPr>
                <w:rFonts w:hint="eastAsia" w:ascii="华文宋体" w:hAnsi="华文宋体" w:eastAsia="华文宋体"/>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0D332ED1">
            <w:pPr>
              <w:spacing w:line="300" w:lineRule="exact"/>
              <w:jc w:val="center"/>
              <w:rPr>
                <w:rFonts w:ascii="华文宋体" w:hAnsi="华文宋体" w:eastAsia="华文宋体"/>
              </w:rPr>
            </w:pPr>
            <w:r>
              <w:rPr>
                <w:rFonts w:hint="eastAsia" w:ascii="华文宋体" w:hAnsi="华文宋体" w:eastAsia="华文宋体"/>
              </w:rPr>
              <w:t>1</w:t>
            </w:r>
          </w:p>
        </w:tc>
      </w:tr>
      <w:tr w14:paraId="0E7F28B8">
        <w:tblPrEx>
          <w:tblCellMar>
            <w:top w:w="0" w:type="dxa"/>
            <w:left w:w="108" w:type="dxa"/>
            <w:bottom w:w="0" w:type="dxa"/>
            <w:right w:w="108" w:type="dxa"/>
          </w:tblCellMar>
        </w:tblPrEx>
        <w:trPr>
          <w:trHeight w:val="454" w:hRule="atLeast"/>
        </w:trPr>
        <w:tc>
          <w:tcPr>
            <w:tcW w:w="889" w:type="dxa"/>
            <w:vMerge w:val="continue"/>
            <w:tcBorders>
              <w:top w:val="single" w:color="auto" w:sz="4" w:space="0"/>
              <w:left w:val="single" w:color="auto" w:sz="4" w:space="0"/>
              <w:bottom w:val="single" w:color="auto" w:sz="4" w:space="0"/>
              <w:right w:val="single" w:color="auto" w:sz="4" w:space="0"/>
            </w:tcBorders>
            <w:vAlign w:val="center"/>
          </w:tcPr>
          <w:p w14:paraId="5F7C7AFA">
            <w:pPr>
              <w:spacing w:line="300" w:lineRule="exact"/>
              <w:jc w:val="center"/>
              <w:rPr>
                <w:rFonts w:ascii="华文宋体" w:hAnsi="华文宋体" w:eastAsia="华文宋体"/>
              </w:rPr>
            </w:pPr>
          </w:p>
        </w:tc>
        <w:tc>
          <w:tcPr>
            <w:tcW w:w="771" w:type="dxa"/>
            <w:tcBorders>
              <w:top w:val="single" w:color="auto" w:sz="4" w:space="0"/>
              <w:left w:val="nil"/>
              <w:bottom w:val="single" w:color="auto" w:sz="4" w:space="0"/>
              <w:right w:val="single" w:color="auto" w:sz="4" w:space="0"/>
            </w:tcBorders>
            <w:shd w:val="clear" w:color="auto" w:fill="auto"/>
            <w:vAlign w:val="center"/>
          </w:tcPr>
          <w:p w14:paraId="380A47CC">
            <w:pPr>
              <w:spacing w:line="300" w:lineRule="exact"/>
              <w:jc w:val="center"/>
              <w:rPr>
                <w:rFonts w:ascii="华文宋体" w:hAnsi="华文宋体" w:eastAsia="华文宋体"/>
              </w:rPr>
            </w:pPr>
            <w:r>
              <w:rPr>
                <w:rFonts w:hint="eastAsia" w:ascii="华文宋体" w:hAnsi="华文宋体" w:eastAsia="华文宋体"/>
              </w:rPr>
              <w:t>检测 试剂</w:t>
            </w:r>
          </w:p>
        </w:tc>
        <w:tc>
          <w:tcPr>
            <w:tcW w:w="1075" w:type="dxa"/>
            <w:tcBorders>
              <w:top w:val="single" w:color="auto" w:sz="4" w:space="0"/>
              <w:left w:val="nil"/>
              <w:bottom w:val="single" w:color="auto" w:sz="4" w:space="0"/>
              <w:right w:val="single" w:color="auto" w:sz="4" w:space="0"/>
            </w:tcBorders>
            <w:shd w:val="clear" w:color="auto" w:fill="auto"/>
            <w:vAlign w:val="center"/>
          </w:tcPr>
          <w:p w14:paraId="56968D2C">
            <w:pPr>
              <w:spacing w:line="300" w:lineRule="exact"/>
              <w:jc w:val="center"/>
              <w:rPr>
                <w:rFonts w:ascii="华文宋体" w:hAnsi="华文宋体" w:eastAsia="华文宋体"/>
              </w:rPr>
            </w:pPr>
            <w:r>
              <w:rPr>
                <w:rFonts w:hint="eastAsia" w:ascii="华文宋体" w:hAnsi="华文宋体" w:eastAsia="华文宋体"/>
              </w:rPr>
              <w:t>360</w:t>
            </w:r>
          </w:p>
        </w:tc>
        <w:tc>
          <w:tcPr>
            <w:tcW w:w="4111" w:type="dxa"/>
            <w:tcBorders>
              <w:top w:val="single" w:color="auto" w:sz="4" w:space="0"/>
              <w:left w:val="nil"/>
              <w:bottom w:val="single" w:color="auto" w:sz="4" w:space="0"/>
              <w:right w:val="single" w:color="auto" w:sz="4" w:space="0"/>
            </w:tcBorders>
            <w:shd w:val="clear" w:color="auto" w:fill="auto"/>
            <w:vAlign w:val="center"/>
          </w:tcPr>
          <w:p w14:paraId="2653A6F9">
            <w:pPr>
              <w:spacing w:line="300" w:lineRule="exact"/>
              <w:jc w:val="center"/>
              <w:rPr>
                <w:rFonts w:ascii="华文宋体" w:hAnsi="华文宋体" w:eastAsia="华文宋体"/>
              </w:rPr>
            </w:pPr>
            <w:r>
              <w:rPr>
                <w:rFonts w:hint="eastAsia" w:ascii="华文宋体" w:hAnsi="华文宋体" w:eastAsia="华文宋体"/>
              </w:rPr>
              <w:t>新型冠状病毒免核酸提取RNA检测试剂盒360盒</w:t>
            </w:r>
          </w:p>
        </w:tc>
        <w:tc>
          <w:tcPr>
            <w:tcW w:w="951" w:type="dxa"/>
            <w:tcBorders>
              <w:top w:val="single" w:color="auto" w:sz="4" w:space="0"/>
              <w:left w:val="nil"/>
              <w:bottom w:val="single" w:color="auto" w:sz="4" w:space="0"/>
              <w:right w:val="single" w:color="auto" w:sz="4" w:space="0"/>
            </w:tcBorders>
            <w:shd w:val="clear" w:color="auto" w:fill="auto"/>
            <w:vAlign w:val="center"/>
          </w:tcPr>
          <w:p w14:paraId="75F50571">
            <w:pPr>
              <w:spacing w:line="300" w:lineRule="exact"/>
              <w:jc w:val="center"/>
              <w:rPr>
                <w:rFonts w:ascii="华文宋体" w:hAnsi="华文宋体" w:eastAsia="华文宋体"/>
              </w:rPr>
            </w:pPr>
            <w:r>
              <w:rPr>
                <w:rFonts w:hint="eastAsia" w:ascii="华文宋体" w:hAnsi="华文宋体" w:eastAsia="华文宋体"/>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063EFBE8">
            <w:pPr>
              <w:spacing w:line="300" w:lineRule="exact"/>
              <w:jc w:val="center"/>
              <w:rPr>
                <w:rFonts w:ascii="华文宋体" w:hAnsi="华文宋体" w:eastAsia="华文宋体"/>
              </w:rPr>
            </w:pPr>
            <w:r>
              <w:rPr>
                <w:rFonts w:hint="eastAsia" w:ascii="华文宋体" w:hAnsi="华文宋体" w:eastAsia="华文宋体"/>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2FF37C5F">
            <w:pPr>
              <w:spacing w:line="300" w:lineRule="exact"/>
              <w:jc w:val="center"/>
              <w:rPr>
                <w:rFonts w:ascii="华文宋体" w:hAnsi="华文宋体" w:eastAsia="华文宋体"/>
              </w:rPr>
            </w:pPr>
            <w:r>
              <w:rPr>
                <w:rFonts w:hint="eastAsia" w:ascii="华文宋体" w:hAnsi="华文宋体" w:eastAsia="华文宋体"/>
              </w:rPr>
              <w:t>1</w:t>
            </w:r>
          </w:p>
        </w:tc>
      </w:tr>
      <w:tr w14:paraId="20CDB475">
        <w:tblPrEx>
          <w:tblCellMar>
            <w:top w:w="0" w:type="dxa"/>
            <w:left w:w="108" w:type="dxa"/>
            <w:bottom w:w="0" w:type="dxa"/>
            <w:right w:w="108" w:type="dxa"/>
          </w:tblCellMar>
        </w:tblPrEx>
        <w:trPr>
          <w:trHeight w:val="471" w:hRule="atLeast"/>
        </w:trPr>
        <w:tc>
          <w:tcPr>
            <w:tcW w:w="16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5EBA83">
            <w:pPr>
              <w:spacing w:line="300" w:lineRule="exact"/>
              <w:jc w:val="center"/>
              <w:rPr>
                <w:rFonts w:ascii="华文宋体" w:hAnsi="华文宋体" w:eastAsia="华文宋体"/>
              </w:rPr>
            </w:pPr>
            <w:r>
              <w:rPr>
                <w:rFonts w:hint="eastAsia" w:ascii="华文宋体" w:hAnsi="华文宋体" w:eastAsia="华文宋体"/>
              </w:rPr>
              <w:t>合计</w:t>
            </w:r>
          </w:p>
        </w:tc>
        <w:tc>
          <w:tcPr>
            <w:tcW w:w="1075" w:type="dxa"/>
            <w:tcBorders>
              <w:top w:val="single" w:color="auto" w:sz="4" w:space="0"/>
              <w:left w:val="nil"/>
              <w:bottom w:val="single" w:color="auto" w:sz="4" w:space="0"/>
              <w:right w:val="single" w:color="auto" w:sz="4" w:space="0"/>
            </w:tcBorders>
            <w:shd w:val="clear" w:color="auto" w:fill="auto"/>
            <w:vAlign w:val="center"/>
          </w:tcPr>
          <w:p w14:paraId="26738D1F">
            <w:pPr>
              <w:spacing w:line="300" w:lineRule="exact"/>
              <w:jc w:val="center"/>
              <w:rPr>
                <w:rFonts w:ascii="华文宋体" w:hAnsi="华文宋体" w:eastAsia="华文宋体"/>
              </w:rPr>
            </w:pPr>
            <w:r>
              <w:rPr>
                <w:rFonts w:hint="eastAsia" w:ascii="华文宋体" w:hAnsi="华文宋体" w:eastAsia="华文宋体"/>
              </w:rPr>
              <w:t>582249</w:t>
            </w:r>
          </w:p>
        </w:tc>
        <w:tc>
          <w:tcPr>
            <w:tcW w:w="4111" w:type="dxa"/>
            <w:tcBorders>
              <w:top w:val="single" w:color="auto" w:sz="4" w:space="0"/>
              <w:left w:val="nil"/>
              <w:bottom w:val="single" w:color="auto" w:sz="4" w:space="0"/>
              <w:right w:val="single" w:color="auto" w:sz="4" w:space="0"/>
            </w:tcBorders>
            <w:shd w:val="clear" w:color="auto" w:fill="auto"/>
            <w:vAlign w:val="center"/>
          </w:tcPr>
          <w:p w14:paraId="73D288B6">
            <w:pPr>
              <w:spacing w:line="300" w:lineRule="exact"/>
              <w:jc w:val="center"/>
              <w:rPr>
                <w:rFonts w:ascii="华文宋体" w:hAnsi="华文宋体" w:eastAsia="华文宋体"/>
              </w:rPr>
            </w:pPr>
          </w:p>
        </w:tc>
        <w:tc>
          <w:tcPr>
            <w:tcW w:w="951" w:type="dxa"/>
            <w:tcBorders>
              <w:top w:val="single" w:color="auto" w:sz="4" w:space="0"/>
              <w:left w:val="nil"/>
              <w:bottom w:val="single" w:color="auto" w:sz="4" w:space="0"/>
              <w:right w:val="single" w:color="auto" w:sz="4" w:space="0"/>
            </w:tcBorders>
            <w:shd w:val="clear" w:color="auto" w:fill="auto"/>
            <w:vAlign w:val="center"/>
          </w:tcPr>
          <w:p w14:paraId="3AE0AC5A">
            <w:pPr>
              <w:spacing w:line="300" w:lineRule="exact"/>
              <w:jc w:val="center"/>
              <w:rPr>
                <w:rFonts w:ascii="华文宋体" w:hAnsi="华文宋体" w:eastAsia="华文宋体"/>
              </w:rPr>
            </w:pPr>
            <w:r>
              <w:rPr>
                <w:rFonts w:hint="eastAsia" w:ascii="华文宋体" w:hAnsi="华文宋体" w:eastAsia="华文宋体"/>
              </w:rPr>
              <w:t>100.00%</w:t>
            </w:r>
          </w:p>
        </w:tc>
        <w:tc>
          <w:tcPr>
            <w:tcW w:w="567" w:type="dxa"/>
            <w:tcBorders>
              <w:top w:val="single" w:color="auto" w:sz="4" w:space="0"/>
              <w:left w:val="nil"/>
              <w:bottom w:val="single" w:color="auto" w:sz="4" w:space="0"/>
              <w:right w:val="single" w:color="auto" w:sz="4" w:space="0"/>
            </w:tcBorders>
            <w:shd w:val="clear" w:color="auto" w:fill="auto"/>
            <w:vAlign w:val="center"/>
          </w:tcPr>
          <w:p w14:paraId="36C88C16">
            <w:pPr>
              <w:spacing w:line="300" w:lineRule="exact"/>
              <w:jc w:val="center"/>
              <w:rPr>
                <w:rFonts w:ascii="华文宋体" w:hAnsi="华文宋体" w:eastAsia="华文宋体"/>
              </w:rPr>
            </w:pPr>
            <w:r>
              <w:rPr>
                <w:rFonts w:hint="eastAsia" w:ascii="华文宋体" w:hAnsi="华文宋体" w:eastAsia="华文宋体"/>
              </w:rPr>
              <w:t>10</w:t>
            </w:r>
          </w:p>
        </w:tc>
        <w:tc>
          <w:tcPr>
            <w:tcW w:w="709" w:type="dxa"/>
            <w:tcBorders>
              <w:top w:val="single" w:color="auto" w:sz="4" w:space="0"/>
              <w:left w:val="nil"/>
              <w:bottom w:val="single" w:color="auto" w:sz="4" w:space="0"/>
              <w:right w:val="single" w:color="auto" w:sz="4" w:space="0"/>
            </w:tcBorders>
            <w:shd w:val="clear" w:color="auto" w:fill="auto"/>
            <w:vAlign w:val="center"/>
          </w:tcPr>
          <w:p w14:paraId="5E9F467B">
            <w:pPr>
              <w:spacing w:line="300" w:lineRule="exact"/>
              <w:jc w:val="center"/>
              <w:rPr>
                <w:rFonts w:ascii="华文宋体" w:hAnsi="华文宋体" w:eastAsia="华文宋体"/>
              </w:rPr>
            </w:pPr>
            <w:r>
              <w:rPr>
                <w:rFonts w:hint="eastAsia" w:ascii="华文宋体" w:hAnsi="华文宋体" w:eastAsia="华文宋体"/>
              </w:rPr>
              <w:t>10</w:t>
            </w:r>
          </w:p>
        </w:tc>
      </w:tr>
    </w:tbl>
    <w:p w14:paraId="49E4C811">
      <w:pPr>
        <w:ind w:firstLine="480" w:firstLineChars="200"/>
        <w:rPr>
          <w:rFonts w:ascii="华文宋体" w:hAnsi="华文宋体" w:eastAsia="华文宋体"/>
        </w:rPr>
      </w:pPr>
      <w:r>
        <w:rPr>
          <w:rFonts w:hint="eastAsia" w:ascii="华文宋体" w:hAnsi="华文宋体" w:eastAsia="华文宋体"/>
        </w:rPr>
        <w:t>南岸区基药管理中心于2020年11月5日对代储单位重庆国药器械公司购进区级应急储备物资数量、质量进行签字验收；截至2020年7月31日市级定点储备物资库存数量、金额经重庆普华会计师事务所进行专项审计，详见重庆市经济和信息化委员会《关于移交疫情防控储备物资的通知》。</w:t>
      </w:r>
    </w:p>
    <w:p w14:paraId="1061F99E">
      <w:pPr>
        <w:numPr>
          <w:ilvl w:val="0"/>
          <w:numId w:val="2"/>
        </w:numPr>
        <w:ind w:firstLine="480" w:firstLineChars="200"/>
        <w:rPr>
          <w:rFonts w:ascii="华文宋体" w:hAnsi="华文宋体" w:eastAsia="华文宋体"/>
        </w:rPr>
      </w:pPr>
      <w:r>
        <w:rPr>
          <w:rFonts w:hint="eastAsia" w:ascii="华文宋体" w:hAnsi="华文宋体" w:eastAsia="华文宋体"/>
        </w:rPr>
        <w:t>产出质量</w:t>
      </w:r>
    </w:p>
    <w:tbl>
      <w:tblPr>
        <w:tblStyle w:val="9"/>
        <w:tblW w:w="9073" w:type="dxa"/>
        <w:tblInd w:w="-176" w:type="dxa"/>
        <w:tblLayout w:type="fixed"/>
        <w:tblCellMar>
          <w:top w:w="0" w:type="dxa"/>
          <w:left w:w="108" w:type="dxa"/>
          <w:bottom w:w="0" w:type="dxa"/>
          <w:right w:w="108" w:type="dxa"/>
        </w:tblCellMar>
      </w:tblPr>
      <w:tblGrid>
        <w:gridCol w:w="851"/>
        <w:gridCol w:w="1134"/>
        <w:gridCol w:w="1134"/>
        <w:gridCol w:w="3969"/>
        <w:gridCol w:w="709"/>
        <w:gridCol w:w="567"/>
        <w:gridCol w:w="709"/>
      </w:tblGrid>
      <w:tr w14:paraId="667A681F">
        <w:tblPrEx>
          <w:tblCellMar>
            <w:top w:w="0" w:type="dxa"/>
            <w:left w:w="108" w:type="dxa"/>
            <w:bottom w:w="0" w:type="dxa"/>
            <w:right w:w="108" w:type="dxa"/>
          </w:tblCellMar>
        </w:tblPrEx>
        <w:trPr>
          <w:trHeight w:val="958"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A3EA2C2">
            <w:pPr>
              <w:spacing w:line="320" w:lineRule="atLeast"/>
              <w:jc w:val="center"/>
              <w:rPr>
                <w:rFonts w:ascii="华文宋体" w:hAnsi="华文宋体" w:eastAsia="华文宋体"/>
              </w:rPr>
            </w:pPr>
            <w:r>
              <w:rPr>
                <w:rFonts w:hint="eastAsia" w:ascii="华文宋体" w:hAnsi="华文宋体" w:eastAsia="华文宋体"/>
              </w:rPr>
              <w:t>项目实施单位</w:t>
            </w:r>
          </w:p>
        </w:tc>
        <w:tc>
          <w:tcPr>
            <w:tcW w:w="1134" w:type="dxa"/>
            <w:tcBorders>
              <w:top w:val="single" w:color="auto" w:sz="4" w:space="0"/>
              <w:left w:val="nil"/>
              <w:bottom w:val="single" w:color="auto" w:sz="4" w:space="0"/>
              <w:right w:val="single" w:color="auto" w:sz="4" w:space="0"/>
            </w:tcBorders>
            <w:shd w:val="clear" w:color="auto" w:fill="auto"/>
            <w:vAlign w:val="center"/>
          </w:tcPr>
          <w:p w14:paraId="0FC53640">
            <w:pPr>
              <w:spacing w:line="320" w:lineRule="atLeast"/>
              <w:jc w:val="center"/>
              <w:rPr>
                <w:rFonts w:ascii="华文宋体" w:hAnsi="华文宋体" w:eastAsia="华文宋体"/>
              </w:rPr>
            </w:pPr>
            <w:r>
              <w:rPr>
                <w:rFonts w:hint="eastAsia" w:ascii="华文宋体" w:hAnsi="华文宋体" w:eastAsia="华文宋体"/>
              </w:rPr>
              <w:t>储备物资类别</w:t>
            </w:r>
          </w:p>
        </w:tc>
        <w:tc>
          <w:tcPr>
            <w:tcW w:w="1134" w:type="dxa"/>
            <w:tcBorders>
              <w:top w:val="single" w:color="auto" w:sz="4" w:space="0"/>
              <w:left w:val="nil"/>
              <w:bottom w:val="single" w:color="auto" w:sz="4" w:space="0"/>
              <w:right w:val="single" w:color="auto" w:sz="4" w:space="0"/>
            </w:tcBorders>
            <w:shd w:val="clear" w:color="auto" w:fill="auto"/>
            <w:vAlign w:val="center"/>
          </w:tcPr>
          <w:p w14:paraId="4C60D269">
            <w:pPr>
              <w:spacing w:line="320" w:lineRule="atLeast"/>
              <w:jc w:val="center"/>
              <w:rPr>
                <w:rFonts w:ascii="华文宋体" w:hAnsi="华文宋体" w:eastAsia="华文宋体"/>
              </w:rPr>
            </w:pPr>
            <w:r>
              <w:rPr>
                <w:rFonts w:hint="eastAsia" w:ascii="华文宋体" w:hAnsi="华文宋体" w:eastAsia="华文宋体"/>
              </w:rPr>
              <w:t>储备总数量(个/台/瓶/套）</w:t>
            </w:r>
          </w:p>
        </w:tc>
        <w:tc>
          <w:tcPr>
            <w:tcW w:w="3969" w:type="dxa"/>
            <w:tcBorders>
              <w:top w:val="single" w:color="auto" w:sz="4" w:space="0"/>
              <w:left w:val="nil"/>
              <w:bottom w:val="single" w:color="auto" w:sz="4" w:space="0"/>
              <w:right w:val="single" w:color="auto" w:sz="4" w:space="0"/>
            </w:tcBorders>
            <w:shd w:val="clear" w:color="auto" w:fill="auto"/>
            <w:vAlign w:val="center"/>
          </w:tcPr>
          <w:p w14:paraId="2EB1CE3C">
            <w:pPr>
              <w:spacing w:line="320" w:lineRule="atLeast"/>
              <w:jc w:val="center"/>
              <w:rPr>
                <w:rFonts w:ascii="华文宋体" w:hAnsi="华文宋体" w:eastAsia="华文宋体"/>
              </w:rPr>
            </w:pPr>
            <w:r>
              <w:rPr>
                <w:rFonts w:hint="eastAsia" w:ascii="华文宋体" w:hAnsi="华文宋体" w:eastAsia="华文宋体"/>
              </w:rPr>
              <w:t>储备具体数量(个/台/瓶/套）</w:t>
            </w:r>
          </w:p>
        </w:tc>
        <w:tc>
          <w:tcPr>
            <w:tcW w:w="709" w:type="dxa"/>
            <w:tcBorders>
              <w:top w:val="single" w:color="auto" w:sz="4" w:space="0"/>
              <w:left w:val="nil"/>
              <w:bottom w:val="single" w:color="auto" w:sz="4" w:space="0"/>
              <w:right w:val="single" w:color="auto" w:sz="4" w:space="0"/>
            </w:tcBorders>
            <w:shd w:val="clear" w:color="auto" w:fill="auto"/>
            <w:vAlign w:val="center"/>
          </w:tcPr>
          <w:p w14:paraId="320C0796">
            <w:pPr>
              <w:spacing w:line="320" w:lineRule="atLeast"/>
              <w:jc w:val="center"/>
              <w:rPr>
                <w:rFonts w:ascii="华文宋体" w:hAnsi="华文宋体" w:eastAsia="华文宋体"/>
              </w:rPr>
            </w:pPr>
            <w:r>
              <w:rPr>
                <w:rFonts w:hint="eastAsia" w:ascii="华文宋体" w:hAnsi="华文宋体" w:eastAsia="华文宋体"/>
              </w:rPr>
              <w:t>质量状况</w:t>
            </w:r>
          </w:p>
        </w:tc>
        <w:tc>
          <w:tcPr>
            <w:tcW w:w="567" w:type="dxa"/>
            <w:tcBorders>
              <w:top w:val="single" w:color="auto" w:sz="4" w:space="0"/>
              <w:left w:val="nil"/>
              <w:bottom w:val="single" w:color="auto" w:sz="4" w:space="0"/>
              <w:right w:val="single" w:color="auto" w:sz="4" w:space="0"/>
            </w:tcBorders>
            <w:shd w:val="clear" w:color="auto" w:fill="auto"/>
            <w:vAlign w:val="center"/>
          </w:tcPr>
          <w:p w14:paraId="05585C3B">
            <w:pPr>
              <w:spacing w:line="320" w:lineRule="atLeast"/>
              <w:jc w:val="center"/>
              <w:rPr>
                <w:rFonts w:ascii="华文宋体" w:hAnsi="华文宋体" w:eastAsia="华文宋体"/>
              </w:rPr>
            </w:pPr>
            <w:r>
              <w:rPr>
                <w:rFonts w:hint="eastAsia" w:ascii="华文宋体" w:hAnsi="华文宋体" w:eastAsia="华文宋体"/>
              </w:rPr>
              <w:t>标准分</w:t>
            </w:r>
          </w:p>
        </w:tc>
        <w:tc>
          <w:tcPr>
            <w:tcW w:w="709" w:type="dxa"/>
            <w:tcBorders>
              <w:top w:val="single" w:color="auto" w:sz="4" w:space="0"/>
              <w:left w:val="nil"/>
              <w:bottom w:val="single" w:color="auto" w:sz="4" w:space="0"/>
              <w:right w:val="single" w:color="auto" w:sz="4" w:space="0"/>
            </w:tcBorders>
            <w:shd w:val="clear" w:color="auto" w:fill="auto"/>
            <w:vAlign w:val="center"/>
          </w:tcPr>
          <w:p w14:paraId="7EF082AA">
            <w:pPr>
              <w:spacing w:line="320" w:lineRule="atLeast"/>
              <w:jc w:val="center"/>
              <w:rPr>
                <w:rFonts w:ascii="华文宋体" w:hAnsi="华文宋体" w:eastAsia="华文宋体"/>
              </w:rPr>
            </w:pPr>
            <w:r>
              <w:rPr>
                <w:rFonts w:hint="eastAsia" w:ascii="华文宋体" w:hAnsi="华文宋体" w:eastAsia="华文宋体"/>
              </w:rPr>
              <w:t>实际得分</w:t>
            </w:r>
          </w:p>
        </w:tc>
      </w:tr>
      <w:tr w14:paraId="35B69F15">
        <w:tblPrEx>
          <w:tblCellMar>
            <w:top w:w="0" w:type="dxa"/>
            <w:left w:w="108" w:type="dxa"/>
            <w:bottom w:w="0" w:type="dxa"/>
            <w:right w:w="108" w:type="dxa"/>
          </w:tblCellMar>
        </w:tblPrEx>
        <w:trPr>
          <w:trHeight w:val="2509"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2DD61F">
            <w:pPr>
              <w:spacing w:line="320" w:lineRule="atLeast"/>
              <w:jc w:val="center"/>
              <w:rPr>
                <w:rFonts w:ascii="华文宋体" w:hAnsi="华文宋体" w:eastAsia="华文宋体"/>
              </w:rPr>
            </w:pPr>
            <w:r>
              <w:rPr>
                <w:rFonts w:hint="eastAsia" w:ascii="华文宋体" w:hAnsi="华文宋体" w:eastAsia="华文宋体"/>
              </w:rPr>
              <w:t>岸区基层医疗卫生服务管理中心</w:t>
            </w:r>
          </w:p>
        </w:tc>
        <w:tc>
          <w:tcPr>
            <w:tcW w:w="1134" w:type="dxa"/>
            <w:tcBorders>
              <w:top w:val="single" w:color="auto" w:sz="4" w:space="0"/>
              <w:left w:val="nil"/>
              <w:bottom w:val="single" w:color="auto" w:sz="4" w:space="0"/>
              <w:right w:val="single" w:color="auto" w:sz="4" w:space="0"/>
            </w:tcBorders>
            <w:shd w:val="clear" w:color="auto" w:fill="auto"/>
            <w:vAlign w:val="center"/>
          </w:tcPr>
          <w:p w14:paraId="29EDBF0F">
            <w:pPr>
              <w:spacing w:line="320" w:lineRule="atLeast"/>
              <w:jc w:val="center"/>
              <w:rPr>
                <w:rFonts w:ascii="华文宋体" w:hAnsi="华文宋体" w:eastAsia="华文宋体"/>
              </w:rPr>
            </w:pPr>
            <w:r>
              <w:rPr>
                <w:rFonts w:hint="eastAsia" w:ascii="华文宋体" w:hAnsi="华文宋体" w:eastAsia="华文宋体"/>
              </w:rPr>
              <w:t>防护物资</w:t>
            </w:r>
          </w:p>
        </w:tc>
        <w:tc>
          <w:tcPr>
            <w:tcW w:w="1134" w:type="dxa"/>
            <w:tcBorders>
              <w:top w:val="single" w:color="auto" w:sz="4" w:space="0"/>
              <w:left w:val="nil"/>
              <w:bottom w:val="single" w:color="auto" w:sz="4" w:space="0"/>
              <w:right w:val="single" w:color="auto" w:sz="4" w:space="0"/>
            </w:tcBorders>
            <w:shd w:val="clear" w:color="auto" w:fill="auto"/>
            <w:vAlign w:val="center"/>
          </w:tcPr>
          <w:p w14:paraId="1FA2AADC">
            <w:pPr>
              <w:spacing w:line="320" w:lineRule="atLeast"/>
              <w:jc w:val="center"/>
              <w:rPr>
                <w:rFonts w:ascii="华文宋体" w:hAnsi="华文宋体" w:eastAsia="华文宋体"/>
              </w:rPr>
            </w:pPr>
            <w:r>
              <w:rPr>
                <w:rFonts w:hint="eastAsia" w:ascii="华文宋体" w:hAnsi="华文宋体" w:eastAsia="华文宋体"/>
              </w:rPr>
              <w:t>509745</w:t>
            </w:r>
          </w:p>
        </w:tc>
        <w:tc>
          <w:tcPr>
            <w:tcW w:w="3969" w:type="dxa"/>
            <w:tcBorders>
              <w:top w:val="single" w:color="auto" w:sz="4" w:space="0"/>
              <w:left w:val="nil"/>
              <w:bottom w:val="single" w:color="auto" w:sz="4" w:space="0"/>
              <w:right w:val="single" w:color="auto" w:sz="4" w:space="0"/>
            </w:tcBorders>
            <w:shd w:val="clear" w:color="auto" w:fill="auto"/>
            <w:vAlign w:val="center"/>
          </w:tcPr>
          <w:p w14:paraId="72B8B61E">
            <w:pPr>
              <w:spacing w:line="320" w:lineRule="atLeast"/>
              <w:rPr>
                <w:rFonts w:ascii="华文宋体" w:hAnsi="华文宋体" w:eastAsia="华文宋体"/>
              </w:rPr>
            </w:pPr>
            <w:r>
              <w:rPr>
                <w:rFonts w:hint="eastAsia" w:ascii="华文宋体" w:hAnsi="华文宋体" w:eastAsia="华文宋体"/>
              </w:rPr>
              <w:t>医用防护口罩18000个，医用外科口罩300000个，一次性防护面罩3000个，防雾护目镜800个，医用防护服5000件，医用隔离医40000件，一次性使用灭菌橡胶外科手套30935双，医用检查手套20000双，医用工作帽60000个，长筒靴套7000双，一次性保护鞋套25000双，正压头盔10个。</w:t>
            </w:r>
          </w:p>
        </w:tc>
        <w:tc>
          <w:tcPr>
            <w:tcW w:w="709" w:type="dxa"/>
            <w:tcBorders>
              <w:top w:val="single" w:color="auto" w:sz="4" w:space="0"/>
              <w:left w:val="nil"/>
              <w:bottom w:val="single" w:color="auto" w:sz="4" w:space="0"/>
              <w:right w:val="single" w:color="auto" w:sz="4" w:space="0"/>
            </w:tcBorders>
            <w:shd w:val="clear" w:color="auto" w:fill="auto"/>
            <w:vAlign w:val="center"/>
          </w:tcPr>
          <w:p w14:paraId="6E63812A">
            <w:pPr>
              <w:spacing w:line="320" w:lineRule="atLeast"/>
              <w:jc w:val="center"/>
              <w:rPr>
                <w:rFonts w:ascii="华文宋体" w:hAnsi="华文宋体" w:eastAsia="华文宋体"/>
              </w:rPr>
            </w:pPr>
            <w:r>
              <w:rPr>
                <w:rFonts w:hint="eastAsia" w:ascii="华文宋体" w:hAnsi="华文宋体" w:eastAsia="华文宋体"/>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09B140FF">
            <w:pPr>
              <w:spacing w:line="320" w:lineRule="atLeast"/>
              <w:jc w:val="center"/>
              <w:rPr>
                <w:rFonts w:ascii="华文宋体" w:hAnsi="华文宋体" w:eastAsia="华文宋体"/>
              </w:rPr>
            </w:pPr>
            <w:r>
              <w:rPr>
                <w:rFonts w:hint="eastAsia" w:ascii="华文宋体" w:hAnsi="华文宋体" w:eastAsia="华文宋体"/>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4D6BFD8B">
            <w:pPr>
              <w:spacing w:line="320" w:lineRule="atLeast"/>
              <w:jc w:val="center"/>
              <w:rPr>
                <w:rFonts w:ascii="华文宋体" w:hAnsi="华文宋体" w:eastAsia="华文宋体"/>
              </w:rPr>
            </w:pPr>
            <w:r>
              <w:rPr>
                <w:rFonts w:hint="eastAsia" w:ascii="华文宋体" w:hAnsi="华文宋体" w:eastAsia="华文宋体"/>
              </w:rPr>
              <w:t>1</w:t>
            </w:r>
          </w:p>
        </w:tc>
      </w:tr>
      <w:tr w14:paraId="3516ED1B">
        <w:tblPrEx>
          <w:tblCellMar>
            <w:top w:w="0" w:type="dxa"/>
            <w:left w:w="108" w:type="dxa"/>
            <w:bottom w:w="0" w:type="dxa"/>
            <w:right w:w="108" w:type="dxa"/>
          </w:tblCellMar>
        </w:tblPrEx>
        <w:trPr>
          <w:trHeight w:val="93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17E91FE1">
            <w:pPr>
              <w:spacing w:line="320" w:lineRule="atLeast"/>
              <w:jc w:val="center"/>
              <w:rPr>
                <w:rFonts w:ascii="华文宋体" w:hAnsi="华文宋体" w:eastAsia="华文宋体"/>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4FC2F507">
            <w:pPr>
              <w:spacing w:line="320" w:lineRule="atLeast"/>
              <w:jc w:val="center"/>
              <w:rPr>
                <w:rFonts w:ascii="华文宋体" w:hAnsi="华文宋体" w:eastAsia="华文宋体"/>
              </w:rPr>
            </w:pPr>
            <w:r>
              <w:rPr>
                <w:rFonts w:hint="eastAsia" w:ascii="华文宋体" w:hAnsi="华文宋体" w:eastAsia="华文宋体"/>
              </w:rPr>
              <w:t>消杀用品</w:t>
            </w:r>
          </w:p>
        </w:tc>
        <w:tc>
          <w:tcPr>
            <w:tcW w:w="1134" w:type="dxa"/>
            <w:tcBorders>
              <w:top w:val="single" w:color="auto" w:sz="4" w:space="0"/>
              <w:left w:val="nil"/>
              <w:bottom w:val="single" w:color="auto" w:sz="4" w:space="0"/>
              <w:right w:val="single" w:color="auto" w:sz="4" w:space="0"/>
            </w:tcBorders>
            <w:shd w:val="clear" w:color="auto" w:fill="auto"/>
            <w:vAlign w:val="center"/>
          </w:tcPr>
          <w:p w14:paraId="641A6B32">
            <w:pPr>
              <w:spacing w:line="320" w:lineRule="atLeast"/>
              <w:jc w:val="center"/>
              <w:rPr>
                <w:rFonts w:ascii="华文宋体" w:hAnsi="华文宋体" w:eastAsia="华文宋体"/>
              </w:rPr>
            </w:pPr>
            <w:r>
              <w:rPr>
                <w:rFonts w:hint="eastAsia" w:ascii="华文宋体" w:hAnsi="华文宋体" w:eastAsia="华文宋体"/>
              </w:rPr>
              <w:t>8800</w:t>
            </w:r>
          </w:p>
        </w:tc>
        <w:tc>
          <w:tcPr>
            <w:tcW w:w="3969" w:type="dxa"/>
            <w:tcBorders>
              <w:top w:val="single" w:color="auto" w:sz="4" w:space="0"/>
              <w:left w:val="nil"/>
              <w:bottom w:val="single" w:color="auto" w:sz="4" w:space="0"/>
              <w:right w:val="single" w:color="auto" w:sz="4" w:space="0"/>
            </w:tcBorders>
            <w:shd w:val="clear" w:color="auto" w:fill="auto"/>
            <w:vAlign w:val="center"/>
          </w:tcPr>
          <w:p w14:paraId="1C9F23C9">
            <w:pPr>
              <w:spacing w:line="320" w:lineRule="atLeast"/>
              <w:jc w:val="center"/>
              <w:rPr>
                <w:rFonts w:ascii="华文宋体" w:hAnsi="华文宋体" w:eastAsia="华文宋体"/>
              </w:rPr>
            </w:pPr>
            <w:r>
              <w:rPr>
                <w:rFonts w:hint="eastAsia" w:ascii="华文宋体" w:hAnsi="华文宋体" w:eastAsia="华文宋体"/>
              </w:rPr>
              <w:t>速干手消毒液4000瓶，医用酒精1000瓶，泡腾消毒片2000瓶，季铵盐消毒湿巾1500包，优氯净300盒。</w:t>
            </w:r>
          </w:p>
        </w:tc>
        <w:tc>
          <w:tcPr>
            <w:tcW w:w="709" w:type="dxa"/>
            <w:tcBorders>
              <w:top w:val="single" w:color="auto" w:sz="4" w:space="0"/>
              <w:left w:val="nil"/>
              <w:bottom w:val="single" w:color="auto" w:sz="4" w:space="0"/>
              <w:right w:val="single" w:color="auto" w:sz="4" w:space="0"/>
            </w:tcBorders>
            <w:shd w:val="clear" w:color="auto" w:fill="auto"/>
            <w:vAlign w:val="center"/>
          </w:tcPr>
          <w:p w14:paraId="2A82C3C4">
            <w:pPr>
              <w:spacing w:line="320" w:lineRule="atLeast"/>
              <w:jc w:val="center"/>
              <w:rPr>
                <w:rFonts w:ascii="华文宋体" w:hAnsi="华文宋体" w:eastAsia="华文宋体"/>
              </w:rPr>
            </w:pPr>
            <w:r>
              <w:rPr>
                <w:rFonts w:hint="eastAsia" w:ascii="华文宋体" w:hAnsi="华文宋体" w:eastAsia="华文宋体"/>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01A2FAE6">
            <w:pPr>
              <w:spacing w:line="320" w:lineRule="atLeast"/>
              <w:jc w:val="center"/>
              <w:rPr>
                <w:rFonts w:ascii="华文宋体" w:hAnsi="华文宋体" w:eastAsia="华文宋体"/>
              </w:rPr>
            </w:pPr>
            <w:r>
              <w:rPr>
                <w:rFonts w:hint="eastAsia" w:ascii="华文宋体" w:hAnsi="华文宋体" w:eastAsia="华文宋体"/>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66416C39">
            <w:pPr>
              <w:spacing w:line="320" w:lineRule="atLeast"/>
              <w:jc w:val="center"/>
              <w:rPr>
                <w:rFonts w:ascii="华文宋体" w:hAnsi="华文宋体" w:eastAsia="华文宋体"/>
              </w:rPr>
            </w:pPr>
            <w:r>
              <w:rPr>
                <w:rFonts w:hint="eastAsia" w:ascii="华文宋体" w:hAnsi="华文宋体" w:eastAsia="华文宋体"/>
              </w:rPr>
              <w:t>1</w:t>
            </w:r>
          </w:p>
        </w:tc>
      </w:tr>
      <w:tr w14:paraId="4ED33014">
        <w:tblPrEx>
          <w:tblCellMar>
            <w:top w:w="0" w:type="dxa"/>
            <w:left w:w="108" w:type="dxa"/>
            <w:bottom w:w="0" w:type="dxa"/>
            <w:right w:w="108" w:type="dxa"/>
          </w:tblCellMar>
        </w:tblPrEx>
        <w:trPr>
          <w:trHeight w:val="105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3A6A441F">
            <w:pPr>
              <w:spacing w:line="320" w:lineRule="atLeast"/>
              <w:jc w:val="center"/>
              <w:rPr>
                <w:rFonts w:ascii="华文宋体" w:hAnsi="华文宋体" w:eastAsia="华文宋体"/>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79462513">
            <w:pPr>
              <w:spacing w:line="320" w:lineRule="atLeast"/>
              <w:jc w:val="center"/>
              <w:rPr>
                <w:rFonts w:ascii="华文宋体" w:hAnsi="华文宋体" w:eastAsia="华文宋体"/>
              </w:rPr>
            </w:pPr>
            <w:r>
              <w:rPr>
                <w:rFonts w:hint="eastAsia" w:ascii="华文宋体" w:hAnsi="华文宋体" w:eastAsia="华文宋体"/>
              </w:rPr>
              <w:t>防护器械</w:t>
            </w:r>
          </w:p>
        </w:tc>
        <w:tc>
          <w:tcPr>
            <w:tcW w:w="1134" w:type="dxa"/>
            <w:tcBorders>
              <w:top w:val="single" w:color="auto" w:sz="4" w:space="0"/>
              <w:left w:val="nil"/>
              <w:bottom w:val="single" w:color="auto" w:sz="4" w:space="0"/>
              <w:right w:val="single" w:color="auto" w:sz="4" w:space="0"/>
            </w:tcBorders>
            <w:shd w:val="clear" w:color="auto" w:fill="auto"/>
            <w:vAlign w:val="center"/>
          </w:tcPr>
          <w:p w14:paraId="7964E5BD">
            <w:pPr>
              <w:spacing w:line="320" w:lineRule="atLeast"/>
              <w:jc w:val="center"/>
              <w:rPr>
                <w:rFonts w:ascii="华文宋体" w:hAnsi="华文宋体" w:eastAsia="华文宋体"/>
              </w:rPr>
            </w:pPr>
            <w:r>
              <w:rPr>
                <w:rFonts w:hint="eastAsia" w:ascii="华文宋体" w:hAnsi="华文宋体" w:eastAsia="华文宋体"/>
              </w:rPr>
              <w:t>1077</w:t>
            </w:r>
          </w:p>
        </w:tc>
        <w:tc>
          <w:tcPr>
            <w:tcW w:w="3969" w:type="dxa"/>
            <w:tcBorders>
              <w:top w:val="single" w:color="auto" w:sz="4" w:space="0"/>
              <w:left w:val="nil"/>
              <w:bottom w:val="single" w:color="auto" w:sz="4" w:space="0"/>
              <w:right w:val="single" w:color="auto" w:sz="4" w:space="0"/>
            </w:tcBorders>
            <w:shd w:val="clear" w:color="auto" w:fill="auto"/>
            <w:vAlign w:val="center"/>
          </w:tcPr>
          <w:p w14:paraId="07C154AA">
            <w:pPr>
              <w:spacing w:line="320" w:lineRule="atLeast"/>
              <w:jc w:val="center"/>
              <w:rPr>
                <w:rFonts w:ascii="华文宋体" w:hAnsi="华文宋体" w:eastAsia="华文宋体"/>
              </w:rPr>
            </w:pPr>
            <w:r>
              <w:rPr>
                <w:rFonts w:hint="eastAsia" w:ascii="华文宋体" w:hAnsi="华文宋体" w:eastAsia="华文宋体"/>
              </w:rPr>
              <w:t>手持式红外线测温仪500个，红外热成像仪1台，正压滤盒5个，正压头套20个，正压送风系统1台，玻璃体温计500支，生物安全运输箱50个。</w:t>
            </w:r>
          </w:p>
        </w:tc>
        <w:tc>
          <w:tcPr>
            <w:tcW w:w="709" w:type="dxa"/>
            <w:tcBorders>
              <w:top w:val="single" w:color="auto" w:sz="4" w:space="0"/>
              <w:left w:val="nil"/>
              <w:bottom w:val="single" w:color="auto" w:sz="4" w:space="0"/>
              <w:right w:val="single" w:color="auto" w:sz="4" w:space="0"/>
            </w:tcBorders>
            <w:shd w:val="clear" w:color="auto" w:fill="auto"/>
            <w:vAlign w:val="center"/>
          </w:tcPr>
          <w:p w14:paraId="3B26F930">
            <w:pPr>
              <w:spacing w:line="320" w:lineRule="atLeast"/>
              <w:jc w:val="center"/>
              <w:rPr>
                <w:rFonts w:ascii="华文宋体" w:hAnsi="华文宋体" w:eastAsia="华文宋体"/>
              </w:rPr>
            </w:pPr>
            <w:r>
              <w:rPr>
                <w:rFonts w:hint="eastAsia" w:ascii="华文宋体" w:hAnsi="华文宋体" w:eastAsia="华文宋体"/>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13899527">
            <w:pPr>
              <w:spacing w:line="320" w:lineRule="atLeast"/>
              <w:jc w:val="center"/>
              <w:rPr>
                <w:rFonts w:ascii="华文宋体" w:hAnsi="华文宋体" w:eastAsia="华文宋体"/>
              </w:rPr>
            </w:pPr>
            <w:r>
              <w:rPr>
                <w:rFonts w:hint="eastAsia" w:ascii="华文宋体" w:hAnsi="华文宋体" w:eastAsia="华文宋体"/>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3E16E186">
            <w:pPr>
              <w:spacing w:line="320" w:lineRule="atLeast"/>
              <w:jc w:val="center"/>
              <w:rPr>
                <w:rFonts w:ascii="华文宋体" w:hAnsi="华文宋体" w:eastAsia="华文宋体"/>
              </w:rPr>
            </w:pPr>
            <w:r>
              <w:rPr>
                <w:rFonts w:hint="eastAsia" w:ascii="华文宋体" w:hAnsi="华文宋体" w:eastAsia="华文宋体"/>
              </w:rPr>
              <w:t>1</w:t>
            </w:r>
          </w:p>
        </w:tc>
      </w:tr>
      <w:tr w14:paraId="432CFDBA">
        <w:tblPrEx>
          <w:tblCellMar>
            <w:top w:w="0" w:type="dxa"/>
            <w:left w:w="108" w:type="dxa"/>
            <w:bottom w:w="0" w:type="dxa"/>
            <w:right w:w="108" w:type="dxa"/>
          </w:tblCellMar>
        </w:tblPrEx>
        <w:trPr>
          <w:trHeight w:val="702"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7BBB3CBF">
            <w:pPr>
              <w:spacing w:line="320" w:lineRule="atLeast"/>
              <w:jc w:val="center"/>
              <w:rPr>
                <w:rFonts w:ascii="华文宋体" w:hAnsi="华文宋体" w:eastAsia="华文宋体"/>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1F939DD4">
            <w:pPr>
              <w:spacing w:line="320" w:lineRule="atLeast"/>
              <w:jc w:val="center"/>
              <w:rPr>
                <w:rFonts w:ascii="华文宋体" w:hAnsi="华文宋体" w:eastAsia="华文宋体"/>
              </w:rPr>
            </w:pPr>
            <w:r>
              <w:rPr>
                <w:rFonts w:hint="eastAsia" w:ascii="华文宋体" w:hAnsi="华文宋体" w:eastAsia="华文宋体"/>
              </w:rPr>
              <w:t xml:space="preserve">检测试剂      </w:t>
            </w:r>
          </w:p>
        </w:tc>
        <w:tc>
          <w:tcPr>
            <w:tcW w:w="1134" w:type="dxa"/>
            <w:tcBorders>
              <w:top w:val="single" w:color="auto" w:sz="4" w:space="0"/>
              <w:left w:val="nil"/>
              <w:bottom w:val="single" w:color="auto" w:sz="4" w:space="0"/>
              <w:right w:val="single" w:color="auto" w:sz="4" w:space="0"/>
            </w:tcBorders>
            <w:shd w:val="clear" w:color="auto" w:fill="auto"/>
            <w:vAlign w:val="center"/>
          </w:tcPr>
          <w:p w14:paraId="483E9409">
            <w:pPr>
              <w:spacing w:line="320" w:lineRule="atLeast"/>
              <w:jc w:val="center"/>
              <w:rPr>
                <w:rFonts w:ascii="华文宋体" w:hAnsi="华文宋体" w:eastAsia="华文宋体"/>
              </w:rPr>
            </w:pPr>
            <w:r>
              <w:rPr>
                <w:rFonts w:hint="eastAsia" w:ascii="华文宋体" w:hAnsi="华文宋体" w:eastAsia="华文宋体"/>
              </w:rPr>
              <w:t>1000</w:t>
            </w:r>
          </w:p>
        </w:tc>
        <w:tc>
          <w:tcPr>
            <w:tcW w:w="3969" w:type="dxa"/>
            <w:tcBorders>
              <w:top w:val="single" w:color="auto" w:sz="4" w:space="0"/>
              <w:left w:val="nil"/>
              <w:bottom w:val="single" w:color="auto" w:sz="4" w:space="0"/>
              <w:right w:val="single" w:color="auto" w:sz="4" w:space="0"/>
            </w:tcBorders>
            <w:shd w:val="clear" w:color="auto" w:fill="auto"/>
            <w:vAlign w:val="center"/>
          </w:tcPr>
          <w:p w14:paraId="295A06B8">
            <w:pPr>
              <w:spacing w:line="320" w:lineRule="atLeast"/>
              <w:jc w:val="center"/>
              <w:rPr>
                <w:rFonts w:ascii="华文宋体" w:hAnsi="华文宋体" w:eastAsia="华文宋体"/>
              </w:rPr>
            </w:pPr>
            <w:r>
              <w:rPr>
                <w:rFonts w:hint="eastAsia" w:ascii="华文宋体" w:hAnsi="华文宋体" w:eastAsia="华文宋体"/>
              </w:rPr>
              <w:t>一次性病毒采样管（非灭活）500支，混检病毒采样管（非灭活）500支。</w:t>
            </w:r>
          </w:p>
        </w:tc>
        <w:tc>
          <w:tcPr>
            <w:tcW w:w="709" w:type="dxa"/>
            <w:tcBorders>
              <w:top w:val="single" w:color="auto" w:sz="4" w:space="0"/>
              <w:left w:val="nil"/>
              <w:bottom w:val="single" w:color="auto" w:sz="4" w:space="0"/>
              <w:right w:val="single" w:color="auto" w:sz="4" w:space="0"/>
            </w:tcBorders>
            <w:shd w:val="clear" w:color="auto" w:fill="auto"/>
            <w:vAlign w:val="center"/>
          </w:tcPr>
          <w:p w14:paraId="66D3CD2B">
            <w:pPr>
              <w:spacing w:line="320" w:lineRule="atLeast"/>
              <w:jc w:val="center"/>
              <w:rPr>
                <w:rFonts w:ascii="华文宋体" w:hAnsi="华文宋体" w:eastAsia="华文宋体"/>
              </w:rPr>
            </w:pPr>
            <w:r>
              <w:rPr>
                <w:rFonts w:hint="eastAsia" w:ascii="华文宋体" w:hAnsi="华文宋体" w:eastAsia="华文宋体"/>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12321713">
            <w:pPr>
              <w:spacing w:line="320" w:lineRule="atLeast"/>
              <w:jc w:val="center"/>
              <w:rPr>
                <w:rFonts w:ascii="华文宋体" w:hAnsi="华文宋体" w:eastAsia="华文宋体"/>
              </w:rPr>
            </w:pPr>
            <w:r>
              <w:rPr>
                <w:rFonts w:hint="eastAsia" w:ascii="华文宋体" w:hAnsi="华文宋体" w:eastAsia="华文宋体"/>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1A59E8CA">
            <w:pPr>
              <w:spacing w:line="320" w:lineRule="atLeast"/>
              <w:jc w:val="center"/>
              <w:rPr>
                <w:rFonts w:ascii="华文宋体" w:hAnsi="华文宋体" w:eastAsia="华文宋体"/>
              </w:rPr>
            </w:pPr>
            <w:r>
              <w:rPr>
                <w:rFonts w:hint="eastAsia" w:ascii="华文宋体" w:hAnsi="华文宋体" w:eastAsia="华文宋体"/>
              </w:rPr>
              <w:t>1</w:t>
            </w:r>
          </w:p>
        </w:tc>
      </w:tr>
      <w:tr w14:paraId="04340B0B">
        <w:tblPrEx>
          <w:tblCellMar>
            <w:top w:w="0" w:type="dxa"/>
            <w:left w:w="108" w:type="dxa"/>
            <w:bottom w:w="0" w:type="dxa"/>
            <w:right w:w="108" w:type="dxa"/>
          </w:tblCellMar>
        </w:tblPrEx>
        <w:trPr>
          <w:trHeight w:val="393"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00A975">
            <w:pPr>
              <w:spacing w:line="320" w:lineRule="atLeast"/>
              <w:jc w:val="center"/>
              <w:rPr>
                <w:rFonts w:ascii="华文宋体" w:hAnsi="华文宋体" w:eastAsia="华文宋体"/>
              </w:rPr>
            </w:pPr>
            <w:r>
              <w:rPr>
                <w:rFonts w:hint="eastAsia" w:ascii="华文宋体" w:hAnsi="华文宋体" w:eastAsia="华文宋体"/>
              </w:rPr>
              <w:t>国药控股重庆医疗器械公司</w:t>
            </w:r>
          </w:p>
        </w:tc>
        <w:tc>
          <w:tcPr>
            <w:tcW w:w="1134" w:type="dxa"/>
            <w:tcBorders>
              <w:top w:val="single" w:color="auto" w:sz="4" w:space="0"/>
              <w:left w:val="nil"/>
              <w:bottom w:val="single" w:color="auto" w:sz="4" w:space="0"/>
              <w:right w:val="single" w:color="auto" w:sz="4" w:space="0"/>
            </w:tcBorders>
            <w:shd w:val="clear" w:color="auto" w:fill="auto"/>
            <w:vAlign w:val="center"/>
          </w:tcPr>
          <w:p w14:paraId="3D1D69B7">
            <w:pPr>
              <w:spacing w:line="320" w:lineRule="atLeast"/>
              <w:jc w:val="center"/>
              <w:rPr>
                <w:rFonts w:ascii="华文宋体" w:hAnsi="华文宋体" w:eastAsia="华文宋体"/>
              </w:rPr>
            </w:pPr>
            <w:r>
              <w:rPr>
                <w:rFonts w:hint="eastAsia" w:ascii="华文宋体" w:hAnsi="华文宋体" w:eastAsia="华文宋体"/>
              </w:rPr>
              <w:t>防护器械</w:t>
            </w:r>
          </w:p>
        </w:tc>
        <w:tc>
          <w:tcPr>
            <w:tcW w:w="1134" w:type="dxa"/>
            <w:tcBorders>
              <w:top w:val="single" w:color="auto" w:sz="4" w:space="0"/>
              <w:left w:val="nil"/>
              <w:bottom w:val="single" w:color="auto" w:sz="4" w:space="0"/>
              <w:right w:val="single" w:color="auto" w:sz="4" w:space="0"/>
            </w:tcBorders>
            <w:shd w:val="clear" w:color="auto" w:fill="auto"/>
            <w:vAlign w:val="center"/>
          </w:tcPr>
          <w:p w14:paraId="13AB1011">
            <w:pPr>
              <w:spacing w:line="320" w:lineRule="atLeast"/>
              <w:jc w:val="center"/>
              <w:rPr>
                <w:rFonts w:ascii="华文宋体" w:hAnsi="华文宋体" w:eastAsia="华文宋体"/>
              </w:rPr>
            </w:pPr>
            <w:r>
              <w:rPr>
                <w:rFonts w:hint="eastAsia" w:ascii="华文宋体" w:hAnsi="华文宋体" w:eastAsia="华文宋体"/>
              </w:rPr>
              <w:t>5</w:t>
            </w:r>
          </w:p>
        </w:tc>
        <w:tc>
          <w:tcPr>
            <w:tcW w:w="3969" w:type="dxa"/>
            <w:tcBorders>
              <w:top w:val="single" w:color="auto" w:sz="4" w:space="0"/>
              <w:left w:val="nil"/>
              <w:bottom w:val="single" w:color="auto" w:sz="4" w:space="0"/>
              <w:right w:val="single" w:color="auto" w:sz="4" w:space="0"/>
            </w:tcBorders>
            <w:shd w:val="clear" w:color="auto" w:fill="auto"/>
            <w:vAlign w:val="center"/>
          </w:tcPr>
          <w:p w14:paraId="01677BF2">
            <w:pPr>
              <w:spacing w:line="320" w:lineRule="atLeast"/>
              <w:jc w:val="center"/>
              <w:rPr>
                <w:rFonts w:ascii="华文宋体" w:hAnsi="华文宋体" w:eastAsia="华文宋体"/>
              </w:rPr>
            </w:pPr>
            <w:r>
              <w:rPr>
                <w:rFonts w:hint="eastAsia" w:ascii="华文宋体" w:hAnsi="华文宋体" w:eastAsia="华文宋体"/>
              </w:rPr>
              <w:t>红外热像仪5台。</w:t>
            </w:r>
          </w:p>
        </w:tc>
        <w:tc>
          <w:tcPr>
            <w:tcW w:w="709" w:type="dxa"/>
            <w:tcBorders>
              <w:top w:val="single" w:color="auto" w:sz="4" w:space="0"/>
              <w:left w:val="nil"/>
              <w:bottom w:val="single" w:color="auto" w:sz="4" w:space="0"/>
              <w:right w:val="single" w:color="auto" w:sz="4" w:space="0"/>
            </w:tcBorders>
            <w:shd w:val="clear" w:color="auto" w:fill="auto"/>
            <w:vAlign w:val="center"/>
          </w:tcPr>
          <w:p w14:paraId="3D6E1CDA">
            <w:pPr>
              <w:spacing w:line="320" w:lineRule="atLeast"/>
              <w:jc w:val="center"/>
              <w:rPr>
                <w:rFonts w:ascii="华文宋体" w:hAnsi="华文宋体" w:eastAsia="华文宋体"/>
              </w:rPr>
            </w:pPr>
            <w:r>
              <w:rPr>
                <w:rFonts w:hint="eastAsia" w:ascii="华文宋体" w:hAnsi="华文宋体" w:eastAsia="华文宋体"/>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390F9762">
            <w:pPr>
              <w:spacing w:line="320" w:lineRule="atLeast"/>
              <w:jc w:val="center"/>
              <w:rPr>
                <w:rFonts w:ascii="华文宋体" w:hAnsi="华文宋体" w:eastAsia="华文宋体"/>
              </w:rPr>
            </w:pPr>
            <w:r>
              <w:rPr>
                <w:rFonts w:hint="eastAsia" w:ascii="华文宋体" w:hAnsi="华文宋体" w:eastAsia="华文宋体"/>
              </w:rPr>
              <w:t>0.5</w:t>
            </w:r>
          </w:p>
        </w:tc>
        <w:tc>
          <w:tcPr>
            <w:tcW w:w="709" w:type="dxa"/>
            <w:tcBorders>
              <w:top w:val="single" w:color="auto" w:sz="4" w:space="0"/>
              <w:left w:val="nil"/>
              <w:bottom w:val="single" w:color="auto" w:sz="4" w:space="0"/>
              <w:right w:val="single" w:color="auto" w:sz="4" w:space="0"/>
            </w:tcBorders>
            <w:shd w:val="clear" w:color="auto" w:fill="auto"/>
            <w:vAlign w:val="center"/>
          </w:tcPr>
          <w:p w14:paraId="0E53FAA7">
            <w:pPr>
              <w:spacing w:line="320" w:lineRule="atLeast"/>
              <w:jc w:val="center"/>
              <w:rPr>
                <w:rFonts w:ascii="华文宋体" w:hAnsi="华文宋体" w:eastAsia="华文宋体"/>
              </w:rPr>
            </w:pPr>
            <w:r>
              <w:rPr>
                <w:rFonts w:hint="eastAsia" w:ascii="华文宋体" w:hAnsi="华文宋体" w:eastAsia="华文宋体"/>
              </w:rPr>
              <w:t>0.5</w:t>
            </w:r>
          </w:p>
        </w:tc>
      </w:tr>
      <w:tr w14:paraId="4B791D8D">
        <w:tblPrEx>
          <w:tblCellMar>
            <w:top w:w="0" w:type="dxa"/>
            <w:left w:w="108" w:type="dxa"/>
            <w:bottom w:w="0" w:type="dxa"/>
            <w:right w:w="108" w:type="dxa"/>
          </w:tblCellMar>
        </w:tblPrEx>
        <w:trPr>
          <w:trHeight w:val="413"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51B3A44E">
            <w:pPr>
              <w:spacing w:line="320" w:lineRule="atLeast"/>
              <w:jc w:val="center"/>
              <w:rPr>
                <w:rFonts w:ascii="华文宋体" w:hAnsi="华文宋体" w:eastAsia="华文宋体"/>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25A1584B">
            <w:pPr>
              <w:spacing w:line="320" w:lineRule="atLeast"/>
              <w:jc w:val="center"/>
              <w:rPr>
                <w:rFonts w:ascii="华文宋体" w:hAnsi="华文宋体" w:eastAsia="华文宋体"/>
              </w:rPr>
            </w:pPr>
            <w:r>
              <w:rPr>
                <w:rFonts w:hint="eastAsia" w:ascii="华文宋体" w:hAnsi="华文宋体" w:eastAsia="华文宋体"/>
              </w:rPr>
              <w:t>防护物资</w:t>
            </w:r>
          </w:p>
        </w:tc>
        <w:tc>
          <w:tcPr>
            <w:tcW w:w="1134" w:type="dxa"/>
            <w:tcBorders>
              <w:top w:val="single" w:color="auto" w:sz="4" w:space="0"/>
              <w:left w:val="nil"/>
              <w:bottom w:val="single" w:color="auto" w:sz="4" w:space="0"/>
              <w:right w:val="single" w:color="auto" w:sz="4" w:space="0"/>
            </w:tcBorders>
            <w:shd w:val="clear" w:color="auto" w:fill="auto"/>
            <w:vAlign w:val="center"/>
          </w:tcPr>
          <w:p w14:paraId="7337A3FB">
            <w:pPr>
              <w:spacing w:line="320" w:lineRule="atLeast"/>
              <w:jc w:val="center"/>
              <w:rPr>
                <w:rFonts w:ascii="华文宋体" w:hAnsi="华文宋体" w:eastAsia="华文宋体"/>
                <w:color w:val="000000"/>
              </w:rPr>
            </w:pPr>
            <w:r>
              <w:rPr>
                <w:rFonts w:hint="eastAsia" w:ascii="华文宋体" w:hAnsi="华文宋体" w:eastAsia="华文宋体"/>
                <w:color w:val="000000"/>
              </w:rPr>
              <w:t>7785</w:t>
            </w:r>
          </w:p>
        </w:tc>
        <w:tc>
          <w:tcPr>
            <w:tcW w:w="3969" w:type="dxa"/>
            <w:tcBorders>
              <w:top w:val="single" w:color="auto" w:sz="4" w:space="0"/>
              <w:left w:val="nil"/>
              <w:bottom w:val="single" w:color="auto" w:sz="4" w:space="0"/>
              <w:right w:val="single" w:color="auto" w:sz="4" w:space="0"/>
            </w:tcBorders>
            <w:shd w:val="clear" w:color="auto" w:fill="auto"/>
            <w:vAlign w:val="center"/>
          </w:tcPr>
          <w:p w14:paraId="6D3681C3">
            <w:pPr>
              <w:spacing w:line="320" w:lineRule="atLeast"/>
              <w:jc w:val="center"/>
              <w:rPr>
                <w:rFonts w:ascii="华文宋体" w:hAnsi="华文宋体" w:eastAsia="华文宋体"/>
              </w:rPr>
            </w:pPr>
            <w:r>
              <w:rPr>
                <w:rFonts w:hint="eastAsia" w:ascii="华文宋体" w:hAnsi="华文宋体" w:eastAsia="华文宋体"/>
              </w:rPr>
              <w:t>全面罩50个，医用隔离面罩7735个。</w:t>
            </w:r>
          </w:p>
        </w:tc>
        <w:tc>
          <w:tcPr>
            <w:tcW w:w="709" w:type="dxa"/>
            <w:tcBorders>
              <w:top w:val="single" w:color="auto" w:sz="4" w:space="0"/>
              <w:left w:val="nil"/>
              <w:bottom w:val="single" w:color="auto" w:sz="4" w:space="0"/>
              <w:right w:val="single" w:color="auto" w:sz="4" w:space="0"/>
            </w:tcBorders>
            <w:shd w:val="clear" w:color="auto" w:fill="auto"/>
            <w:vAlign w:val="center"/>
          </w:tcPr>
          <w:p w14:paraId="53F05172">
            <w:pPr>
              <w:spacing w:line="320" w:lineRule="atLeast"/>
              <w:jc w:val="center"/>
              <w:rPr>
                <w:rFonts w:ascii="华文宋体" w:hAnsi="华文宋体" w:eastAsia="华文宋体"/>
              </w:rPr>
            </w:pPr>
            <w:r>
              <w:rPr>
                <w:rFonts w:hint="eastAsia" w:ascii="华文宋体" w:hAnsi="华文宋体" w:eastAsia="华文宋体"/>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31A8513E">
            <w:pPr>
              <w:spacing w:line="320" w:lineRule="atLeast"/>
              <w:jc w:val="center"/>
              <w:rPr>
                <w:rFonts w:ascii="华文宋体" w:hAnsi="华文宋体" w:eastAsia="华文宋体"/>
              </w:rPr>
            </w:pPr>
            <w:r>
              <w:rPr>
                <w:rFonts w:hint="eastAsia" w:ascii="华文宋体" w:hAnsi="华文宋体" w:eastAsia="华文宋体"/>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5B8749DD">
            <w:pPr>
              <w:spacing w:line="320" w:lineRule="atLeast"/>
              <w:jc w:val="center"/>
              <w:rPr>
                <w:rFonts w:ascii="华文宋体" w:hAnsi="华文宋体" w:eastAsia="华文宋体"/>
              </w:rPr>
            </w:pPr>
            <w:r>
              <w:rPr>
                <w:rFonts w:hint="eastAsia" w:ascii="华文宋体" w:hAnsi="华文宋体" w:eastAsia="华文宋体"/>
              </w:rPr>
              <w:t>1</w:t>
            </w:r>
          </w:p>
        </w:tc>
      </w:tr>
      <w:tr w14:paraId="0EABE1FC">
        <w:tblPrEx>
          <w:tblCellMar>
            <w:top w:w="0" w:type="dxa"/>
            <w:left w:w="108" w:type="dxa"/>
            <w:bottom w:w="0" w:type="dxa"/>
            <w:right w:w="108" w:type="dxa"/>
          </w:tblCellMar>
        </w:tblPrEx>
        <w:trPr>
          <w:trHeight w:val="419"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05439AD5">
            <w:pPr>
              <w:spacing w:line="320" w:lineRule="atLeast"/>
              <w:jc w:val="center"/>
              <w:rPr>
                <w:rFonts w:ascii="华文宋体" w:hAnsi="华文宋体" w:eastAsia="华文宋体"/>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1A0B6099">
            <w:pPr>
              <w:spacing w:line="320" w:lineRule="atLeast"/>
              <w:jc w:val="center"/>
              <w:rPr>
                <w:rFonts w:ascii="华文宋体" w:hAnsi="华文宋体" w:eastAsia="华文宋体"/>
              </w:rPr>
            </w:pPr>
            <w:r>
              <w:rPr>
                <w:rFonts w:hint="eastAsia" w:ascii="华文宋体" w:hAnsi="华文宋体" w:eastAsia="华文宋体"/>
              </w:rPr>
              <w:t>消杀用品</w:t>
            </w:r>
          </w:p>
        </w:tc>
        <w:tc>
          <w:tcPr>
            <w:tcW w:w="1134" w:type="dxa"/>
            <w:tcBorders>
              <w:top w:val="single" w:color="auto" w:sz="4" w:space="0"/>
              <w:left w:val="nil"/>
              <w:bottom w:val="single" w:color="auto" w:sz="4" w:space="0"/>
              <w:right w:val="single" w:color="auto" w:sz="4" w:space="0"/>
            </w:tcBorders>
            <w:shd w:val="clear" w:color="auto" w:fill="auto"/>
            <w:vAlign w:val="center"/>
          </w:tcPr>
          <w:p w14:paraId="5376E8ED">
            <w:pPr>
              <w:spacing w:line="320" w:lineRule="atLeast"/>
              <w:jc w:val="center"/>
              <w:rPr>
                <w:rFonts w:ascii="华文宋体" w:hAnsi="华文宋体" w:eastAsia="华文宋体"/>
                <w:color w:val="000000"/>
              </w:rPr>
            </w:pPr>
            <w:r>
              <w:rPr>
                <w:rFonts w:hint="eastAsia" w:ascii="华文宋体" w:hAnsi="华文宋体" w:eastAsia="华文宋体"/>
                <w:color w:val="000000"/>
              </w:rPr>
              <w:t>794</w:t>
            </w:r>
          </w:p>
        </w:tc>
        <w:tc>
          <w:tcPr>
            <w:tcW w:w="3969" w:type="dxa"/>
            <w:tcBorders>
              <w:top w:val="single" w:color="auto" w:sz="4" w:space="0"/>
              <w:left w:val="nil"/>
              <w:bottom w:val="single" w:color="auto" w:sz="4" w:space="0"/>
              <w:right w:val="single" w:color="auto" w:sz="4" w:space="0"/>
            </w:tcBorders>
            <w:shd w:val="clear" w:color="auto" w:fill="auto"/>
            <w:vAlign w:val="center"/>
          </w:tcPr>
          <w:p w14:paraId="10CF556D">
            <w:pPr>
              <w:spacing w:line="320" w:lineRule="atLeast"/>
              <w:jc w:val="center"/>
              <w:rPr>
                <w:rFonts w:ascii="华文宋体" w:hAnsi="华文宋体" w:eastAsia="华文宋体"/>
              </w:rPr>
            </w:pPr>
            <w:r>
              <w:rPr>
                <w:rFonts w:hint="eastAsia" w:ascii="华文宋体" w:hAnsi="华文宋体" w:eastAsia="华文宋体"/>
              </w:rPr>
              <w:t>95%消毒酒精（500ml）794瓶。</w:t>
            </w:r>
          </w:p>
        </w:tc>
        <w:tc>
          <w:tcPr>
            <w:tcW w:w="709" w:type="dxa"/>
            <w:tcBorders>
              <w:top w:val="single" w:color="auto" w:sz="4" w:space="0"/>
              <w:left w:val="nil"/>
              <w:bottom w:val="single" w:color="auto" w:sz="4" w:space="0"/>
              <w:right w:val="single" w:color="auto" w:sz="4" w:space="0"/>
            </w:tcBorders>
            <w:shd w:val="clear" w:color="auto" w:fill="auto"/>
            <w:vAlign w:val="center"/>
          </w:tcPr>
          <w:p w14:paraId="47CB50BE">
            <w:pPr>
              <w:spacing w:line="320" w:lineRule="atLeast"/>
              <w:jc w:val="center"/>
              <w:rPr>
                <w:rFonts w:ascii="华文宋体" w:hAnsi="华文宋体" w:eastAsia="华文宋体"/>
              </w:rPr>
            </w:pPr>
            <w:r>
              <w:rPr>
                <w:rFonts w:hint="eastAsia" w:ascii="华文宋体" w:hAnsi="华文宋体" w:eastAsia="华文宋体"/>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0ED7C5A8">
            <w:pPr>
              <w:spacing w:line="320" w:lineRule="atLeast"/>
              <w:jc w:val="center"/>
              <w:rPr>
                <w:rFonts w:ascii="华文宋体" w:hAnsi="华文宋体" w:eastAsia="华文宋体"/>
              </w:rPr>
            </w:pPr>
            <w:r>
              <w:rPr>
                <w:rFonts w:hint="eastAsia" w:ascii="华文宋体" w:hAnsi="华文宋体" w:eastAsia="华文宋体"/>
              </w:rPr>
              <w:t>0.5</w:t>
            </w:r>
          </w:p>
        </w:tc>
        <w:tc>
          <w:tcPr>
            <w:tcW w:w="709" w:type="dxa"/>
            <w:tcBorders>
              <w:top w:val="single" w:color="auto" w:sz="4" w:space="0"/>
              <w:left w:val="nil"/>
              <w:bottom w:val="single" w:color="auto" w:sz="4" w:space="0"/>
              <w:right w:val="single" w:color="auto" w:sz="4" w:space="0"/>
            </w:tcBorders>
            <w:shd w:val="clear" w:color="auto" w:fill="auto"/>
            <w:vAlign w:val="center"/>
          </w:tcPr>
          <w:p w14:paraId="5A5BDD0C">
            <w:pPr>
              <w:spacing w:line="320" w:lineRule="atLeast"/>
              <w:jc w:val="center"/>
              <w:rPr>
                <w:rFonts w:ascii="华文宋体" w:hAnsi="华文宋体" w:eastAsia="华文宋体"/>
              </w:rPr>
            </w:pPr>
            <w:r>
              <w:rPr>
                <w:rFonts w:hint="eastAsia" w:ascii="华文宋体" w:hAnsi="华文宋体" w:eastAsia="华文宋体"/>
              </w:rPr>
              <w:t>0.5</w:t>
            </w:r>
          </w:p>
        </w:tc>
      </w:tr>
      <w:tr w14:paraId="529D8B1C">
        <w:tblPrEx>
          <w:tblCellMar>
            <w:top w:w="0" w:type="dxa"/>
            <w:left w:w="108" w:type="dxa"/>
            <w:bottom w:w="0" w:type="dxa"/>
            <w:right w:w="108" w:type="dxa"/>
          </w:tblCellMar>
        </w:tblPrEx>
        <w:trPr>
          <w:trHeight w:val="1160"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79C913">
            <w:pPr>
              <w:spacing w:line="320" w:lineRule="atLeast"/>
              <w:jc w:val="center"/>
              <w:rPr>
                <w:rFonts w:ascii="华文宋体" w:hAnsi="华文宋体" w:eastAsia="华文宋体"/>
              </w:rPr>
            </w:pPr>
            <w:r>
              <w:rPr>
                <w:rFonts w:hint="eastAsia" w:ascii="华文宋体" w:hAnsi="华文宋体" w:eastAsia="华文宋体"/>
              </w:rPr>
              <w:t>国药控制重庆泰民医药有限公司</w:t>
            </w:r>
          </w:p>
        </w:tc>
        <w:tc>
          <w:tcPr>
            <w:tcW w:w="1134" w:type="dxa"/>
            <w:tcBorders>
              <w:top w:val="single" w:color="auto" w:sz="4" w:space="0"/>
              <w:left w:val="nil"/>
              <w:bottom w:val="single" w:color="auto" w:sz="4" w:space="0"/>
              <w:right w:val="single" w:color="auto" w:sz="4" w:space="0"/>
            </w:tcBorders>
            <w:shd w:val="clear" w:color="auto" w:fill="auto"/>
            <w:vAlign w:val="center"/>
          </w:tcPr>
          <w:p w14:paraId="395364D0">
            <w:pPr>
              <w:spacing w:line="320" w:lineRule="atLeast"/>
              <w:jc w:val="center"/>
              <w:rPr>
                <w:rFonts w:ascii="华文宋体" w:hAnsi="华文宋体" w:eastAsia="华文宋体"/>
              </w:rPr>
            </w:pPr>
            <w:r>
              <w:rPr>
                <w:rFonts w:hint="eastAsia" w:ascii="华文宋体" w:hAnsi="华文宋体" w:eastAsia="华文宋体"/>
              </w:rPr>
              <w:t>防护物资</w:t>
            </w:r>
          </w:p>
        </w:tc>
        <w:tc>
          <w:tcPr>
            <w:tcW w:w="1134" w:type="dxa"/>
            <w:tcBorders>
              <w:top w:val="single" w:color="auto" w:sz="4" w:space="0"/>
              <w:left w:val="nil"/>
              <w:bottom w:val="single" w:color="auto" w:sz="4" w:space="0"/>
              <w:right w:val="single" w:color="auto" w:sz="4" w:space="0"/>
            </w:tcBorders>
            <w:shd w:val="clear" w:color="auto" w:fill="auto"/>
            <w:vAlign w:val="center"/>
          </w:tcPr>
          <w:p w14:paraId="75F75E19">
            <w:pPr>
              <w:spacing w:line="320" w:lineRule="atLeast"/>
              <w:jc w:val="center"/>
              <w:rPr>
                <w:rFonts w:ascii="华文宋体" w:hAnsi="华文宋体" w:eastAsia="华文宋体"/>
              </w:rPr>
            </w:pPr>
            <w:r>
              <w:rPr>
                <w:rFonts w:hint="eastAsia" w:ascii="华文宋体" w:hAnsi="华文宋体" w:eastAsia="华文宋体"/>
              </w:rPr>
              <w:t>52336</w:t>
            </w:r>
          </w:p>
        </w:tc>
        <w:tc>
          <w:tcPr>
            <w:tcW w:w="3969" w:type="dxa"/>
            <w:tcBorders>
              <w:top w:val="single" w:color="auto" w:sz="4" w:space="0"/>
              <w:left w:val="nil"/>
              <w:bottom w:val="single" w:color="auto" w:sz="4" w:space="0"/>
              <w:right w:val="single" w:color="auto" w:sz="4" w:space="0"/>
            </w:tcBorders>
            <w:shd w:val="clear" w:color="auto" w:fill="auto"/>
            <w:vAlign w:val="center"/>
          </w:tcPr>
          <w:p w14:paraId="50D583BE">
            <w:pPr>
              <w:spacing w:line="320" w:lineRule="atLeast"/>
              <w:jc w:val="center"/>
              <w:rPr>
                <w:rFonts w:ascii="华文宋体" w:hAnsi="华文宋体" w:eastAsia="华文宋体"/>
              </w:rPr>
            </w:pPr>
            <w:r>
              <w:rPr>
                <w:rFonts w:hint="eastAsia" w:ascii="华文宋体" w:hAnsi="华文宋体" w:eastAsia="华文宋体"/>
              </w:rPr>
              <w:t>紧急物资医用防护服9999件，一次性医用隔离衣18216件，手术衣390件，防疫口罩10000个石墨烯防护口罩995个，耐化学品德工业用模压塑料靴3双，医用护目镜12733个。</w:t>
            </w:r>
          </w:p>
        </w:tc>
        <w:tc>
          <w:tcPr>
            <w:tcW w:w="709" w:type="dxa"/>
            <w:tcBorders>
              <w:top w:val="single" w:color="auto" w:sz="4" w:space="0"/>
              <w:left w:val="nil"/>
              <w:bottom w:val="single" w:color="auto" w:sz="4" w:space="0"/>
              <w:right w:val="single" w:color="auto" w:sz="4" w:space="0"/>
            </w:tcBorders>
            <w:shd w:val="clear" w:color="auto" w:fill="auto"/>
            <w:vAlign w:val="center"/>
          </w:tcPr>
          <w:p w14:paraId="6266B984">
            <w:pPr>
              <w:spacing w:line="320" w:lineRule="atLeast"/>
              <w:jc w:val="center"/>
              <w:rPr>
                <w:rFonts w:ascii="华文宋体" w:hAnsi="华文宋体" w:eastAsia="华文宋体"/>
              </w:rPr>
            </w:pPr>
            <w:r>
              <w:rPr>
                <w:rFonts w:hint="eastAsia" w:ascii="华文宋体" w:hAnsi="华文宋体" w:eastAsia="华文宋体"/>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435B5E65">
            <w:pPr>
              <w:spacing w:line="320" w:lineRule="atLeast"/>
              <w:jc w:val="center"/>
              <w:rPr>
                <w:rFonts w:ascii="华文宋体" w:hAnsi="华文宋体" w:eastAsia="华文宋体"/>
              </w:rPr>
            </w:pPr>
            <w:r>
              <w:rPr>
                <w:rFonts w:hint="eastAsia" w:ascii="华文宋体" w:hAnsi="华文宋体" w:eastAsia="华文宋体"/>
              </w:rPr>
              <w:t>2</w:t>
            </w:r>
          </w:p>
        </w:tc>
        <w:tc>
          <w:tcPr>
            <w:tcW w:w="709" w:type="dxa"/>
            <w:tcBorders>
              <w:top w:val="single" w:color="auto" w:sz="4" w:space="0"/>
              <w:left w:val="nil"/>
              <w:bottom w:val="single" w:color="auto" w:sz="4" w:space="0"/>
              <w:right w:val="single" w:color="auto" w:sz="4" w:space="0"/>
            </w:tcBorders>
            <w:shd w:val="clear" w:color="auto" w:fill="auto"/>
            <w:vAlign w:val="center"/>
          </w:tcPr>
          <w:p w14:paraId="7F46F00A">
            <w:pPr>
              <w:spacing w:line="320" w:lineRule="atLeast"/>
              <w:jc w:val="center"/>
              <w:rPr>
                <w:rFonts w:ascii="华文宋体" w:hAnsi="华文宋体" w:eastAsia="华文宋体"/>
              </w:rPr>
            </w:pPr>
            <w:r>
              <w:rPr>
                <w:rFonts w:hint="eastAsia" w:ascii="华文宋体" w:hAnsi="华文宋体" w:eastAsia="华文宋体"/>
              </w:rPr>
              <w:t>2</w:t>
            </w:r>
          </w:p>
        </w:tc>
      </w:tr>
      <w:tr w14:paraId="2EE180EA">
        <w:tblPrEx>
          <w:tblCellMar>
            <w:top w:w="0" w:type="dxa"/>
            <w:left w:w="108" w:type="dxa"/>
            <w:bottom w:w="0" w:type="dxa"/>
            <w:right w:w="108" w:type="dxa"/>
          </w:tblCellMar>
        </w:tblPrEx>
        <w:trPr>
          <w:trHeight w:val="841"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28197F9C">
            <w:pPr>
              <w:spacing w:line="320" w:lineRule="atLeast"/>
              <w:jc w:val="center"/>
              <w:rPr>
                <w:rFonts w:ascii="华文宋体" w:hAnsi="华文宋体" w:eastAsia="华文宋体"/>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45560289">
            <w:pPr>
              <w:spacing w:line="320" w:lineRule="atLeast"/>
              <w:jc w:val="center"/>
              <w:rPr>
                <w:rFonts w:ascii="华文宋体" w:hAnsi="华文宋体" w:eastAsia="华文宋体"/>
              </w:rPr>
            </w:pPr>
            <w:r>
              <w:rPr>
                <w:rFonts w:hint="eastAsia" w:ascii="华文宋体" w:hAnsi="华文宋体" w:eastAsia="华文宋体"/>
              </w:rPr>
              <w:t>防护器械</w:t>
            </w:r>
          </w:p>
        </w:tc>
        <w:tc>
          <w:tcPr>
            <w:tcW w:w="1134" w:type="dxa"/>
            <w:tcBorders>
              <w:top w:val="single" w:color="auto" w:sz="4" w:space="0"/>
              <w:left w:val="nil"/>
              <w:bottom w:val="single" w:color="auto" w:sz="4" w:space="0"/>
              <w:right w:val="single" w:color="auto" w:sz="4" w:space="0"/>
            </w:tcBorders>
            <w:shd w:val="clear" w:color="auto" w:fill="auto"/>
            <w:vAlign w:val="center"/>
          </w:tcPr>
          <w:p w14:paraId="0765FED5">
            <w:pPr>
              <w:spacing w:line="320" w:lineRule="atLeast"/>
              <w:jc w:val="center"/>
              <w:rPr>
                <w:rFonts w:ascii="华文宋体" w:hAnsi="华文宋体" w:eastAsia="华文宋体"/>
              </w:rPr>
            </w:pPr>
            <w:r>
              <w:rPr>
                <w:rFonts w:hint="eastAsia" w:ascii="华文宋体" w:hAnsi="华文宋体" w:eastAsia="华文宋体"/>
              </w:rPr>
              <w:t>347</w:t>
            </w:r>
          </w:p>
        </w:tc>
        <w:tc>
          <w:tcPr>
            <w:tcW w:w="3969" w:type="dxa"/>
            <w:tcBorders>
              <w:top w:val="single" w:color="auto" w:sz="4" w:space="0"/>
              <w:left w:val="nil"/>
              <w:bottom w:val="single" w:color="auto" w:sz="4" w:space="0"/>
              <w:right w:val="single" w:color="auto" w:sz="4" w:space="0"/>
            </w:tcBorders>
            <w:shd w:val="clear" w:color="auto" w:fill="auto"/>
            <w:vAlign w:val="center"/>
          </w:tcPr>
          <w:p w14:paraId="5CAF9351">
            <w:pPr>
              <w:spacing w:line="320" w:lineRule="atLeast"/>
              <w:jc w:val="center"/>
              <w:rPr>
                <w:rFonts w:ascii="华文宋体" w:hAnsi="华文宋体" w:eastAsia="华文宋体"/>
              </w:rPr>
            </w:pPr>
            <w:r>
              <w:rPr>
                <w:rFonts w:hint="eastAsia" w:ascii="华文宋体" w:hAnsi="华文宋体" w:eastAsia="华文宋体"/>
              </w:rPr>
              <w:t>背负式蓄电池超低容量喷雾机3台，丸山喷雾器341台，红外热成像体温快速筛检仪3台。</w:t>
            </w:r>
          </w:p>
        </w:tc>
        <w:tc>
          <w:tcPr>
            <w:tcW w:w="709" w:type="dxa"/>
            <w:tcBorders>
              <w:top w:val="single" w:color="auto" w:sz="4" w:space="0"/>
              <w:left w:val="nil"/>
              <w:bottom w:val="single" w:color="auto" w:sz="4" w:space="0"/>
              <w:right w:val="single" w:color="auto" w:sz="4" w:space="0"/>
            </w:tcBorders>
            <w:shd w:val="clear" w:color="auto" w:fill="auto"/>
            <w:vAlign w:val="center"/>
          </w:tcPr>
          <w:p w14:paraId="1FD1F525">
            <w:pPr>
              <w:spacing w:line="320" w:lineRule="atLeast"/>
              <w:jc w:val="center"/>
              <w:rPr>
                <w:rFonts w:ascii="华文宋体" w:hAnsi="华文宋体" w:eastAsia="华文宋体"/>
              </w:rPr>
            </w:pPr>
            <w:r>
              <w:rPr>
                <w:rFonts w:hint="eastAsia" w:ascii="华文宋体" w:hAnsi="华文宋体" w:eastAsia="华文宋体"/>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5ED19D7F">
            <w:pPr>
              <w:spacing w:line="320" w:lineRule="atLeast"/>
              <w:jc w:val="center"/>
              <w:rPr>
                <w:rFonts w:ascii="华文宋体" w:hAnsi="华文宋体" w:eastAsia="华文宋体"/>
              </w:rPr>
            </w:pPr>
            <w:r>
              <w:rPr>
                <w:rFonts w:hint="eastAsia" w:ascii="华文宋体" w:hAnsi="华文宋体" w:eastAsia="华文宋体"/>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1D2F454F">
            <w:pPr>
              <w:spacing w:line="320" w:lineRule="atLeast"/>
              <w:jc w:val="center"/>
              <w:rPr>
                <w:rFonts w:ascii="华文宋体" w:hAnsi="华文宋体" w:eastAsia="华文宋体"/>
              </w:rPr>
            </w:pPr>
            <w:r>
              <w:rPr>
                <w:rFonts w:hint="eastAsia" w:ascii="华文宋体" w:hAnsi="华文宋体" w:eastAsia="华文宋体"/>
              </w:rPr>
              <w:t>1</w:t>
            </w:r>
          </w:p>
        </w:tc>
      </w:tr>
      <w:tr w14:paraId="2154E281">
        <w:tblPrEx>
          <w:tblCellMar>
            <w:top w:w="0" w:type="dxa"/>
            <w:left w:w="108" w:type="dxa"/>
            <w:bottom w:w="0" w:type="dxa"/>
            <w:right w:w="108" w:type="dxa"/>
          </w:tblCellMar>
        </w:tblPrEx>
        <w:trPr>
          <w:trHeight w:val="558"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24CF99FC">
            <w:pPr>
              <w:spacing w:line="320" w:lineRule="atLeast"/>
              <w:jc w:val="center"/>
              <w:rPr>
                <w:rFonts w:ascii="华文宋体" w:hAnsi="华文宋体" w:eastAsia="华文宋体"/>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0CC430D3">
            <w:pPr>
              <w:spacing w:line="320" w:lineRule="atLeast"/>
              <w:jc w:val="center"/>
              <w:rPr>
                <w:rFonts w:ascii="华文宋体" w:hAnsi="华文宋体" w:eastAsia="华文宋体"/>
              </w:rPr>
            </w:pPr>
            <w:r>
              <w:rPr>
                <w:rFonts w:hint="eastAsia" w:ascii="华文宋体" w:hAnsi="华文宋体" w:eastAsia="华文宋体"/>
              </w:rPr>
              <w:t>检测试剂</w:t>
            </w:r>
          </w:p>
        </w:tc>
        <w:tc>
          <w:tcPr>
            <w:tcW w:w="1134" w:type="dxa"/>
            <w:tcBorders>
              <w:top w:val="single" w:color="auto" w:sz="4" w:space="0"/>
              <w:left w:val="nil"/>
              <w:bottom w:val="single" w:color="auto" w:sz="4" w:space="0"/>
              <w:right w:val="single" w:color="auto" w:sz="4" w:space="0"/>
            </w:tcBorders>
            <w:shd w:val="clear" w:color="auto" w:fill="auto"/>
            <w:vAlign w:val="center"/>
          </w:tcPr>
          <w:p w14:paraId="5B7A8771">
            <w:pPr>
              <w:spacing w:line="320" w:lineRule="atLeast"/>
              <w:jc w:val="center"/>
              <w:rPr>
                <w:rFonts w:ascii="华文宋体" w:hAnsi="华文宋体" w:eastAsia="华文宋体"/>
              </w:rPr>
            </w:pPr>
            <w:r>
              <w:rPr>
                <w:rFonts w:hint="eastAsia" w:ascii="华文宋体" w:hAnsi="华文宋体" w:eastAsia="华文宋体"/>
              </w:rPr>
              <w:t>360</w:t>
            </w:r>
          </w:p>
        </w:tc>
        <w:tc>
          <w:tcPr>
            <w:tcW w:w="3969" w:type="dxa"/>
            <w:tcBorders>
              <w:top w:val="single" w:color="auto" w:sz="4" w:space="0"/>
              <w:left w:val="nil"/>
              <w:bottom w:val="single" w:color="auto" w:sz="4" w:space="0"/>
              <w:right w:val="single" w:color="auto" w:sz="4" w:space="0"/>
            </w:tcBorders>
            <w:shd w:val="clear" w:color="auto" w:fill="auto"/>
            <w:vAlign w:val="center"/>
          </w:tcPr>
          <w:p w14:paraId="0AE3D37E">
            <w:pPr>
              <w:spacing w:line="320" w:lineRule="atLeast"/>
              <w:jc w:val="center"/>
              <w:rPr>
                <w:rFonts w:ascii="华文宋体" w:hAnsi="华文宋体" w:eastAsia="华文宋体"/>
              </w:rPr>
            </w:pPr>
            <w:r>
              <w:rPr>
                <w:rFonts w:hint="eastAsia" w:ascii="华文宋体" w:hAnsi="华文宋体" w:eastAsia="华文宋体"/>
              </w:rPr>
              <w:t>新型冠状病毒免核酸提取RNA检测试剂盒360盒。</w:t>
            </w:r>
          </w:p>
        </w:tc>
        <w:tc>
          <w:tcPr>
            <w:tcW w:w="709" w:type="dxa"/>
            <w:tcBorders>
              <w:top w:val="single" w:color="auto" w:sz="4" w:space="0"/>
              <w:left w:val="nil"/>
              <w:bottom w:val="single" w:color="auto" w:sz="4" w:space="0"/>
              <w:right w:val="single" w:color="auto" w:sz="4" w:space="0"/>
            </w:tcBorders>
            <w:shd w:val="clear" w:color="auto" w:fill="auto"/>
            <w:vAlign w:val="center"/>
          </w:tcPr>
          <w:p w14:paraId="2152F98C">
            <w:pPr>
              <w:spacing w:line="320" w:lineRule="atLeast"/>
              <w:jc w:val="center"/>
              <w:rPr>
                <w:rFonts w:ascii="华文宋体" w:hAnsi="华文宋体" w:eastAsia="华文宋体"/>
              </w:rPr>
            </w:pPr>
            <w:r>
              <w:rPr>
                <w:rFonts w:hint="eastAsia" w:ascii="华文宋体" w:hAnsi="华文宋体" w:eastAsia="华文宋体"/>
              </w:rPr>
              <w:t>合格</w:t>
            </w:r>
          </w:p>
        </w:tc>
        <w:tc>
          <w:tcPr>
            <w:tcW w:w="567" w:type="dxa"/>
            <w:tcBorders>
              <w:top w:val="single" w:color="auto" w:sz="4" w:space="0"/>
              <w:left w:val="nil"/>
              <w:bottom w:val="single" w:color="auto" w:sz="4" w:space="0"/>
              <w:right w:val="single" w:color="auto" w:sz="4" w:space="0"/>
            </w:tcBorders>
            <w:shd w:val="clear" w:color="auto" w:fill="auto"/>
            <w:vAlign w:val="center"/>
          </w:tcPr>
          <w:p w14:paraId="4BB1EC37">
            <w:pPr>
              <w:spacing w:line="320" w:lineRule="atLeast"/>
              <w:jc w:val="center"/>
              <w:rPr>
                <w:rFonts w:ascii="华文宋体" w:hAnsi="华文宋体" w:eastAsia="华文宋体"/>
              </w:rPr>
            </w:pPr>
            <w:r>
              <w:rPr>
                <w:rFonts w:hint="eastAsia" w:ascii="华文宋体" w:hAnsi="华文宋体" w:eastAsia="华文宋体"/>
              </w:rPr>
              <w:t>1</w:t>
            </w:r>
          </w:p>
        </w:tc>
        <w:tc>
          <w:tcPr>
            <w:tcW w:w="709" w:type="dxa"/>
            <w:tcBorders>
              <w:top w:val="single" w:color="auto" w:sz="4" w:space="0"/>
              <w:left w:val="nil"/>
              <w:bottom w:val="single" w:color="auto" w:sz="4" w:space="0"/>
              <w:right w:val="single" w:color="auto" w:sz="4" w:space="0"/>
            </w:tcBorders>
            <w:shd w:val="clear" w:color="auto" w:fill="auto"/>
            <w:vAlign w:val="center"/>
          </w:tcPr>
          <w:p w14:paraId="00BD4A5A">
            <w:pPr>
              <w:spacing w:line="320" w:lineRule="atLeast"/>
              <w:jc w:val="center"/>
              <w:rPr>
                <w:rFonts w:ascii="华文宋体" w:hAnsi="华文宋体" w:eastAsia="华文宋体"/>
              </w:rPr>
            </w:pPr>
            <w:r>
              <w:rPr>
                <w:rFonts w:hint="eastAsia" w:ascii="华文宋体" w:hAnsi="华文宋体" w:eastAsia="华文宋体"/>
              </w:rPr>
              <w:t>1</w:t>
            </w:r>
          </w:p>
        </w:tc>
      </w:tr>
      <w:tr w14:paraId="5EBB7C75">
        <w:tblPrEx>
          <w:tblCellMar>
            <w:top w:w="0" w:type="dxa"/>
            <w:left w:w="108" w:type="dxa"/>
            <w:bottom w:w="0" w:type="dxa"/>
            <w:right w:w="108" w:type="dxa"/>
          </w:tblCellMar>
        </w:tblPrEx>
        <w:trPr>
          <w:trHeight w:val="530" w:hRule="atLeast"/>
        </w:trPr>
        <w:tc>
          <w:tcPr>
            <w:tcW w:w="19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90D7BC">
            <w:pPr>
              <w:spacing w:line="320" w:lineRule="atLeast"/>
              <w:jc w:val="center"/>
              <w:rPr>
                <w:rFonts w:ascii="华文宋体" w:hAnsi="华文宋体" w:eastAsia="华文宋体"/>
              </w:rPr>
            </w:pPr>
            <w:r>
              <w:rPr>
                <w:rFonts w:hint="eastAsia" w:ascii="华文宋体" w:hAnsi="华文宋体" w:eastAsia="华文宋体"/>
              </w:rPr>
              <w:t>合计</w:t>
            </w:r>
          </w:p>
        </w:tc>
        <w:tc>
          <w:tcPr>
            <w:tcW w:w="1134" w:type="dxa"/>
            <w:tcBorders>
              <w:top w:val="single" w:color="auto" w:sz="4" w:space="0"/>
              <w:left w:val="nil"/>
              <w:bottom w:val="single" w:color="auto" w:sz="4" w:space="0"/>
              <w:right w:val="single" w:color="auto" w:sz="4" w:space="0"/>
            </w:tcBorders>
            <w:shd w:val="clear" w:color="auto" w:fill="auto"/>
            <w:vAlign w:val="center"/>
          </w:tcPr>
          <w:p w14:paraId="60C34B83">
            <w:pPr>
              <w:spacing w:line="320" w:lineRule="atLeast"/>
              <w:jc w:val="center"/>
              <w:rPr>
                <w:rFonts w:ascii="华文宋体" w:hAnsi="华文宋体" w:eastAsia="华文宋体"/>
              </w:rPr>
            </w:pPr>
            <w:r>
              <w:rPr>
                <w:rFonts w:hint="eastAsia" w:ascii="华文宋体" w:hAnsi="华文宋体" w:eastAsia="华文宋体"/>
              </w:rPr>
              <w:t>582249</w:t>
            </w:r>
          </w:p>
        </w:tc>
        <w:tc>
          <w:tcPr>
            <w:tcW w:w="3969" w:type="dxa"/>
            <w:tcBorders>
              <w:top w:val="single" w:color="auto" w:sz="4" w:space="0"/>
              <w:left w:val="nil"/>
              <w:bottom w:val="single" w:color="auto" w:sz="4" w:space="0"/>
              <w:right w:val="single" w:color="auto" w:sz="4" w:space="0"/>
            </w:tcBorders>
            <w:shd w:val="clear" w:color="auto" w:fill="auto"/>
            <w:vAlign w:val="center"/>
          </w:tcPr>
          <w:p w14:paraId="3BB63569">
            <w:pPr>
              <w:spacing w:line="320" w:lineRule="atLeast"/>
              <w:jc w:val="center"/>
              <w:rPr>
                <w:rFonts w:ascii="华文宋体" w:hAnsi="华文宋体" w:eastAsia="华文宋体"/>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3585867">
            <w:pPr>
              <w:spacing w:line="320" w:lineRule="atLeast"/>
              <w:jc w:val="center"/>
              <w:rPr>
                <w:rFonts w:ascii="华文宋体" w:hAnsi="华文宋体" w:eastAsia="华文宋体"/>
              </w:rPr>
            </w:pPr>
          </w:p>
        </w:tc>
        <w:tc>
          <w:tcPr>
            <w:tcW w:w="567" w:type="dxa"/>
            <w:tcBorders>
              <w:top w:val="single" w:color="auto" w:sz="4" w:space="0"/>
              <w:left w:val="nil"/>
              <w:bottom w:val="single" w:color="auto" w:sz="4" w:space="0"/>
              <w:right w:val="single" w:color="auto" w:sz="4" w:space="0"/>
            </w:tcBorders>
            <w:shd w:val="clear" w:color="auto" w:fill="auto"/>
            <w:vAlign w:val="center"/>
          </w:tcPr>
          <w:p w14:paraId="4AB75CDC">
            <w:pPr>
              <w:spacing w:line="320" w:lineRule="atLeast"/>
              <w:jc w:val="center"/>
              <w:rPr>
                <w:rFonts w:ascii="华文宋体" w:hAnsi="华文宋体" w:eastAsia="华文宋体"/>
              </w:rPr>
            </w:pPr>
            <w:r>
              <w:rPr>
                <w:rFonts w:hint="eastAsia" w:ascii="华文宋体" w:hAnsi="华文宋体" w:eastAsia="华文宋体"/>
              </w:rPr>
              <w:t>10</w:t>
            </w:r>
          </w:p>
        </w:tc>
        <w:tc>
          <w:tcPr>
            <w:tcW w:w="709" w:type="dxa"/>
            <w:tcBorders>
              <w:top w:val="single" w:color="auto" w:sz="4" w:space="0"/>
              <w:left w:val="nil"/>
              <w:bottom w:val="single" w:color="auto" w:sz="4" w:space="0"/>
              <w:right w:val="single" w:color="auto" w:sz="4" w:space="0"/>
            </w:tcBorders>
            <w:shd w:val="clear" w:color="auto" w:fill="auto"/>
            <w:vAlign w:val="center"/>
          </w:tcPr>
          <w:p w14:paraId="232A7813">
            <w:pPr>
              <w:spacing w:line="320" w:lineRule="atLeast"/>
              <w:jc w:val="center"/>
              <w:rPr>
                <w:rFonts w:ascii="华文宋体" w:hAnsi="华文宋体" w:eastAsia="华文宋体"/>
              </w:rPr>
            </w:pPr>
            <w:r>
              <w:rPr>
                <w:rFonts w:hint="eastAsia" w:ascii="华文宋体" w:hAnsi="华文宋体" w:eastAsia="华文宋体"/>
              </w:rPr>
              <w:t>10</w:t>
            </w:r>
          </w:p>
        </w:tc>
      </w:tr>
    </w:tbl>
    <w:p w14:paraId="379A3962">
      <w:pPr>
        <w:ind w:firstLine="480" w:firstLineChars="200"/>
        <w:rPr>
          <w:rFonts w:ascii="华文宋体" w:hAnsi="华文宋体" w:eastAsia="华文宋体"/>
        </w:rPr>
      </w:pPr>
    </w:p>
    <w:p w14:paraId="69CD2A44">
      <w:pPr>
        <w:ind w:firstLine="480" w:firstLineChars="200"/>
        <w:rPr>
          <w:rFonts w:ascii="华文宋体" w:hAnsi="华文宋体" w:eastAsia="华文宋体"/>
        </w:rPr>
      </w:pPr>
      <w:r>
        <w:rPr>
          <w:rFonts w:hint="eastAsia" w:ascii="华文宋体" w:hAnsi="华文宋体" w:eastAsia="华文宋体"/>
        </w:rPr>
        <w:t>南岸区基药管理中心于2020年11月5日对代储单位重庆国药器械公司购进区级应急储备物资进行验收，质量状况为合格。按重庆市经济和信息化委员会《关于移交疫情防控储备物资的通知》要求，国药控股重庆医疗器械公司、国药控股重庆泰民医药公司于2020年12月24日将库存应急储备物资移交至重庆医药(集团)股份有限公司集中收储，双方在出库复核单上签收，质量状况为合格。</w:t>
      </w:r>
    </w:p>
    <w:p w14:paraId="09526EC1">
      <w:pPr>
        <w:ind w:firstLine="480" w:firstLineChars="200"/>
        <w:rPr>
          <w:rFonts w:ascii="华文宋体" w:hAnsi="华文宋体" w:eastAsia="华文宋体"/>
        </w:rPr>
      </w:pPr>
      <w:r>
        <w:rPr>
          <w:rFonts w:hint="eastAsia" w:ascii="华文宋体" w:hAnsi="华文宋体" w:eastAsia="华文宋体"/>
        </w:rPr>
        <w:t>（3）产出时效</w:t>
      </w:r>
    </w:p>
    <w:tbl>
      <w:tblPr>
        <w:tblStyle w:val="9"/>
        <w:tblW w:w="9105" w:type="dxa"/>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28"/>
        <w:gridCol w:w="812"/>
        <w:gridCol w:w="1144"/>
        <w:gridCol w:w="4170"/>
        <w:gridCol w:w="714"/>
        <w:gridCol w:w="577"/>
        <w:gridCol w:w="660"/>
      </w:tblGrid>
      <w:tr w14:paraId="0A1326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3" w:hRule="atLeast"/>
        </w:trPr>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14:paraId="64C892CE">
            <w:pPr>
              <w:spacing w:line="320" w:lineRule="atLeast"/>
              <w:jc w:val="center"/>
              <w:rPr>
                <w:rFonts w:ascii="华文宋体" w:hAnsi="华文宋体" w:eastAsia="华文宋体"/>
              </w:rPr>
            </w:pPr>
            <w:r>
              <w:rPr>
                <w:rFonts w:hint="eastAsia" w:ascii="华文宋体" w:hAnsi="华文宋体" w:eastAsia="华文宋体"/>
              </w:rPr>
              <w:t>项目实施 单位</w:t>
            </w: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07148DFE">
            <w:pPr>
              <w:spacing w:line="320" w:lineRule="atLeast"/>
              <w:jc w:val="center"/>
              <w:rPr>
                <w:rFonts w:ascii="华文宋体" w:hAnsi="华文宋体" w:eastAsia="华文宋体"/>
              </w:rPr>
            </w:pPr>
            <w:r>
              <w:rPr>
                <w:rFonts w:hint="eastAsia" w:ascii="华文宋体" w:hAnsi="华文宋体" w:eastAsia="华文宋体"/>
              </w:rPr>
              <w:t>储备物资类别</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115DF94C">
            <w:pPr>
              <w:spacing w:line="320" w:lineRule="atLeast"/>
              <w:jc w:val="center"/>
              <w:rPr>
                <w:rFonts w:ascii="华文宋体" w:hAnsi="华文宋体" w:eastAsia="华文宋体"/>
              </w:rPr>
            </w:pPr>
            <w:r>
              <w:rPr>
                <w:rFonts w:hint="eastAsia" w:ascii="华文宋体" w:hAnsi="华文宋体" w:eastAsia="华文宋体"/>
              </w:rPr>
              <w:t>储备总数量(个/台/瓶/套）</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32D8745A">
            <w:pPr>
              <w:spacing w:line="320" w:lineRule="atLeast"/>
              <w:jc w:val="center"/>
              <w:rPr>
                <w:rFonts w:ascii="华文宋体" w:hAnsi="华文宋体" w:eastAsia="华文宋体"/>
              </w:rPr>
            </w:pPr>
            <w:r>
              <w:rPr>
                <w:rFonts w:hint="eastAsia" w:ascii="华文宋体" w:hAnsi="华文宋体" w:eastAsia="华文宋体"/>
              </w:rPr>
              <w:t>储备具体数量(个/台/瓶/套）</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58598B68">
            <w:pPr>
              <w:spacing w:line="320" w:lineRule="atLeast"/>
              <w:jc w:val="center"/>
              <w:rPr>
                <w:rFonts w:ascii="华文宋体" w:hAnsi="华文宋体" w:eastAsia="华文宋体"/>
              </w:rPr>
            </w:pPr>
            <w:r>
              <w:rPr>
                <w:rFonts w:hint="eastAsia" w:ascii="华文宋体" w:hAnsi="华文宋体" w:eastAsia="华文宋体"/>
              </w:rPr>
              <w:t>完成  及时性</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6538CBD8">
            <w:pPr>
              <w:spacing w:line="320" w:lineRule="atLeast"/>
              <w:jc w:val="center"/>
              <w:rPr>
                <w:rFonts w:ascii="华文宋体" w:hAnsi="华文宋体" w:eastAsia="华文宋体"/>
              </w:rPr>
            </w:pPr>
            <w:r>
              <w:rPr>
                <w:rFonts w:hint="eastAsia" w:ascii="华文宋体" w:hAnsi="华文宋体" w:eastAsia="华文宋体"/>
              </w:rPr>
              <w:t>标准分</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60217948">
            <w:pPr>
              <w:spacing w:line="320" w:lineRule="atLeast"/>
              <w:jc w:val="center"/>
              <w:rPr>
                <w:rFonts w:ascii="华文宋体" w:hAnsi="华文宋体" w:eastAsia="华文宋体"/>
              </w:rPr>
            </w:pPr>
            <w:r>
              <w:rPr>
                <w:rFonts w:hint="eastAsia" w:ascii="华文宋体" w:hAnsi="华文宋体" w:eastAsia="华文宋体"/>
              </w:rPr>
              <w:t>实际得分</w:t>
            </w:r>
          </w:p>
        </w:tc>
      </w:tr>
      <w:tr w14:paraId="577958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62" w:hRule="atLeast"/>
        </w:trPr>
        <w:tc>
          <w:tcPr>
            <w:tcW w:w="10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32DFDB">
            <w:pPr>
              <w:spacing w:line="320" w:lineRule="atLeast"/>
              <w:jc w:val="center"/>
              <w:rPr>
                <w:rFonts w:ascii="华文宋体" w:hAnsi="华文宋体" w:eastAsia="华文宋体"/>
              </w:rPr>
            </w:pPr>
            <w:r>
              <w:rPr>
                <w:rFonts w:hint="eastAsia" w:ascii="华文宋体" w:hAnsi="华文宋体" w:eastAsia="华文宋体"/>
              </w:rPr>
              <w:t>南岸区基层医疗卫生服务管理中心</w:t>
            </w: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04C1FC5C">
            <w:pPr>
              <w:spacing w:line="320" w:lineRule="atLeast"/>
              <w:jc w:val="center"/>
              <w:rPr>
                <w:rFonts w:ascii="华文宋体" w:hAnsi="华文宋体" w:eastAsia="华文宋体"/>
              </w:rPr>
            </w:pPr>
            <w:r>
              <w:rPr>
                <w:rFonts w:hint="eastAsia" w:ascii="华文宋体" w:hAnsi="华文宋体" w:eastAsia="华文宋体"/>
              </w:rPr>
              <w:t>防护  物资</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1CC6D07B">
            <w:pPr>
              <w:spacing w:line="320" w:lineRule="atLeast"/>
              <w:jc w:val="center"/>
              <w:rPr>
                <w:rFonts w:ascii="华文宋体" w:hAnsi="华文宋体" w:eastAsia="华文宋体"/>
              </w:rPr>
            </w:pPr>
            <w:r>
              <w:rPr>
                <w:rFonts w:hint="eastAsia" w:ascii="华文宋体" w:hAnsi="华文宋体" w:eastAsia="华文宋体"/>
              </w:rPr>
              <w:t>509745</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66B655D1">
            <w:pPr>
              <w:spacing w:line="320" w:lineRule="atLeast"/>
              <w:jc w:val="center"/>
              <w:rPr>
                <w:rFonts w:ascii="华文宋体" w:hAnsi="华文宋体" w:eastAsia="华文宋体"/>
              </w:rPr>
            </w:pPr>
            <w:r>
              <w:rPr>
                <w:rFonts w:hint="eastAsia" w:ascii="华文宋体" w:hAnsi="华文宋体" w:eastAsia="华文宋体"/>
              </w:rPr>
              <w:t>医用防护口罩18000个，医用外科口罩300000个，一次性防护面罩3000个，防雾护目镜800个，医用防护服5000件，医用隔离医40000件，一次性使用灭菌橡胶外科手套30935双，医用检查手套20000双，医用工作帽60000个，长筒靴套7000双，一次性保护鞋套25000双，正压头盔10个。</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55A76F15">
            <w:pPr>
              <w:spacing w:line="320" w:lineRule="atLeast"/>
              <w:jc w:val="center"/>
              <w:rPr>
                <w:rFonts w:ascii="华文宋体" w:hAnsi="华文宋体" w:eastAsia="华文宋体"/>
              </w:rPr>
            </w:pPr>
            <w:r>
              <w:rPr>
                <w:rFonts w:hint="eastAsia" w:ascii="华文宋体" w:hAnsi="华文宋体" w:eastAsia="华文宋体"/>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281D6959">
            <w:pPr>
              <w:spacing w:line="320" w:lineRule="atLeast"/>
              <w:jc w:val="center"/>
              <w:rPr>
                <w:rFonts w:ascii="华文宋体" w:hAnsi="华文宋体" w:eastAsia="华文宋体"/>
              </w:rPr>
            </w:pPr>
            <w:r>
              <w:rPr>
                <w:rFonts w:hint="eastAsia" w:ascii="华文宋体" w:hAnsi="华文宋体" w:eastAsia="华文宋体"/>
              </w:rPr>
              <w:t>1</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4BD1221A">
            <w:pPr>
              <w:spacing w:line="320" w:lineRule="atLeast"/>
              <w:jc w:val="center"/>
              <w:rPr>
                <w:rFonts w:ascii="华文宋体" w:hAnsi="华文宋体" w:eastAsia="华文宋体"/>
              </w:rPr>
            </w:pPr>
            <w:r>
              <w:rPr>
                <w:rFonts w:hint="eastAsia" w:ascii="华文宋体" w:hAnsi="华文宋体" w:eastAsia="华文宋体"/>
              </w:rPr>
              <w:t>1</w:t>
            </w:r>
          </w:p>
        </w:tc>
      </w:tr>
      <w:tr w14:paraId="4009E1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8" w:type="dxa"/>
            <w:vMerge w:val="continue"/>
            <w:tcBorders>
              <w:top w:val="single" w:color="auto" w:sz="4" w:space="0"/>
              <w:left w:val="single" w:color="auto" w:sz="4" w:space="0"/>
              <w:bottom w:val="single" w:color="auto" w:sz="4" w:space="0"/>
              <w:right w:val="single" w:color="auto" w:sz="4" w:space="0"/>
            </w:tcBorders>
            <w:vAlign w:val="center"/>
          </w:tcPr>
          <w:p w14:paraId="62F7468A">
            <w:pPr>
              <w:spacing w:line="320" w:lineRule="atLeast"/>
              <w:jc w:val="center"/>
              <w:rPr>
                <w:rFonts w:ascii="华文宋体" w:hAnsi="华文宋体" w:eastAsia="华文宋体"/>
              </w:rPr>
            </w:pP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747C2A4A">
            <w:pPr>
              <w:spacing w:line="320" w:lineRule="atLeast"/>
              <w:jc w:val="center"/>
              <w:rPr>
                <w:rFonts w:ascii="华文宋体" w:hAnsi="华文宋体" w:eastAsia="华文宋体"/>
              </w:rPr>
            </w:pPr>
            <w:r>
              <w:rPr>
                <w:rFonts w:hint="eastAsia" w:ascii="华文宋体" w:hAnsi="华文宋体" w:eastAsia="华文宋体"/>
              </w:rPr>
              <w:t>消杀  用品</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2B0AEAB5">
            <w:pPr>
              <w:spacing w:line="320" w:lineRule="atLeast"/>
              <w:jc w:val="center"/>
              <w:rPr>
                <w:rFonts w:ascii="华文宋体" w:hAnsi="华文宋体" w:eastAsia="华文宋体"/>
              </w:rPr>
            </w:pPr>
            <w:r>
              <w:rPr>
                <w:rFonts w:hint="eastAsia" w:ascii="华文宋体" w:hAnsi="华文宋体" w:eastAsia="华文宋体"/>
              </w:rPr>
              <w:t>8800</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6D391F2E">
            <w:pPr>
              <w:spacing w:line="320" w:lineRule="atLeast"/>
              <w:jc w:val="center"/>
              <w:rPr>
                <w:rFonts w:ascii="华文宋体" w:hAnsi="华文宋体" w:eastAsia="华文宋体"/>
              </w:rPr>
            </w:pPr>
            <w:r>
              <w:rPr>
                <w:rFonts w:hint="eastAsia" w:ascii="华文宋体" w:hAnsi="华文宋体" w:eastAsia="华文宋体"/>
              </w:rPr>
              <w:t>速干手消毒液4000瓶，医用酒精1000瓶，泡腾消毒片2000瓶，季铵盐消毒湿巾1500包，优氯净300盒。</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7FB3C0D0">
            <w:pPr>
              <w:spacing w:line="320" w:lineRule="atLeast"/>
              <w:jc w:val="center"/>
              <w:rPr>
                <w:rFonts w:ascii="华文宋体" w:hAnsi="华文宋体" w:eastAsia="华文宋体"/>
              </w:rPr>
            </w:pPr>
            <w:r>
              <w:rPr>
                <w:rFonts w:hint="eastAsia" w:ascii="华文宋体" w:hAnsi="华文宋体" w:eastAsia="华文宋体"/>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2EFA80BF">
            <w:pPr>
              <w:spacing w:line="320" w:lineRule="atLeast"/>
              <w:jc w:val="center"/>
              <w:rPr>
                <w:rFonts w:ascii="华文宋体" w:hAnsi="华文宋体" w:eastAsia="华文宋体"/>
              </w:rPr>
            </w:pPr>
            <w:r>
              <w:rPr>
                <w:rFonts w:hint="eastAsia" w:ascii="华文宋体" w:hAnsi="华文宋体" w:eastAsia="华文宋体"/>
              </w:rPr>
              <w:t>1</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47FA621E">
            <w:pPr>
              <w:spacing w:line="320" w:lineRule="atLeast"/>
              <w:jc w:val="center"/>
              <w:rPr>
                <w:rFonts w:ascii="华文宋体" w:hAnsi="华文宋体" w:eastAsia="华文宋体"/>
              </w:rPr>
            </w:pPr>
            <w:r>
              <w:rPr>
                <w:rFonts w:hint="eastAsia" w:ascii="华文宋体" w:hAnsi="华文宋体" w:eastAsia="华文宋体"/>
              </w:rPr>
              <w:t>1</w:t>
            </w:r>
          </w:p>
        </w:tc>
      </w:tr>
      <w:tr w14:paraId="118EF8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4" w:hRule="atLeast"/>
        </w:trPr>
        <w:tc>
          <w:tcPr>
            <w:tcW w:w="1028" w:type="dxa"/>
            <w:vMerge w:val="continue"/>
            <w:tcBorders>
              <w:top w:val="single" w:color="auto" w:sz="4" w:space="0"/>
              <w:left w:val="single" w:color="auto" w:sz="4" w:space="0"/>
              <w:bottom w:val="single" w:color="auto" w:sz="4" w:space="0"/>
              <w:right w:val="single" w:color="auto" w:sz="4" w:space="0"/>
            </w:tcBorders>
            <w:vAlign w:val="center"/>
          </w:tcPr>
          <w:p w14:paraId="6931254F">
            <w:pPr>
              <w:spacing w:line="320" w:lineRule="atLeast"/>
              <w:jc w:val="center"/>
              <w:rPr>
                <w:rFonts w:ascii="华文宋体" w:hAnsi="华文宋体" w:eastAsia="华文宋体"/>
              </w:rPr>
            </w:pP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66676251">
            <w:pPr>
              <w:spacing w:line="320" w:lineRule="atLeast"/>
              <w:jc w:val="center"/>
              <w:rPr>
                <w:rFonts w:ascii="华文宋体" w:hAnsi="华文宋体" w:eastAsia="华文宋体"/>
              </w:rPr>
            </w:pPr>
            <w:r>
              <w:rPr>
                <w:rFonts w:hint="eastAsia" w:ascii="华文宋体" w:hAnsi="华文宋体" w:eastAsia="华文宋体"/>
              </w:rPr>
              <w:t>防护  器械</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0BD11E33">
            <w:pPr>
              <w:spacing w:line="320" w:lineRule="atLeast"/>
              <w:jc w:val="center"/>
              <w:rPr>
                <w:rFonts w:ascii="华文宋体" w:hAnsi="华文宋体" w:eastAsia="华文宋体"/>
              </w:rPr>
            </w:pPr>
            <w:r>
              <w:rPr>
                <w:rFonts w:hint="eastAsia" w:ascii="华文宋体" w:hAnsi="华文宋体" w:eastAsia="华文宋体"/>
              </w:rPr>
              <w:t>1077</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4D2EA290">
            <w:pPr>
              <w:spacing w:line="320" w:lineRule="atLeast"/>
              <w:rPr>
                <w:rFonts w:ascii="华文宋体" w:hAnsi="华文宋体" w:eastAsia="华文宋体"/>
              </w:rPr>
            </w:pPr>
            <w:r>
              <w:rPr>
                <w:rFonts w:hint="eastAsia" w:ascii="华文宋体" w:hAnsi="华文宋体" w:eastAsia="华文宋体"/>
              </w:rPr>
              <w:t>手持式红外线测温仪500个，红外热成像仪1台，正压滤盒5个，正压头套20个，正压送风系统1台，玻璃体温计500支，生物安全运输箱50个。</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2908A14A">
            <w:pPr>
              <w:spacing w:line="320" w:lineRule="atLeast"/>
              <w:jc w:val="center"/>
              <w:rPr>
                <w:rFonts w:ascii="华文宋体" w:hAnsi="华文宋体" w:eastAsia="华文宋体"/>
              </w:rPr>
            </w:pPr>
            <w:r>
              <w:rPr>
                <w:rFonts w:hint="eastAsia" w:ascii="华文宋体" w:hAnsi="华文宋体" w:eastAsia="华文宋体"/>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5CDCBDFF">
            <w:pPr>
              <w:spacing w:line="320" w:lineRule="atLeast"/>
              <w:jc w:val="center"/>
              <w:rPr>
                <w:rFonts w:ascii="华文宋体" w:hAnsi="华文宋体" w:eastAsia="华文宋体"/>
              </w:rPr>
            </w:pPr>
            <w:r>
              <w:rPr>
                <w:rFonts w:hint="eastAsia" w:ascii="华文宋体" w:hAnsi="华文宋体" w:eastAsia="华文宋体"/>
              </w:rPr>
              <w:t>1</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59E8DEB1">
            <w:pPr>
              <w:spacing w:line="320" w:lineRule="atLeast"/>
              <w:jc w:val="center"/>
              <w:rPr>
                <w:rFonts w:ascii="华文宋体" w:hAnsi="华文宋体" w:eastAsia="华文宋体"/>
              </w:rPr>
            </w:pPr>
            <w:r>
              <w:rPr>
                <w:rFonts w:hint="eastAsia" w:ascii="华文宋体" w:hAnsi="华文宋体" w:eastAsia="华文宋体"/>
              </w:rPr>
              <w:t>1</w:t>
            </w:r>
          </w:p>
        </w:tc>
      </w:tr>
      <w:tr w14:paraId="1E766C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028" w:type="dxa"/>
            <w:vMerge w:val="continue"/>
            <w:tcBorders>
              <w:top w:val="single" w:color="auto" w:sz="4" w:space="0"/>
              <w:left w:val="single" w:color="auto" w:sz="4" w:space="0"/>
              <w:bottom w:val="single" w:color="auto" w:sz="4" w:space="0"/>
              <w:right w:val="single" w:color="auto" w:sz="4" w:space="0"/>
            </w:tcBorders>
            <w:vAlign w:val="center"/>
          </w:tcPr>
          <w:p w14:paraId="15C0FB7E">
            <w:pPr>
              <w:spacing w:line="320" w:lineRule="atLeast"/>
              <w:jc w:val="center"/>
              <w:rPr>
                <w:rFonts w:ascii="华文宋体" w:hAnsi="华文宋体" w:eastAsia="华文宋体"/>
              </w:rPr>
            </w:pP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4329030B">
            <w:pPr>
              <w:spacing w:line="320" w:lineRule="atLeast"/>
              <w:jc w:val="center"/>
              <w:rPr>
                <w:rFonts w:ascii="华文宋体" w:hAnsi="华文宋体" w:eastAsia="华文宋体"/>
              </w:rPr>
            </w:pPr>
            <w:r>
              <w:rPr>
                <w:rFonts w:hint="eastAsia" w:ascii="华文宋体" w:hAnsi="华文宋体" w:eastAsia="华文宋体"/>
              </w:rPr>
              <w:t xml:space="preserve">检测  试剂      </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5969DE58">
            <w:pPr>
              <w:spacing w:line="320" w:lineRule="atLeast"/>
              <w:jc w:val="center"/>
              <w:rPr>
                <w:rFonts w:ascii="华文宋体" w:hAnsi="华文宋体" w:eastAsia="华文宋体"/>
              </w:rPr>
            </w:pPr>
            <w:r>
              <w:rPr>
                <w:rFonts w:hint="eastAsia" w:ascii="华文宋体" w:hAnsi="华文宋体" w:eastAsia="华文宋体"/>
              </w:rPr>
              <w:t>1000</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373BA31B">
            <w:pPr>
              <w:spacing w:line="320" w:lineRule="atLeast"/>
              <w:rPr>
                <w:rFonts w:ascii="华文宋体" w:hAnsi="华文宋体" w:eastAsia="华文宋体"/>
              </w:rPr>
            </w:pPr>
            <w:r>
              <w:rPr>
                <w:rFonts w:hint="eastAsia" w:ascii="华文宋体" w:hAnsi="华文宋体" w:eastAsia="华文宋体"/>
              </w:rPr>
              <w:t>一次性病毒采样管（非灭活）500支，1:10混检病毒采样管（非灭活）500支。</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5A951179">
            <w:pPr>
              <w:spacing w:line="320" w:lineRule="atLeast"/>
              <w:jc w:val="center"/>
              <w:rPr>
                <w:rFonts w:ascii="华文宋体" w:hAnsi="华文宋体" w:eastAsia="华文宋体"/>
              </w:rPr>
            </w:pPr>
            <w:r>
              <w:rPr>
                <w:rFonts w:hint="eastAsia" w:ascii="华文宋体" w:hAnsi="华文宋体" w:eastAsia="华文宋体"/>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61DDC26B">
            <w:pPr>
              <w:spacing w:line="320" w:lineRule="atLeast"/>
              <w:jc w:val="center"/>
              <w:rPr>
                <w:rFonts w:ascii="华文宋体" w:hAnsi="华文宋体" w:eastAsia="华文宋体"/>
              </w:rPr>
            </w:pPr>
            <w:r>
              <w:rPr>
                <w:rFonts w:hint="eastAsia" w:ascii="华文宋体" w:hAnsi="华文宋体" w:eastAsia="华文宋体"/>
              </w:rPr>
              <w:t>1</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06C03EF7">
            <w:pPr>
              <w:spacing w:line="320" w:lineRule="atLeast"/>
              <w:jc w:val="center"/>
              <w:rPr>
                <w:rFonts w:ascii="华文宋体" w:hAnsi="华文宋体" w:eastAsia="华文宋体"/>
              </w:rPr>
            </w:pPr>
            <w:r>
              <w:rPr>
                <w:rFonts w:hint="eastAsia" w:ascii="华文宋体" w:hAnsi="华文宋体" w:eastAsia="华文宋体"/>
              </w:rPr>
              <w:t>1</w:t>
            </w:r>
          </w:p>
        </w:tc>
      </w:tr>
      <w:tr w14:paraId="0CDA33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0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F37B77">
            <w:pPr>
              <w:spacing w:line="320" w:lineRule="atLeast"/>
              <w:jc w:val="center"/>
              <w:rPr>
                <w:rFonts w:ascii="华文宋体" w:hAnsi="华文宋体" w:eastAsia="华文宋体"/>
              </w:rPr>
            </w:pPr>
            <w:r>
              <w:rPr>
                <w:rFonts w:hint="eastAsia" w:ascii="华文宋体" w:hAnsi="华文宋体" w:eastAsia="华文宋体"/>
              </w:rPr>
              <w:t>国药控股重庆医疗器械公司</w:t>
            </w: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4A869E42">
            <w:pPr>
              <w:spacing w:line="320" w:lineRule="atLeast"/>
              <w:jc w:val="center"/>
              <w:rPr>
                <w:rFonts w:ascii="华文宋体" w:hAnsi="华文宋体" w:eastAsia="华文宋体"/>
              </w:rPr>
            </w:pPr>
            <w:r>
              <w:rPr>
                <w:rFonts w:hint="eastAsia" w:ascii="华文宋体" w:hAnsi="华文宋体" w:eastAsia="华文宋体"/>
              </w:rPr>
              <w:t>防护  器械</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04048940">
            <w:pPr>
              <w:spacing w:line="320" w:lineRule="atLeast"/>
              <w:jc w:val="center"/>
              <w:rPr>
                <w:rFonts w:ascii="华文宋体" w:hAnsi="华文宋体" w:eastAsia="华文宋体"/>
              </w:rPr>
            </w:pPr>
            <w:r>
              <w:rPr>
                <w:rFonts w:hint="eastAsia" w:ascii="华文宋体" w:hAnsi="华文宋体" w:eastAsia="华文宋体"/>
              </w:rPr>
              <w:t>5</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775EC911">
            <w:pPr>
              <w:spacing w:line="320" w:lineRule="atLeast"/>
              <w:rPr>
                <w:rFonts w:ascii="华文宋体" w:hAnsi="华文宋体" w:eastAsia="华文宋体"/>
              </w:rPr>
            </w:pPr>
            <w:r>
              <w:rPr>
                <w:rFonts w:hint="eastAsia" w:ascii="华文宋体" w:hAnsi="华文宋体" w:eastAsia="华文宋体"/>
              </w:rPr>
              <w:t>红外热像仪5台。</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73FF3367">
            <w:pPr>
              <w:spacing w:line="320" w:lineRule="atLeast"/>
              <w:jc w:val="center"/>
              <w:rPr>
                <w:rFonts w:ascii="华文宋体" w:hAnsi="华文宋体" w:eastAsia="华文宋体"/>
              </w:rPr>
            </w:pPr>
            <w:r>
              <w:rPr>
                <w:rFonts w:hint="eastAsia" w:ascii="华文宋体" w:hAnsi="华文宋体" w:eastAsia="华文宋体"/>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77A076AC">
            <w:pPr>
              <w:spacing w:line="320" w:lineRule="atLeast"/>
              <w:jc w:val="center"/>
              <w:rPr>
                <w:rFonts w:ascii="华文宋体" w:hAnsi="华文宋体" w:eastAsia="华文宋体"/>
              </w:rPr>
            </w:pPr>
            <w:r>
              <w:rPr>
                <w:rFonts w:hint="eastAsia" w:ascii="华文宋体" w:hAnsi="华文宋体" w:eastAsia="华文宋体"/>
              </w:rPr>
              <w:t>0.5</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6FF148AF">
            <w:pPr>
              <w:spacing w:line="320" w:lineRule="atLeast"/>
              <w:jc w:val="center"/>
              <w:rPr>
                <w:rFonts w:ascii="华文宋体" w:hAnsi="华文宋体" w:eastAsia="华文宋体"/>
              </w:rPr>
            </w:pPr>
            <w:r>
              <w:rPr>
                <w:rFonts w:hint="eastAsia" w:ascii="华文宋体" w:hAnsi="华文宋体" w:eastAsia="华文宋体"/>
              </w:rPr>
              <w:t>0.5</w:t>
            </w:r>
          </w:p>
        </w:tc>
      </w:tr>
      <w:tr w14:paraId="772312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028" w:type="dxa"/>
            <w:vMerge w:val="continue"/>
            <w:tcBorders>
              <w:top w:val="single" w:color="auto" w:sz="4" w:space="0"/>
              <w:left w:val="single" w:color="auto" w:sz="4" w:space="0"/>
              <w:bottom w:val="single" w:color="auto" w:sz="4" w:space="0"/>
              <w:right w:val="single" w:color="auto" w:sz="4" w:space="0"/>
            </w:tcBorders>
            <w:vAlign w:val="center"/>
          </w:tcPr>
          <w:p w14:paraId="05152749">
            <w:pPr>
              <w:spacing w:line="320" w:lineRule="atLeast"/>
              <w:jc w:val="center"/>
              <w:rPr>
                <w:rFonts w:ascii="华文宋体" w:hAnsi="华文宋体" w:eastAsia="华文宋体"/>
              </w:rPr>
            </w:pP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474B3042">
            <w:pPr>
              <w:spacing w:line="320" w:lineRule="atLeast"/>
              <w:jc w:val="center"/>
              <w:rPr>
                <w:rFonts w:ascii="华文宋体" w:hAnsi="华文宋体" w:eastAsia="华文宋体"/>
              </w:rPr>
            </w:pPr>
            <w:r>
              <w:rPr>
                <w:rFonts w:hint="eastAsia" w:ascii="华文宋体" w:hAnsi="华文宋体" w:eastAsia="华文宋体"/>
              </w:rPr>
              <w:t>防护  物资</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00B8777D">
            <w:pPr>
              <w:spacing w:line="320" w:lineRule="atLeast"/>
              <w:jc w:val="center"/>
              <w:rPr>
                <w:rFonts w:ascii="华文宋体" w:hAnsi="华文宋体" w:eastAsia="华文宋体"/>
                <w:color w:val="000000"/>
              </w:rPr>
            </w:pPr>
            <w:r>
              <w:rPr>
                <w:rFonts w:hint="eastAsia" w:ascii="华文宋体" w:hAnsi="华文宋体" w:eastAsia="华文宋体"/>
                <w:color w:val="000000"/>
              </w:rPr>
              <w:t>7785</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171D25CD">
            <w:pPr>
              <w:spacing w:line="320" w:lineRule="atLeast"/>
              <w:rPr>
                <w:rFonts w:ascii="华文宋体" w:hAnsi="华文宋体" w:eastAsia="华文宋体"/>
              </w:rPr>
            </w:pPr>
            <w:r>
              <w:rPr>
                <w:rFonts w:hint="eastAsia" w:ascii="华文宋体" w:hAnsi="华文宋体" w:eastAsia="华文宋体"/>
              </w:rPr>
              <w:t>全面罩50个，医用隔离面罩7735个。</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63F917FE">
            <w:pPr>
              <w:spacing w:line="320" w:lineRule="atLeast"/>
              <w:jc w:val="center"/>
              <w:rPr>
                <w:rFonts w:ascii="华文宋体" w:hAnsi="华文宋体" w:eastAsia="华文宋体"/>
              </w:rPr>
            </w:pPr>
            <w:r>
              <w:rPr>
                <w:rFonts w:hint="eastAsia" w:ascii="华文宋体" w:hAnsi="华文宋体" w:eastAsia="华文宋体"/>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1C21E38A">
            <w:pPr>
              <w:spacing w:line="320" w:lineRule="atLeast"/>
              <w:jc w:val="center"/>
              <w:rPr>
                <w:rFonts w:ascii="华文宋体" w:hAnsi="华文宋体" w:eastAsia="华文宋体"/>
              </w:rPr>
            </w:pPr>
            <w:r>
              <w:rPr>
                <w:rFonts w:hint="eastAsia" w:ascii="华文宋体" w:hAnsi="华文宋体" w:eastAsia="华文宋体"/>
              </w:rPr>
              <w:t>1</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0E43F424">
            <w:pPr>
              <w:spacing w:line="320" w:lineRule="atLeast"/>
              <w:jc w:val="center"/>
              <w:rPr>
                <w:rFonts w:ascii="华文宋体" w:hAnsi="华文宋体" w:eastAsia="华文宋体"/>
              </w:rPr>
            </w:pPr>
            <w:r>
              <w:rPr>
                <w:rFonts w:hint="eastAsia" w:ascii="华文宋体" w:hAnsi="华文宋体" w:eastAsia="华文宋体"/>
              </w:rPr>
              <w:t>1</w:t>
            </w:r>
          </w:p>
        </w:tc>
      </w:tr>
      <w:tr w14:paraId="6D99D9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1028" w:type="dxa"/>
            <w:vMerge w:val="continue"/>
            <w:tcBorders>
              <w:top w:val="single" w:color="auto" w:sz="4" w:space="0"/>
              <w:left w:val="single" w:color="auto" w:sz="4" w:space="0"/>
              <w:bottom w:val="single" w:color="auto" w:sz="4" w:space="0"/>
              <w:right w:val="single" w:color="auto" w:sz="4" w:space="0"/>
            </w:tcBorders>
            <w:vAlign w:val="center"/>
          </w:tcPr>
          <w:p w14:paraId="3C9C5AAC">
            <w:pPr>
              <w:spacing w:line="320" w:lineRule="atLeast"/>
              <w:jc w:val="center"/>
              <w:rPr>
                <w:rFonts w:ascii="华文宋体" w:hAnsi="华文宋体" w:eastAsia="华文宋体"/>
              </w:rPr>
            </w:pP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31DD7A36">
            <w:pPr>
              <w:spacing w:line="320" w:lineRule="atLeast"/>
              <w:jc w:val="center"/>
              <w:rPr>
                <w:rFonts w:ascii="华文宋体" w:hAnsi="华文宋体" w:eastAsia="华文宋体"/>
              </w:rPr>
            </w:pPr>
            <w:r>
              <w:rPr>
                <w:rFonts w:hint="eastAsia" w:ascii="华文宋体" w:hAnsi="华文宋体" w:eastAsia="华文宋体"/>
              </w:rPr>
              <w:t>消杀  用品</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4EEEC4FA">
            <w:pPr>
              <w:spacing w:line="320" w:lineRule="atLeast"/>
              <w:jc w:val="center"/>
              <w:rPr>
                <w:rFonts w:ascii="华文宋体" w:hAnsi="华文宋体" w:eastAsia="华文宋体"/>
                <w:color w:val="000000"/>
              </w:rPr>
            </w:pPr>
            <w:r>
              <w:rPr>
                <w:rFonts w:hint="eastAsia" w:ascii="华文宋体" w:hAnsi="华文宋体" w:eastAsia="华文宋体"/>
                <w:color w:val="000000"/>
              </w:rPr>
              <w:t>794</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00F3DF0D">
            <w:pPr>
              <w:spacing w:line="320" w:lineRule="atLeast"/>
              <w:rPr>
                <w:rFonts w:ascii="华文宋体" w:hAnsi="华文宋体" w:eastAsia="华文宋体"/>
              </w:rPr>
            </w:pPr>
            <w:r>
              <w:rPr>
                <w:rFonts w:hint="eastAsia" w:ascii="华文宋体" w:hAnsi="华文宋体" w:eastAsia="华文宋体"/>
              </w:rPr>
              <w:t>95%消毒酒精（500ml）794瓶。</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4C09F7E5">
            <w:pPr>
              <w:spacing w:line="320" w:lineRule="atLeast"/>
              <w:jc w:val="center"/>
              <w:rPr>
                <w:rFonts w:ascii="华文宋体" w:hAnsi="华文宋体" w:eastAsia="华文宋体"/>
              </w:rPr>
            </w:pPr>
            <w:r>
              <w:rPr>
                <w:rFonts w:hint="eastAsia" w:ascii="华文宋体" w:hAnsi="华文宋体" w:eastAsia="华文宋体"/>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351873EB">
            <w:pPr>
              <w:spacing w:line="320" w:lineRule="atLeast"/>
              <w:jc w:val="center"/>
              <w:rPr>
                <w:rFonts w:ascii="华文宋体" w:hAnsi="华文宋体" w:eastAsia="华文宋体"/>
              </w:rPr>
            </w:pPr>
            <w:r>
              <w:rPr>
                <w:rFonts w:hint="eastAsia" w:ascii="华文宋体" w:hAnsi="华文宋体" w:eastAsia="华文宋体"/>
              </w:rPr>
              <w:t>0.5</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5E04CE28">
            <w:pPr>
              <w:spacing w:line="320" w:lineRule="atLeast"/>
              <w:jc w:val="center"/>
              <w:rPr>
                <w:rFonts w:ascii="华文宋体" w:hAnsi="华文宋体" w:eastAsia="华文宋体"/>
              </w:rPr>
            </w:pPr>
            <w:r>
              <w:rPr>
                <w:rFonts w:hint="eastAsia" w:ascii="华文宋体" w:hAnsi="华文宋体" w:eastAsia="华文宋体"/>
              </w:rPr>
              <w:t>0.5</w:t>
            </w:r>
          </w:p>
        </w:tc>
      </w:tr>
      <w:tr w14:paraId="6BF01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26" w:hRule="atLeast"/>
        </w:trPr>
        <w:tc>
          <w:tcPr>
            <w:tcW w:w="10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309195">
            <w:pPr>
              <w:spacing w:line="320" w:lineRule="atLeast"/>
              <w:jc w:val="center"/>
              <w:rPr>
                <w:rFonts w:ascii="华文宋体" w:hAnsi="华文宋体" w:eastAsia="华文宋体"/>
              </w:rPr>
            </w:pPr>
            <w:r>
              <w:rPr>
                <w:rFonts w:hint="eastAsia" w:ascii="华文宋体" w:hAnsi="华文宋体" w:eastAsia="华文宋体"/>
              </w:rPr>
              <w:t>国药控制重庆泰民医药有限公司</w:t>
            </w: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07DB8E0C">
            <w:pPr>
              <w:spacing w:line="320" w:lineRule="atLeast"/>
              <w:jc w:val="center"/>
              <w:rPr>
                <w:rFonts w:ascii="华文宋体" w:hAnsi="华文宋体" w:eastAsia="华文宋体"/>
              </w:rPr>
            </w:pPr>
            <w:r>
              <w:rPr>
                <w:rFonts w:hint="eastAsia" w:ascii="华文宋体" w:hAnsi="华文宋体" w:eastAsia="华文宋体"/>
              </w:rPr>
              <w:t>防护  物资</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1ED0ECCA">
            <w:pPr>
              <w:spacing w:line="320" w:lineRule="atLeast"/>
              <w:jc w:val="center"/>
              <w:rPr>
                <w:rFonts w:ascii="华文宋体" w:hAnsi="华文宋体" w:eastAsia="华文宋体"/>
              </w:rPr>
            </w:pPr>
            <w:r>
              <w:rPr>
                <w:rFonts w:hint="eastAsia" w:ascii="华文宋体" w:hAnsi="华文宋体" w:eastAsia="华文宋体"/>
              </w:rPr>
              <w:t>52336</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3F5D3548">
            <w:pPr>
              <w:spacing w:line="320" w:lineRule="atLeast"/>
              <w:rPr>
                <w:rFonts w:ascii="华文宋体" w:hAnsi="华文宋体" w:eastAsia="华文宋体"/>
              </w:rPr>
            </w:pPr>
            <w:r>
              <w:rPr>
                <w:rFonts w:hint="eastAsia" w:ascii="华文宋体" w:hAnsi="华文宋体" w:eastAsia="华文宋体"/>
              </w:rPr>
              <w:t>紧急物资医用防护服9999件，一次性医用隔离衣18216件，手术衣390件，I'am防疫口罩10000个石墨烯防护口罩995个，耐化学品德工业用模压塑料靴3双，医用护目镜12733个。</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42567FCD">
            <w:pPr>
              <w:spacing w:line="320" w:lineRule="atLeast"/>
              <w:jc w:val="center"/>
              <w:rPr>
                <w:rFonts w:ascii="华文宋体" w:hAnsi="华文宋体" w:eastAsia="华文宋体"/>
              </w:rPr>
            </w:pPr>
            <w:r>
              <w:rPr>
                <w:rFonts w:hint="eastAsia" w:ascii="华文宋体" w:hAnsi="华文宋体" w:eastAsia="华文宋体"/>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66D4DC0F">
            <w:pPr>
              <w:spacing w:line="320" w:lineRule="atLeast"/>
              <w:jc w:val="center"/>
              <w:rPr>
                <w:rFonts w:ascii="华文宋体" w:hAnsi="华文宋体" w:eastAsia="华文宋体"/>
              </w:rPr>
            </w:pPr>
            <w:r>
              <w:rPr>
                <w:rFonts w:hint="eastAsia" w:ascii="华文宋体" w:hAnsi="华文宋体" w:eastAsia="华文宋体"/>
              </w:rPr>
              <w:t>2</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684051D6">
            <w:pPr>
              <w:spacing w:line="320" w:lineRule="atLeast"/>
              <w:jc w:val="center"/>
              <w:rPr>
                <w:rFonts w:ascii="华文宋体" w:hAnsi="华文宋体" w:eastAsia="华文宋体"/>
              </w:rPr>
            </w:pPr>
            <w:r>
              <w:rPr>
                <w:rFonts w:hint="eastAsia" w:ascii="华文宋体" w:hAnsi="华文宋体" w:eastAsia="华文宋体"/>
              </w:rPr>
              <w:t>2</w:t>
            </w:r>
          </w:p>
        </w:tc>
      </w:tr>
      <w:tr w14:paraId="5AB52E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8" w:hRule="atLeast"/>
        </w:trPr>
        <w:tc>
          <w:tcPr>
            <w:tcW w:w="1028" w:type="dxa"/>
            <w:vMerge w:val="continue"/>
            <w:tcBorders>
              <w:top w:val="single" w:color="auto" w:sz="4" w:space="0"/>
              <w:left w:val="single" w:color="auto" w:sz="4" w:space="0"/>
              <w:bottom w:val="single" w:color="auto" w:sz="4" w:space="0"/>
              <w:right w:val="single" w:color="auto" w:sz="4" w:space="0"/>
            </w:tcBorders>
            <w:vAlign w:val="center"/>
          </w:tcPr>
          <w:p w14:paraId="31C5BBF8">
            <w:pPr>
              <w:spacing w:line="320" w:lineRule="atLeast"/>
              <w:jc w:val="center"/>
              <w:rPr>
                <w:rFonts w:ascii="华文宋体" w:hAnsi="华文宋体" w:eastAsia="华文宋体"/>
              </w:rPr>
            </w:pP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73AFE3CB">
            <w:pPr>
              <w:spacing w:line="320" w:lineRule="atLeast"/>
              <w:jc w:val="center"/>
              <w:rPr>
                <w:rFonts w:ascii="华文宋体" w:hAnsi="华文宋体" w:eastAsia="华文宋体"/>
              </w:rPr>
            </w:pPr>
            <w:r>
              <w:rPr>
                <w:rFonts w:hint="eastAsia" w:ascii="华文宋体" w:hAnsi="华文宋体" w:eastAsia="华文宋体"/>
              </w:rPr>
              <w:t>防护  器械</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0A61E8C7">
            <w:pPr>
              <w:spacing w:line="320" w:lineRule="atLeast"/>
              <w:jc w:val="center"/>
              <w:rPr>
                <w:rFonts w:ascii="华文宋体" w:hAnsi="华文宋体" w:eastAsia="华文宋体"/>
              </w:rPr>
            </w:pPr>
            <w:r>
              <w:rPr>
                <w:rFonts w:hint="eastAsia" w:ascii="华文宋体" w:hAnsi="华文宋体" w:eastAsia="华文宋体"/>
              </w:rPr>
              <w:t>347</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40BCA863">
            <w:pPr>
              <w:spacing w:line="320" w:lineRule="atLeast"/>
              <w:rPr>
                <w:rFonts w:ascii="华文宋体" w:hAnsi="华文宋体" w:eastAsia="华文宋体"/>
              </w:rPr>
            </w:pPr>
            <w:r>
              <w:rPr>
                <w:rFonts w:hint="eastAsia" w:ascii="华文宋体" w:hAnsi="华文宋体" w:eastAsia="华文宋体"/>
              </w:rPr>
              <w:t>背负式蓄电池超低容量喷雾机3台，丸山喷雾器341台，红外热成像体温快速筛检仪3台。</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780EB0BB">
            <w:pPr>
              <w:spacing w:line="320" w:lineRule="atLeast"/>
              <w:jc w:val="center"/>
              <w:rPr>
                <w:rFonts w:ascii="华文宋体" w:hAnsi="华文宋体" w:eastAsia="华文宋体"/>
              </w:rPr>
            </w:pPr>
            <w:r>
              <w:rPr>
                <w:rFonts w:hint="eastAsia" w:ascii="华文宋体" w:hAnsi="华文宋体" w:eastAsia="华文宋体"/>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3B76914D">
            <w:pPr>
              <w:spacing w:line="320" w:lineRule="atLeast"/>
              <w:jc w:val="center"/>
              <w:rPr>
                <w:rFonts w:ascii="华文宋体" w:hAnsi="华文宋体" w:eastAsia="华文宋体"/>
              </w:rPr>
            </w:pPr>
            <w:r>
              <w:rPr>
                <w:rFonts w:hint="eastAsia" w:ascii="华文宋体" w:hAnsi="华文宋体" w:eastAsia="华文宋体"/>
              </w:rPr>
              <w:t>1</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302C7224">
            <w:pPr>
              <w:spacing w:line="320" w:lineRule="atLeast"/>
              <w:jc w:val="center"/>
              <w:rPr>
                <w:rFonts w:ascii="华文宋体" w:hAnsi="华文宋体" w:eastAsia="华文宋体"/>
              </w:rPr>
            </w:pPr>
            <w:r>
              <w:rPr>
                <w:rFonts w:hint="eastAsia" w:ascii="华文宋体" w:hAnsi="华文宋体" w:eastAsia="华文宋体"/>
              </w:rPr>
              <w:t>1</w:t>
            </w:r>
          </w:p>
        </w:tc>
      </w:tr>
      <w:tr w14:paraId="63D95F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28" w:type="dxa"/>
            <w:vMerge w:val="continue"/>
            <w:tcBorders>
              <w:top w:val="single" w:color="auto" w:sz="4" w:space="0"/>
              <w:left w:val="single" w:color="auto" w:sz="4" w:space="0"/>
              <w:bottom w:val="single" w:color="auto" w:sz="4" w:space="0"/>
              <w:right w:val="single" w:color="auto" w:sz="4" w:space="0"/>
            </w:tcBorders>
            <w:vAlign w:val="center"/>
          </w:tcPr>
          <w:p w14:paraId="150BE8AE">
            <w:pPr>
              <w:spacing w:line="320" w:lineRule="atLeast"/>
              <w:jc w:val="center"/>
              <w:rPr>
                <w:rFonts w:ascii="华文宋体" w:hAnsi="华文宋体" w:eastAsia="华文宋体"/>
              </w:rPr>
            </w:pP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2BA3DDA2">
            <w:pPr>
              <w:spacing w:line="320" w:lineRule="atLeast"/>
              <w:jc w:val="center"/>
              <w:rPr>
                <w:rFonts w:ascii="华文宋体" w:hAnsi="华文宋体" w:eastAsia="华文宋体"/>
              </w:rPr>
            </w:pPr>
            <w:r>
              <w:rPr>
                <w:rFonts w:hint="eastAsia" w:ascii="华文宋体" w:hAnsi="华文宋体" w:eastAsia="华文宋体"/>
              </w:rPr>
              <w:t>检测  试剂</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274C703F">
            <w:pPr>
              <w:spacing w:line="320" w:lineRule="atLeast"/>
              <w:jc w:val="center"/>
              <w:rPr>
                <w:rFonts w:ascii="华文宋体" w:hAnsi="华文宋体" w:eastAsia="华文宋体"/>
              </w:rPr>
            </w:pPr>
            <w:r>
              <w:rPr>
                <w:rFonts w:hint="eastAsia" w:ascii="华文宋体" w:hAnsi="华文宋体" w:eastAsia="华文宋体"/>
              </w:rPr>
              <w:t>360</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26A06C5E">
            <w:pPr>
              <w:spacing w:line="320" w:lineRule="atLeast"/>
              <w:rPr>
                <w:rFonts w:ascii="华文宋体" w:hAnsi="华文宋体" w:eastAsia="华文宋体"/>
              </w:rPr>
            </w:pPr>
            <w:r>
              <w:rPr>
                <w:rFonts w:hint="eastAsia" w:ascii="华文宋体" w:hAnsi="华文宋体" w:eastAsia="华文宋体"/>
              </w:rPr>
              <w:t>新型冠状病毒免核酸提取RNA检测试剂盒360盒</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7B8375D5">
            <w:pPr>
              <w:spacing w:line="320" w:lineRule="atLeast"/>
              <w:jc w:val="center"/>
              <w:rPr>
                <w:rFonts w:ascii="华文宋体" w:hAnsi="华文宋体" w:eastAsia="华文宋体"/>
              </w:rPr>
            </w:pPr>
            <w:r>
              <w:rPr>
                <w:rFonts w:hint="eastAsia" w:ascii="华文宋体" w:hAnsi="华文宋体" w:eastAsia="华文宋体"/>
              </w:rPr>
              <w:t>完成  及时</w:t>
            </w: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53583E2D">
            <w:pPr>
              <w:spacing w:line="320" w:lineRule="atLeast"/>
              <w:jc w:val="center"/>
              <w:rPr>
                <w:rFonts w:ascii="华文宋体" w:hAnsi="华文宋体" w:eastAsia="华文宋体"/>
              </w:rPr>
            </w:pPr>
            <w:r>
              <w:rPr>
                <w:rFonts w:hint="eastAsia" w:ascii="华文宋体" w:hAnsi="华文宋体" w:eastAsia="华文宋体"/>
              </w:rPr>
              <w:t>1</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0248AD9B">
            <w:pPr>
              <w:spacing w:line="320" w:lineRule="atLeast"/>
              <w:jc w:val="center"/>
              <w:rPr>
                <w:rFonts w:ascii="华文宋体" w:hAnsi="华文宋体" w:eastAsia="华文宋体"/>
              </w:rPr>
            </w:pPr>
            <w:r>
              <w:rPr>
                <w:rFonts w:hint="eastAsia" w:ascii="华文宋体" w:hAnsi="华文宋体" w:eastAsia="华文宋体"/>
              </w:rPr>
              <w:t>1</w:t>
            </w:r>
          </w:p>
        </w:tc>
      </w:tr>
      <w:tr w14:paraId="690746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8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78AE37">
            <w:pPr>
              <w:spacing w:line="320" w:lineRule="atLeast"/>
              <w:jc w:val="center"/>
              <w:rPr>
                <w:rFonts w:ascii="华文宋体" w:hAnsi="华文宋体" w:eastAsia="华文宋体"/>
              </w:rPr>
            </w:pPr>
            <w:r>
              <w:rPr>
                <w:rFonts w:hint="eastAsia" w:ascii="华文宋体" w:hAnsi="华文宋体" w:eastAsia="华文宋体"/>
              </w:rPr>
              <w:t>合计</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14:paraId="146D3CF6">
            <w:pPr>
              <w:spacing w:line="320" w:lineRule="atLeast"/>
              <w:jc w:val="center"/>
              <w:rPr>
                <w:rFonts w:ascii="华文宋体" w:hAnsi="华文宋体" w:eastAsia="华文宋体"/>
              </w:rPr>
            </w:pPr>
            <w:r>
              <w:rPr>
                <w:rFonts w:hint="eastAsia" w:ascii="华文宋体" w:hAnsi="华文宋体" w:eastAsia="华文宋体"/>
              </w:rPr>
              <w:t>582249</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61FEBA7B">
            <w:pPr>
              <w:spacing w:line="320" w:lineRule="atLeast"/>
              <w:jc w:val="center"/>
              <w:rPr>
                <w:rFonts w:ascii="华文宋体" w:hAnsi="华文宋体" w:eastAsia="华文宋体"/>
              </w:rPr>
            </w:pP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4CAA24C5">
            <w:pPr>
              <w:spacing w:line="320" w:lineRule="atLeast"/>
              <w:jc w:val="center"/>
              <w:rPr>
                <w:rFonts w:ascii="华文宋体" w:hAnsi="华文宋体" w:eastAsia="华文宋体"/>
              </w:rPr>
            </w:pPr>
          </w:p>
        </w:tc>
        <w:tc>
          <w:tcPr>
            <w:tcW w:w="577" w:type="dxa"/>
            <w:tcBorders>
              <w:top w:val="single" w:color="auto" w:sz="4" w:space="0"/>
              <w:left w:val="single" w:color="auto" w:sz="4" w:space="0"/>
              <w:bottom w:val="single" w:color="auto" w:sz="4" w:space="0"/>
              <w:right w:val="single" w:color="auto" w:sz="4" w:space="0"/>
            </w:tcBorders>
            <w:shd w:val="clear" w:color="auto" w:fill="auto"/>
            <w:vAlign w:val="center"/>
          </w:tcPr>
          <w:p w14:paraId="55BDCB2E">
            <w:pPr>
              <w:spacing w:line="320" w:lineRule="atLeast"/>
              <w:jc w:val="center"/>
              <w:rPr>
                <w:rFonts w:ascii="华文宋体" w:hAnsi="华文宋体" w:eastAsia="华文宋体"/>
              </w:rPr>
            </w:pPr>
            <w:r>
              <w:rPr>
                <w:rFonts w:hint="eastAsia" w:ascii="华文宋体" w:hAnsi="华文宋体" w:eastAsia="华文宋体"/>
              </w:rPr>
              <w:t>10</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557A0E2F">
            <w:pPr>
              <w:spacing w:line="320" w:lineRule="atLeast"/>
              <w:jc w:val="center"/>
              <w:rPr>
                <w:rFonts w:ascii="华文宋体" w:hAnsi="华文宋体" w:eastAsia="华文宋体"/>
              </w:rPr>
            </w:pPr>
            <w:r>
              <w:rPr>
                <w:rFonts w:hint="eastAsia" w:ascii="华文宋体" w:hAnsi="华文宋体" w:eastAsia="华文宋体"/>
              </w:rPr>
              <w:t>10</w:t>
            </w:r>
          </w:p>
        </w:tc>
      </w:tr>
    </w:tbl>
    <w:p w14:paraId="64339A4B">
      <w:pPr>
        <w:pStyle w:val="15"/>
        <w:tabs>
          <w:tab w:val="center" w:pos="4153"/>
          <w:tab w:val="left" w:pos="7275"/>
        </w:tabs>
        <w:spacing w:line="600" w:lineRule="exact"/>
        <w:ind w:firstLine="480"/>
        <w:rPr>
          <w:rFonts w:ascii="华文宋体" w:hAnsi="华文宋体" w:eastAsia="华文宋体" w:cs="宋体"/>
          <w:sz w:val="24"/>
          <w:szCs w:val="24"/>
        </w:rPr>
      </w:pPr>
    </w:p>
    <w:p w14:paraId="38A89922">
      <w:pPr>
        <w:pStyle w:val="15"/>
        <w:tabs>
          <w:tab w:val="center" w:pos="4153"/>
          <w:tab w:val="left" w:pos="7275"/>
        </w:tabs>
        <w:spacing w:line="600" w:lineRule="exact"/>
        <w:ind w:firstLine="480"/>
        <w:rPr>
          <w:rFonts w:ascii="华文宋体" w:hAnsi="华文宋体" w:eastAsia="华文宋体" w:cs="宋体"/>
          <w:b/>
          <w:kern w:val="0"/>
          <w:sz w:val="24"/>
          <w:szCs w:val="24"/>
        </w:rPr>
      </w:pPr>
      <w:r>
        <w:rPr>
          <w:rFonts w:hint="eastAsia" w:ascii="华文宋体" w:hAnsi="华文宋体" w:eastAsia="华文宋体" w:cs="宋体"/>
          <w:sz w:val="24"/>
          <w:szCs w:val="24"/>
        </w:rPr>
        <w:t>（4）产出成本</w:t>
      </w:r>
    </w:p>
    <w:tbl>
      <w:tblPr>
        <w:tblStyle w:val="9"/>
        <w:tblW w:w="9215" w:type="dxa"/>
        <w:tblInd w:w="-176" w:type="dxa"/>
        <w:tblLayout w:type="fixed"/>
        <w:tblCellMar>
          <w:top w:w="0" w:type="dxa"/>
          <w:left w:w="108" w:type="dxa"/>
          <w:bottom w:w="0" w:type="dxa"/>
          <w:right w:w="108" w:type="dxa"/>
        </w:tblCellMar>
      </w:tblPr>
      <w:tblGrid>
        <w:gridCol w:w="851"/>
        <w:gridCol w:w="709"/>
        <w:gridCol w:w="992"/>
        <w:gridCol w:w="3828"/>
        <w:gridCol w:w="1701"/>
        <w:gridCol w:w="567"/>
        <w:gridCol w:w="567"/>
      </w:tblGrid>
      <w:tr w14:paraId="407F0CE1">
        <w:tblPrEx>
          <w:tblCellMar>
            <w:top w:w="0" w:type="dxa"/>
            <w:left w:w="108" w:type="dxa"/>
            <w:bottom w:w="0" w:type="dxa"/>
            <w:right w:w="108" w:type="dxa"/>
          </w:tblCellMar>
        </w:tblPrEx>
        <w:trPr>
          <w:trHeight w:val="830"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4CB6FACE">
            <w:pPr>
              <w:spacing w:line="320" w:lineRule="atLeast"/>
              <w:jc w:val="center"/>
              <w:rPr>
                <w:rFonts w:ascii="华文宋体" w:hAnsi="华文宋体" w:eastAsia="华文宋体"/>
              </w:rPr>
            </w:pPr>
            <w:r>
              <w:rPr>
                <w:rFonts w:hint="eastAsia" w:ascii="华文宋体" w:hAnsi="华文宋体" w:eastAsia="华文宋体"/>
              </w:rPr>
              <w:t>项目实施单位</w:t>
            </w:r>
          </w:p>
        </w:tc>
        <w:tc>
          <w:tcPr>
            <w:tcW w:w="709" w:type="dxa"/>
            <w:tcBorders>
              <w:top w:val="single" w:color="auto" w:sz="4" w:space="0"/>
              <w:left w:val="nil"/>
              <w:bottom w:val="single" w:color="auto" w:sz="4" w:space="0"/>
              <w:right w:val="single" w:color="auto" w:sz="4" w:space="0"/>
            </w:tcBorders>
            <w:shd w:val="clear" w:color="auto" w:fill="auto"/>
            <w:vAlign w:val="center"/>
          </w:tcPr>
          <w:p w14:paraId="71156CEE">
            <w:pPr>
              <w:spacing w:line="320" w:lineRule="atLeast"/>
              <w:jc w:val="center"/>
              <w:rPr>
                <w:rFonts w:ascii="华文宋体" w:hAnsi="华文宋体" w:eastAsia="华文宋体"/>
              </w:rPr>
            </w:pPr>
            <w:r>
              <w:rPr>
                <w:rFonts w:hint="eastAsia" w:ascii="华文宋体" w:hAnsi="华文宋体" w:eastAsia="华文宋体"/>
              </w:rPr>
              <w:t>储备物资类别</w:t>
            </w:r>
          </w:p>
        </w:tc>
        <w:tc>
          <w:tcPr>
            <w:tcW w:w="992" w:type="dxa"/>
            <w:tcBorders>
              <w:top w:val="single" w:color="auto" w:sz="4" w:space="0"/>
              <w:left w:val="nil"/>
              <w:bottom w:val="single" w:color="auto" w:sz="4" w:space="0"/>
              <w:right w:val="single" w:color="auto" w:sz="4" w:space="0"/>
            </w:tcBorders>
            <w:shd w:val="clear" w:color="auto" w:fill="auto"/>
            <w:vAlign w:val="center"/>
          </w:tcPr>
          <w:p w14:paraId="0F373374">
            <w:pPr>
              <w:spacing w:line="320" w:lineRule="atLeast"/>
              <w:jc w:val="center"/>
              <w:rPr>
                <w:rFonts w:ascii="华文宋体" w:hAnsi="华文宋体" w:eastAsia="华文宋体"/>
              </w:rPr>
            </w:pPr>
            <w:r>
              <w:rPr>
                <w:rFonts w:hint="eastAsia" w:ascii="华文宋体" w:hAnsi="华文宋体" w:eastAsia="华文宋体"/>
              </w:rPr>
              <w:t>储备总数量(个/台/瓶/套）</w:t>
            </w:r>
          </w:p>
        </w:tc>
        <w:tc>
          <w:tcPr>
            <w:tcW w:w="3828" w:type="dxa"/>
            <w:tcBorders>
              <w:top w:val="single" w:color="auto" w:sz="4" w:space="0"/>
              <w:left w:val="nil"/>
              <w:bottom w:val="single" w:color="auto" w:sz="4" w:space="0"/>
              <w:right w:val="single" w:color="auto" w:sz="4" w:space="0"/>
            </w:tcBorders>
            <w:shd w:val="clear" w:color="auto" w:fill="auto"/>
            <w:vAlign w:val="center"/>
          </w:tcPr>
          <w:p w14:paraId="572C8377">
            <w:pPr>
              <w:spacing w:line="320" w:lineRule="atLeast"/>
              <w:jc w:val="center"/>
              <w:rPr>
                <w:rFonts w:ascii="华文宋体" w:hAnsi="华文宋体" w:eastAsia="华文宋体"/>
              </w:rPr>
            </w:pPr>
            <w:r>
              <w:rPr>
                <w:rFonts w:hint="eastAsia" w:ascii="华文宋体" w:hAnsi="华文宋体" w:eastAsia="华文宋体"/>
              </w:rPr>
              <w:t>储备具体数量(个/台/瓶/套）</w:t>
            </w:r>
          </w:p>
        </w:tc>
        <w:tc>
          <w:tcPr>
            <w:tcW w:w="1701" w:type="dxa"/>
            <w:tcBorders>
              <w:top w:val="single" w:color="auto" w:sz="4" w:space="0"/>
              <w:left w:val="nil"/>
              <w:bottom w:val="single" w:color="auto" w:sz="4" w:space="0"/>
              <w:right w:val="single" w:color="auto" w:sz="4" w:space="0"/>
            </w:tcBorders>
            <w:shd w:val="clear" w:color="auto" w:fill="auto"/>
            <w:vAlign w:val="center"/>
          </w:tcPr>
          <w:p w14:paraId="3B17B56F">
            <w:pPr>
              <w:spacing w:line="320" w:lineRule="atLeast"/>
              <w:jc w:val="center"/>
              <w:rPr>
                <w:rFonts w:ascii="华文宋体" w:hAnsi="华文宋体" w:eastAsia="华文宋体"/>
              </w:rPr>
            </w:pPr>
            <w:r>
              <w:rPr>
                <w:rFonts w:hint="eastAsia" w:ascii="华文宋体" w:hAnsi="华文宋体" w:eastAsia="华文宋体"/>
              </w:rPr>
              <w:t>产出成本情况</w:t>
            </w:r>
          </w:p>
        </w:tc>
        <w:tc>
          <w:tcPr>
            <w:tcW w:w="567" w:type="dxa"/>
            <w:tcBorders>
              <w:top w:val="single" w:color="auto" w:sz="4" w:space="0"/>
              <w:left w:val="nil"/>
              <w:bottom w:val="single" w:color="auto" w:sz="4" w:space="0"/>
              <w:right w:val="single" w:color="auto" w:sz="4" w:space="0"/>
            </w:tcBorders>
            <w:shd w:val="clear" w:color="auto" w:fill="auto"/>
            <w:vAlign w:val="center"/>
          </w:tcPr>
          <w:p w14:paraId="256827B7">
            <w:pPr>
              <w:spacing w:line="320" w:lineRule="atLeast"/>
              <w:jc w:val="center"/>
              <w:rPr>
                <w:rFonts w:ascii="华文宋体" w:hAnsi="华文宋体" w:eastAsia="华文宋体"/>
              </w:rPr>
            </w:pPr>
            <w:r>
              <w:rPr>
                <w:rFonts w:hint="eastAsia" w:ascii="华文宋体" w:hAnsi="华文宋体" w:eastAsia="华文宋体"/>
              </w:rPr>
              <w:t>标准分</w:t>
            </w:r>
          </w:p>
        </w:tc>
        <w:tc>
          <w:tcPr>
            <w:tcW w:w="567" w:type="dxa"/>
            <w:tcBorders>
              <w:top w:val="single" w:color="auto" w:sz="4" w:space="0"/>
              <w:left w:val="nil"/>
              <w:bottom w:val="single" w:color="auto" w:sz="4" w:space="0"/>
              <w:right w:val="single" w:color="auto" w:sz="4" w:space="0"/>
            </w:tcBorders>
            <w:shd w:val="clear" w:color="auto" w:fill="auto"/>
            <w:vAlign w:val="center"/>
          </w:tcPr>
          <w:p w14:paraId="7DC0238B">
            <w:pPr>
              <w:spacing w:line="320" w:lineRule="atLeast"/>
              <w:jc w:val="center"/>
              <w:rPr>
                <w:rFonts w:ascii="华文宋体" w:hAnsi="华文宋体" w:eastAsia="华文宋体"/>
              </w:rPr>
            </w:pPr>
            <w:r>
              <w:rPr>
                <w:rFonts w:hint="eastAsia" w:ascii="华文宋体" w:hAnsi="华文宋体" w:eastAsia="华文宋体"/>
              </w:rPr>
              <w:t>实际得分</w:t>
            </w:r>
          </w:p>
        </w:tc>
      </w:tr>
      <w:tr w14:paraId="1FE6B023">
        <w:tblPrEx>
          <w:tblCellMar>
            <w:top w:w="0" w:type="dxa"/>
            <w:left w:w="108" w:type="dxa"/>
            <w:bottom w:w="0" w:type="dxa"/>
            <w:right w:w="108" w:type="dxa"/>
          </w:tblCellMar>
        </w:tblPrEx>
        <w:trPr>
          <w:trHeight w:val="1850"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EF1984">
            <w:pPr>
              <w:spacing w:line="320" w:lineRule="atLeast"/>
              <w:jc w:val="center"/>
              <w:rPr>
                <w:rFonts w:ascii="华文宋体" w:hAnsi="华文宋体" w:eastAsia="华文宋体"/>
              </w:rPr>
            </w:pPr>
            <w:r>
              <w:rPr>
                <w:rFonts w:hint="eastAsia" w:ascii="华文宋体" w:hAnsi="华文宋体" w:eastAsia="华文宋体"/>
              </w:rPr>
              <w:t>南岸区基层医疗卫生服务管理中心</w:t>
            </w:r>
          </w:p>
        </w:tc>
        <w:tc>
          <w:tcPr>
            <w:tcW w:w="709" w:type="dxa"/>
            <w:tcBorders>
              <w:top w:val="single" w:color="auto" w:sz="4" w:space="0"/>
              <w:left w:val="nil"/>
              <w:bottom w:val="single" w:color="auto" w:sz="4" w:space="0"/>
              <w:right w:val="single" w:color="auto" w:sz="4" w:space="0"/>
            </w:tcBorders>
            <w:shd w:val="clear" w:color="auto" w:fill="auto"/>
            <w:vAlign w:val="center"/>
          </w:tcPr>
          <w:p w14:paraId="245A99C6">
            <w:pPr>
              <w:spacing w:line="320" w:lineRule="atLeast"/>
              <w:jc w:val="center"/>
              <w:rPr>
                <w:rFonts w:ascii="华文宋体" w:hAnsi="华文宋体" w:eastAsia="华文宋体"/>
              </w:rPr>
            </w:pPr>
            <w:r>
              <w:rPr>
                <w:rFonts w:hint="eastAsia" w:ascii="华文宋体" w:hAnsi="华文宋体" w:eastAsia="华文宋体"/>
              </w:rPr>
              <w:t>防护 物资</w:t>
            </w:r>
          </w:p>
        </w:tc>
        <w:tc>
          <w:tcPr>
            <w:tcW w:w="992" w:type="dxa"/>
            <w:tcBorders>
              <w:top w:val="single" w:color="auto" w:sz="4" w:space="0"/>
              <w:left w:val="nil"/>
              <w:bottom w:val="single" w:color="auto" w:sz="4" w:space="0"/>
              <w:right w:val="single" w:color="auto" w:sz="4" w:space="0"/>
            </w:tcBorders>
            <w:shd w:val="clear" w:color="auto" w:fill="auto"/>
            <w:vAlign w:val="center"/>
          </w:tcPr>
          <w:p w14:paraId="52515513">
            <w:pPr>
              <w:spacing w:line="320" w:lineRule="atLeast"/>
              <w:jc w:val="center"/>
              <w:rPr>
                <w:rFonts w:ascii="华文宋体" w:hAnsi="华文宋体" w:eastAsia="华文宋体"/>
              </w:rPr>
            </w:pPr>
            <w:r>
              <w:rPr>
                <w:rFonts w:hint="eastAsia" w:ascii="华文宋体" w:hAnsi="华文宋体" w:eastAsia="华文宋体"/>
              </w:rPr>
              <w:t>509745</w:t>
            </w:r>
          </w:p>
        </w:tc>
        <w:tc>
          <w:tcPr>
            <w:tcW w:w="3828" w:type="dxa"/>
            <w:tcBorders>
              <w:top w:val="single" w:color="auto" w:sz="4" w:space="0"/>
              <w:left w:val="nil"/>
              <w:bottom w:val="single" w:color="auto" w:sz="4" w:space="0"/>
              <w:right w:val="single" w:color="auto" w:sz="4" w:space="0"/>
            </w:tcBorders>
            <w:shd w:val="clear" w:color="auto" w:fill="auto"/>
            <w:vAlign w:val="center"/>
          </w:tcPr>
          <w:p w14:paraId="6988F76F">
            <w:pPr>
              <w:spacing w:line="320" w:lineRule="atLeast"/>
              <w:rPr>
                <w:rFonts w:ascii="华文宋体" w:hAnsi="华文宋体" w:eastAsia="华文宋体"/>
              </w:rPr>
            </w:pPr>
            <w:r>
              <w:rPr>
                <w:rFonts w:hint="eastAsia" w:ascii="华文宋体" w:hAnsi="华文宋体" w:eastAsia="华文宋体"/>
              </w:rPr>
              <w:t>医用防护口罩18000个，医用外科口罩300000个，一次性防护面罩3000个，防雾护目镜800个，医用防护服5000件，医用隔离医40000件，一次性使用灭菌橡胶外科手套30935双，医用检查手套20000双，医用工作帽60000个，长筒靴套7000双，一次性保护鞋套25000双，正压头盔10个</w:t>
            </w:r>
          </w:p>
        </w:tc>
        <w:tc>
          <w:tcPr>
            <w:tcW w:w="1701" w:type="dxa"/>
            <w:tcBorders>
              <w:top w:val="single" w:color="auto" w:sz="4" w:space="0"/>
              <w:left w:val="nil"/>
              <w:bottom w:val="single" w:color="auto" w:sz="4" w:space="0"/>
              <w:right w:val="single" w:color="auto" w:sz="4" w:space="0"/>
            </w:tcBorders>
            <w:shd w:val="clear" w:color="auto" w:fill="auto"/>
            <w:vAlign w:val="center"/>
          </w:tcPr>
          <w:p w14:paraId="0D40FE2D">
            <w:pPr>
              <w:spacing w:line="320" w:lineRule="atLeast"/>
              <w:jc w:val="center"/>
              <w:rPr>
                <w:rFonts w:ascii="华文宋体" w:hAnsi="华文宋体" w:eastAsia="华文宋体"/>
              </w:rPr>
            </w:pPr>
            <w:r>
              <w:rPr>
                <w:rFonts w:hint="eastAsia" w:ascii="华文宋体" w:hAnsi="华文宋体" w:eastAsia="华文宋体"/>
              </w:rPr>
              <w:t>计划成本165.52万元，实际成本165.52万元，未超出计划成本。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73326D6C">
            <w:pPr>
              <w:spacing w:line="320" w:lineRule="atLeast"/>
              <w:jc w:val="center"/>
              <w:rPr>
                <w:rFonts w:ascii="华文宋体" w:hAnsi="华文宋体" w:eastAsia="华文宋体"/>
              </w:rPr>
            </w:pPr>
            <w:r>
              <w:rPr>
                <w:rFonts w:hint="eastAsia" w:ascii="华文宋体" w:hAnsi="华文宋体" w:eastAsia="华文宋体"/>
              </w:rPr>
              <w:t>1</w:t>
            </w:r>
          </w:p>
        </w:tc>
        <w:tc>
          <w:tcPr>
            <w:tcW w:w="567" w:type="dxa"/>
            <w:tcBorders>
              <w:top w:val="single" w:color="auto" w:sz="4" w:space="0"/>
              <w:left w:val="nil"/>
              <w:bottom w:val="single" w:color="auto" w:sz="4" w:space="0"/>
              <w:right w:val="single" w:color="auto" w:sz="4" w:space="0"/>
            </w:tcBorders>
            <w:shd w:val="clear" w:color="auto" w:fill="auto"/>
            <w:vAlign w:val="center"/>
          </w:tcPr>
          <w:p w14:paraId="5F9FDB21">
            <w:pPr>
              <w:spacing w:line="320" w:lineRule="atLeast"/>
              <w:jc w:val="center"/>
              <w:rPr>
                <w:rFonts w:ascii="华文宋体" w:hAnsi="华文宋体" w:eastAsia="华文宋体"/>
              </w:rPr>
            </w:pPr>
            <w:r>
              <w:rPr>
                <w:rFonts w:hint="eastAsia" w:ascii="华文宋体" w:hAnsi="华文宋体" w:eastAsia="华文宋体"/>
              </w:rPr>
              <w:t>1</w:t>
            </w:r>
          </w:p>
        </w:tc>
      </w:tr>
      <w:tr w14:paraId="4A37EFA9">
        <w:tblPrEx>
          <w:tblCellMar>
            <w:top w:w="0" w:type="dxa"/>
            <w:left w:w="108" w:type="dxa"/>
            <w:bottom w:w="0" w:type="dxa"/>
            <w:right w:w="108" w:type="dxa"/>
          </w:tblCellMar>
        </w:tblPrEx>
        <w:trPr>
          <w:trHeight w:val="90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23CD7DA1">
            <w:pPr>
              <w:spacing w:line="320" w:lineRule="atLeast"/>
              <w:jc w:val="center"/>
              <w:rPr>
                <w:rFonts w:ascii="华文宋体" w:hAnsi="华文宋体" w:eastAsia="华文宋体"/>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4D4068F">
            <w:pPr>
              <w:spacing w:line="320" w:lineRule="atLeast"/>
              <w:jc w:val="center"/>
              <w:rPr>
                <w:rFonts w:ascii="华文宋体" w:hAnsi="华文宋体" w:eastAsia="华文宋体"/>
              </w:rPr>
            </w:pPr>
            <w:r>
              <w:rPr>
                <w:rFonts w:hint="eastAsia" w:ascii="华文宋体" w:hAnsi="华文宋体" w:eastAsia="华文宋体"/>
              </w:rPr>
              <w:t>消杀 用品</w:t>
            </w:r>
          </w:p>
        </w:tc>
        <w:tc>
          <w:tcPr>
            <w:tcW w:w="992" w:type="dxa"/>
            <w:tcBorders>
              <w:top w:val="single" w:color="auto" w:sz="4" w:space="0"/>
              <w:left w:val="nil"/>
              <w:bottom w:val="single" w:color="auto" w:sz="4" w:space="0"/>
              <w:right w:val="single" w:color="auto" w:sz="4" w:space="0"/>
            </w:tcBorders>
            <w:shd w:val="clear" w:color="auto" w:fill="auto"/>
            <w:vAlign w:val="center"/>
          </w:tcPr>
          <w:p w14:paraId="2CACA7A0">
            <w:pPr>
              <w:spacing w:line="320" w:lineRule="atLeast"/>
              <w:jc w:val="center"/>
              <w:rPr>
                <w:rFonts w:ascii="华文宋体" w:hAnsi="华文宋体" w:eastAsia="华文宋体"/>
              </w:rPr>
            </w:pPr>
            <w:r>
              <w:rPr>
                <w:rFonts w:hint="eastAsia" w:ascii="华文宋体" w:hAnsi="华文宋体" w:eastAsia="华文宋体"/>
              </w:rPr>
              <w:t>8800</w:t>
            </w:r>
          </w:p>
        </w:tc>
        <w:tc>
          <w:tcPr>
            <w:tcW w:w="3828" w:type="dxa"/>
            <w:tcBorders>
              <w:top w:val="single" w:color="auto" w:sz="4" w:space="0"/>
              <w:left w:val="nil"/>
              <w:bottom w:val="single" w:color="auto" w:sz="4" w:space="0"/>
              <w:right w:val="single" w:color="auto" w:sz="4" w:space="0"/>
            </w:tcBorders>
            <w:shd w:val="clear" w:color="auto" w:fill="auto"/>
            <w:vAlign w:val="center"/>
          </w:tcPr>
          <w:p w14:paraId="31C62B5E">
            <w:pPr>
              <w:spacing w:line="320" w:lineRule="atLeast"/>
              <w:jc w:val="center"/>
              <w:rPr>
                <w:rFonts w:ascii="华文宋体" w:hAnsi="华文宋体" w:eastAsia="华文宋体"/>
              </w:rPr>
            </w:pPr>
            <w:r>
              <w:rPr>
                <w:rFonts w:hint="eastAsia" w:ascii="华文宋体" w:hAnsi="华文宋体" w:eastAsia="华文宋体"/>
              </w:rPr>
              <w:t>速干手消毒液4000瓶，医用酒精1000瓶，泡腾消毒片2000瓶，季铵盐消毒湿巾1500包，优氯净300盒。</w:t>
            </w:r>
          </w:p>
        </w:tc>
        <w:tc>
          <w:tcPr>
            <w:tcW w:w="1701" w:type="dxa"/>
            <w:tcBorders>
              <w:top w:val="single" w:color="auto" w:sz="4" w:space="0"/>
              <w:left w:val="nil"/>
              <w:bottom w:val="single" w:color="auto" w:sz="4" w:space="0"/>
              <w:right w:val="single" w:color="auto" w:sz="4" w:space="0"/>
            </w:tcBorders>
            <w:shd w:val="clear" w:color="auto" w:fill="auto"/>
            <w:vAlign w:val="center"/>
          </w:tcPr>
          <w:p w14:paraId="6AEA3964">
            <w:pPr>
              <w:spacing w:line="320" w:lineRule="atLeast"/>
              <w:jc w:val="center"/>
              <w:rPr>
                <w:rFonts w:ascii="华文宋体" w:hAnsi="华文宋体" w:eastAsia="华文宋体"/>
              </w:rPr>
            </w:pPr>
            <w:r>
              <w:rPr>
                <w:rFonts w:hint="eastAsia" w:ascii="华文宋体" w:hAnsi="华文宋体" w:eastAsia="华文宋体"/>
              </w:rPr>
              <w:t>计划成本9.73万元，实际成本9.73万元，未超出计划成本。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21744FC4">
            <w:pPr>
              <w:spacing w:line="320" w:lineRule="atLeast"/>
              <w:jc w:val="center"/>
              <w:rPr>
                <w:rFonts w:ascii="华文宋体" w:hAnsi="华文宋体" w:eastAsia="华文宋体"/>
              </w:rPr>
            </w:pPr>
            <w:r>
              <w:rPr>
                <w:rFonts w:hint="eastAsia" w:ascii="华文宋体" w:hAnsi="华文宋体" w:eastAsia="华文宋体"/>
              </w:rPr>
              <w:t>1</w:t>
            </w:r>
          </w:p>
        </w:tc>
        <w:tc>
          <w:tcPr>
            <w:tcW w:w="567" w:type="dxa"/>
            <w:tcBorders>
              <w:top w:val="single" w:color="auto" w:sz="4" w:space="0"/>
              <w:left w:val="nil"/>
              <w:bottom w:val="single" w:color="auto" w:sz="4" w:space="0"/>
              <w:right w:val="single" w:color="auto" w:sz="4" w:space="0"/>
            </w:tcBorders>
            <w:shd w:val="clear" w:color="auto" w:fill="auto"/>
            <w:vAlign w:val="center"/>
          </w:tcPr>
          <w:p w14:paraId="415C0020">
            <w:pPr>
              <w:spacing w:line="320" w:lineRule="atLeast"/>
              <w:jc w:val="center"/>
              <w:rPr>
                <w:rFonts w:ascii="华文宋体" w:hAnsi="华文宋体" w:eastAsia="华文宋体"/>
              </w:rPr>
            </w:pPr>
            <w:r>
              <w:rPr>
                <w:rFonts w:hint="eastAsia" w:ascii="华文宋体" w:hAnsi="华文宋体" w:eastAsia="华文宋体"/>
              </w:rPr>
              <w:t>1</w:t>
            </w:r>
          </w:p>
        </w:tc>
      </w:tr>
      <w:tr w14:paraId="6C6BB7A9">
        <w:tblPrEx>
          <w:tblCellMar>
            <w:top w:w="0" w:type="dxa"/>
            <w:left w:w="108" w:type="dxa"/>
            <w:bottom w:w="0" w:type="dxa"/>
            <w:right w:w="108" w:type="dxa"/>
          </w:tblCellMar>
        </w:tblPrEx>
        <w:trPr>
          <w:trHeight w:val="105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0B6B8BE1">
            <w:pPr>
              <w:spacing w:line="320" w:lineRule="atLeast"/>
              <w:jc w:val="center"/>
              <w:rPr>
                <w:rFonts w:ascii="华文宋体" w:hAnsi="华文宋体" w:eastAsia="华文宋体"/>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88E4012">
            <w:pPr>
              <w:spacing w:line="320" w:lineRule="atLeast"/>
              <w:jc w:val="center"/>
              <w:rPr>
                <w:rFonts w:ascii="华文宋体" w:hAnsi="华文宋体" w:eastAsia="华文宋体"/>
              </w:rPr>
            </w:pPr>
            <w:r>
              <w:rPr>
                <w:rFonts w:hint="eastAsia" w:ascii="华文宋体" w:hAnsi="华文宋体" w:eastAsia="华文宋体"/>
              </w:rPr>
              <w:t>防护 器械</w:t>
            </w:r>
          </w:p>
        </w:tc>
        <w:tc>
          <w:tcPr>
            <w:tcW w:w="992" w:type="dxa"/>
            <w:tcBorders>
              <w:top w:val="single" w:color="auto" w:sz="4" w:space="0"/>
              <w:left w:val="nil"/>
              <w:bottom w:val="single" w:color="auto" w:sz="4" w:space="0"/>
              <w:right w:val="single" w:color="auto" w:sz="4" w:space="0"/>
            </w:tcBorders>
            <w:shd w:val="clear" w:color="auto" w:fill="auto"/>
            <w:vAlign w:val="center"/>
          </w:tcPr>
          <w:p w14:paraId="7CEE160E">
            <w:pPr>
              <w:spacing w:line="320" w:lineRule="atLeast"/>
              <w:jc w:val="center"/>
              <w:rPr>
                <w:rFonts w:ascii="华文宋体" w:hAnsi="华文宋体" w:eastAsia="华文宋体"/>
              </w:rPr>
            </w:pPr>
            <w:r>
              <w:rPr>
                <w:rFonts w:hint="eastAsia" w:ascii="华文宋体" w:hAnsi="华文宋体" w:eastAsia="华文宋体"/>
              </w:rPr>
              <w:t>1077</w:t>
            </w:r>
          </w:p>
        </w:tc>
        <w:tc>
          <w:tcPr>
            <w:tcW w:w="3828" w:type="dxa"/>
            <w:tcBorders>
              <w:top w:val="single" w:color="auto" w:sz="4" w:space="0"/>
              <w:left w:val="nil"/>
              <w:bottom w:val="single" w:color="auto" w:sz="4" w:space="0"/>
              <w:right w:val="single" w:color="auto" w:sz="4" w:space="0"/>
            </w:tcBorders>
            <w:shd w:val="clear" w:color="auto" w:fill="auto"/>
            <w:vAlign w:val="center"/>
          </w:tcPr>
          <w:p w14:paraId="1987C993">
            <w:pPr>
              <w:spacing w:line="320" w:lineRule="atLeast"/>
              <w:jc w:val="center"/>
              <w:rPr>
                <w:rFonts w:ascii="华文宋体" w:hAnsi="华文宋体" w:eastAsia="华文宋体"/>
              </w:rPr>
            </w:pPr>
            <w:r>
              <w:rPr>
                <w:rFonts w:hint="eastAsia" w:ascii="华文宋体" w:hAnsi="华文宋体" w:eastAsia="华文宋体"/>
              </w:rPr>
              <w:t>手持式红外线测温仪500个，红外热成像仪1台，正压滤盒5个，正压头套20个，正压送风系统1台，玻璃体温计500支，生物安全运输箱50个。</w:t>
            </w:r>
          </w:p>
        </w:tc>
        <w:tc>
          <w:tcPr>
            <w:tcW w:w="1701" w:type="dxa"/>
            <w:tcBorders>
              <w:top w:val="single" w:color="auto" w:sz="4" w:space="0"/>
              <w:left w:val="nil"/>
              <w:bottom w:val="single" w:color="auto" w:sz="4" w:space="0"/>
              <w:right w:val="single" w:color="auto" w:sz="4" w:space="0"/>
            </w:tcBorders>
            <w:shd w:val="clear" w:color="auto" w:fill="auto"/>
            <w:vAlign w:val="center"/>
          </w:tcPr>
          <w:p w14:paraId="4E7D26B5">
            <w:pPr>
              <w:spacing w:line="320" w:lineRule="atLeast"/>
              <w:jc w:val="center"/>
              <w:rPr>
                <w:rFonts w:ascii="华文宋体" w:hAnsi="华文宋体" w:eastAsia="华文宋体"/>
              </w:rPr>
            </w:pPr>
            <w:r>
              <w:rPr>
                <w:rFonts w:hint="eastAsia" w:ascii="华文宋体" w:hAnsi="华文宋体" w:eastAsia="华文宋体"/>
              </w:rPr>
              <w:t>计划成本19.91万元，实际成本19.91万元，未超出计划成本。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77C5F8DF">
            <w:pPr>
              <w:spacing w:line="320" w:lineRule="atLeast"/>
              <w:jc w:val="center"/>
              <w:rPr>
                <w:rFonts w:ascii="华文宋体" w:hAnsi="华文宋体" w:eastAsia="华文宋体"/>
              </w:rPr>
            </w:pPr>
            <w:r>
              <w:rPr>
                <w:rFonts w:hint="eastAsia" w:ascii="华文宋体" w:hAnsi="华文宋体" w:eastAsia="华文宋体"/>
              </w:rPr>
              <w:t>1</w:t>
            </w:r>
          </w:p>
        </w:tc>
        <w:tc>
          <w:tcPr>
            <w:tcW w:w="567" w:type="dxa"/>
            <w:tcBorders>
              <w:top w:val="single" w:color="auto" w:sz="4" w:space="0"/>
              <w:left w:val="nil"/>
              <w:bottom w:val="single" w:color="auto" w:sz="4" w:space="0"/>
              <w:right w:val="single" w:color="auto" w:sz="4" w:space="0"/>
            </w:tcBorders>
            <w:shd w:val="clear" w:color="auto" w:fill="auto"/>
            <w:vAlign w:val="center"/>
          </w:tcPr>
          <w:p w14:paraId="539A6E31">
            <w:pPr>
              <w:spacing w:line="320" w:lineRule="atLeast"/>
              <w:jc w:val="center"/>
              <w:rPr>
                <w:rFonts w:ascii="华文宋体" w:hAnsi="华文宋体" w:eastAsia="华文宋体"/>
              </w:rPr>
            </w:pPr>
            <w:r>
              <w:rPr>
                <w:rFonts w:hint="eastAsia" w:ascii="华文宋体" w:hAnsi="华文宋体" w:eastAsia="华文宋体"/>
              </w:rPr>
              <w:t>1</w:t>
            </w:r>
          </w:p>
        </w:tc>
      </w:tr>
      <w:tr w14:paraId="7E2ECA6B">
        <w:tblPrEx>
          <w:tblCellMar>
            <w:top w:w="0" w:type="dxa"/>
            <w:left w:w="108" w:type="dxa"/>
            <w:bottom w:w="0" w:type="dxa"/>
            <w:right w:w="108" w:type="dxa"/>
          </w:tblCellMar>
        </w:tblPrEx>
        <w:trPr>
          <w:trHeight w:val="89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7476635E">
            <w:pPr>
              <w:spacing w:line="320" w:lineRule="atLeast"/>
              <w:jc w:val="center"/>
              <w:rPr>
                <w:rFonts w:ascii="华文宋体" w:hAnsi="华文宋体" w:eastAsia="华文宋体"/>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4198526">
            <w:pPr>
              <w:spacing w:line="320" w:lineRule="atLeast"/>
              <w:jc w:val="center"/>
              <w:rPr>
                <w:rFonts w:ascii="华文宋体" w:hAnsi="华文宋体" w:eastAsia="华文宋体"/>
              </w:rPr>
            </w:pPr>
            <w:r>
              <w:rPr>
                <w:rFonts w:hint="eastAsia" w:ascii="华文宋体" w:hAnsi="华文宋体" w:eastAsia="华文宋体"/>
              </w:rPr>
              <w:t xml:space="preserve">检测 试剂      </w:t>
            </w:r>
          </w:p>
        </w:tc>
        <w:tc>
          <w:tcPr>
            <w:tcW w:w="992" w:type="dxa"/>
            <w:tcBorders>
              <w:top w:val="single" w:color="auto" w:sz="4" w:space="0"/>
              <w:left w:val="nil"/>
              <w:bottom w:val="single" w:color="auto" w:sz="4" w:space="0"/>
              <w:right w:val="single" w:color="auto" w:sz="4" w:space="0"/>
            </w:tcBorders>
            <w:shd w:val="clear" w:color="auto" w:fill="auto"/>
            <w:vAlign w:val="center"/>
          </w:tcPr>
          <w:p w14:paraId="58FA1EA7">
            <w:pPr>
              <w:spacing w:line="320" w:lineRule="atLeast"/>
              <w:jc w:val="center"/>
              <w:rPr>
                <w:rFonts w:ascii="华文宋体" w:hAnsi="华文宋体" w:eastAsia="华文宋体"/>
              </w:rPr>
            </w:pPr>
            <w:r>
              <w:rPr>
                <w:rFonts w:hint="eastAsia" w:ascii="华文宋体" w:hAnsi="华文宋体" w:eastAsia="华文宋体"/>
              </w:rPr>
              <w:t>1000</w:t>
            </w:r>
          </w:p>
        </w:tc>
        <w:tc>
          <w:tcPr>
            <w:tcW w:w="3828" w:type="dxa"/>
            <w:tcBorders>
              <w:top w:val="single" w:color="auto" w:sz="4" w:space="0"/>
              <w:left w:val="nil"/>
              <w:bottom w:val="single" w:color="auto" w:sz="4" w:space="0"/>
              <w:right w:val="single" w:color="auto" w:sz="4" w:space="0"/>
            </w:tcBorders>
            <w:shd w:val="clear" w:color="auto" w:fill="auto"/>
            <w:vAlign w:val="center"/>
          </w:tcPr>
          <w:p w14:paraId="55D2E3C9">
            <w:pPr>
              <w:spacing w:line="320" w:lineRule="atLeast"/>
              <w:jc w:val="center"/>
              <w:rPr>
                <w:rFonts w:ascii="华文宋体" w:hAnsi="华文宋体" w:eastAsia="华文宋体"/>
              </w:rPr>
            </w:pPr>
            <w:r>
              <w:rPr>
                <w:rFonts w:hint="eastAsia" w:ascii="华文宋体" w:hAnsi="华文宋体" w:eastAsia="华文宋体"/>
              </w:rPr>
              <w:t xml:space="preserve">一次性使用病毒采样管（非灭活）500支，1:10混检病毒采样管（非灭活）500支， </w:t>
            </w:r>
          </w:p>
        </w:tc>
        <w:tc>
          <w:tcPr>
            <w:tcW w:w="1701" w:type="dxa"/>
            <w:tcBorders>
              <w:top w:val="single" w:color="auto" w:sz="4" w:space="0"/>
              <w:left w:val="nil"/>
              <w:bottom w:val="single" w:color="auto" w:sz="4" w:space="0"/>
              <w:right w:val="single" w:color="auto" w:sz="4" w:space="0"/>
            </w:tcBorders>
            <w:shd w:val="clear" w:color="auto" w:fill="auto"/>
            <w:vAlign w:val="center"/>
          </w:tcPr>
          <w:p w14:paraId="70C1BC48">
            <w:pPr>
              <w:spacing w:line="320" w:lineRule="atLeast"/>
              <w:jc w:val="center"/>
              <w:rPr>
                <w:rFonts w:ascii="华文宋体" w:hAnsi="华文宋体" w:eastAsia="华文宋体"/>
              </w:rPr>
            </w:pPr>
            <w:r>
              <w:rPr>
                <w:rFonts w:hint="eastAsia" w:ascii="华文宋体" w:hAnsi="华文宋体" w:eastAsia="华文宋体"/>
              </w:rPr>
              <w:t>计划成本0.84万元，实际成本0.84万元，未超出计划成本。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400E4889">
            <w:pPr>
              <w:spacing w:line="320" w:lineRule="atLeast"/>
              <w:jc w:val="center"/>
              <w:rPr>
                <w:rFonts w:ascii="华文宋体" w:hAnsi="华文宋体" w:eastAsia="华文宋体"/>
              </w:rPr>
            </w:pPr>
            <w:r>
              <w:rPr>
                <w:rFonts w:hint="eastAsia" w:ascii="华文宋体" w:hAnsi="华文宋体" w:eastAsia="华文宋体"/>
              </w:rPr>
              <w:t>1</w:t>
            </w:r>
          </w:p>
        </w:tc>
        <w:tc>
          <w:tcPr>
            <w:tcW w:w="567" w:type="dxa"/>
            <w:tcBorders>
              <w:top w:val="single" w:color="auto" w:sz="4" w:space="0"/>
              <w:left w:val="nil"/>
              <w:bottom w:val="single" w:color="auto" w:sz="4" w:space="0"/>
              <w:right w:val="single" w:color="auto" w:sz="4" w:space="0"/>
            </w:tcBorders>
            <w:shd w:val="clear" w:color="auto" w:fill="auto"/>
            <w:vAlign w:val="center"/>
          </w:tcPr>
          <w:p w14:paraId="7CA4E956">
            <w:pPr>
              <w:spacing w:line="320" w:lineRule="atLeast"/>
              <w:jc w:val="center"/>
              <w:rPr>
                <w:rFonts w:ascii="华文宋体" w:hAnsi="华文宋体" w:eastAsia="华文宋体"/>
              </w:rPr>
            </w:pPr>
            <w:r>
              <w:rPr>
                <w:rFonts w:hint="eastAsia" w:ascii="华文宋体" w:hAnsi="华文宋体" w:eastAsia="华文宋体"/>
              </w:rPr>
              <w:t>1</w:t>
            </w:r>
          </w:p>
        </w:tc>
      </w:tr>
      <w:tr w14:paraId="0E8DC2D8">
        <w:tblPrEx>
          <w:tblCellMar>
            <w:top w:w="0" w:type="dxa"/>
            <w:left w:w="108" w:type="dxa"/>
            <w:bottom w:w="0" w:type="dxa"/>
            <w:right w:w="108" w:type="dxa"/>
          </w:tblCellMar>
        </w:tblPrEx>
        <w:trPr>
          <w:trHeight w:val="680"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25ECF2">
            <w:pPr>
              <w:spacing w:line="320" w:lineRule="atLeast"/>
              <w:jc w:val="center"/>
              <w:rPr>
                <w:rFonts w:ascii="华文宋体" w:hAnsi="华文宋体" w:eastAsia="华文宋体"/>
              </w:rPr>
            </w:pPr>
            <w:r>
              <w:rPr>
                <w:rFonts w:hint="eastAsia" w:ascii="华文宋体" w:hAnsi="华文宋体" w:eastAsia="华文宋体"/>
              </w:rPr>
              <w:t>国药控股重庆医疗器械公司</w:t>
            </w:r>
          </w:p>
        </w:tc>
        <w:tc>
          <w:tcPr>
            <w:tcW w:w="709" w:type="dxa"/>
            <w:tcBorders>
              <w:top w:val="single" w:color="auto" w:sz="4" w:space="0"/>
              <w:left w:val="nil"/>
              <w:bottom w:val="single" w:color="auto" w:sz="4" w:space="0"/>
              <w:right w:val="single" w:color="auto" w:sz="4" w:space="0"/>
            </w:tcBorders>
            <w:shd w:val="clear" w:color="auto" w:fill="auto"/>
            <w:vAlign w:val="center"/>
          </w:tcPr>
          <w:p w14:paraId="2A269951">
            <w:pPr>
              <w:spacing w:line="320" w:lineRule="atLeast"/>
              <w:jc w:val="center"/>
              <w:rPr>
                <w:rFonts w:ascii="华文宋体" w:hAnsi="华文宋体" w:eastAsia="华文宋体"/>
              </w:rPr>
            </w:pPr>
            <w:r>
              <w:rPr>
                <w:rFonts w:hint="eastAsia" w:ascii="华文宋体" w:hAnsi="华文宋体" w:eastAsia="华文宋体"/>
              </w:rPr>
              <w:t>防护 器械</w:t>
            </w:r>
          </w:p>
        </w:tc>
        <w:tc>
          <w:tcPr>
            <w:tcW w:w="992" w:type="dxa"/>
            <w:tcBorders>
              <w:top w:val="single" w:color="auto" w:sz="4" w:space="0"/>
              <w:left w:val="nil"/>
              <w:bottom w:val="single" w:color="auto" w:sz="4" w:space="0"/>
              <w:right w:val="single" w:color="auto" w:sz="4" w:space="0"/>
            </w:tcBorders>
            <w:shd w:val="clear" w:color="auto" w:fill="auto"/>
            <w:vAlign w:val="center"/>
          </w:tcPr>
          <w:p w14:paraId="0F2EFCE0">
            <w:pPr>
              <w:spacing w:line="320" w:lineRule="atLeast"/>
              <w:jc w:val="center"/>
              <w:rPr>
                <w:rFonts w:ascii="华文宋体" w:hAnsi="华文宋体" w:eastAsia="华文宋体"/>
              </w:rPr>
            </w:pPr>
            <w:r>
              <w:rPr>
                <w:rFonts w:hint="eastAsia" w:ascii="华文宋体" w:hAnsi="华文宋体" w:eastAsia="华文宋体"/>
              </w:rPr>
              <w:t>5</w:t>
            </w:r>
          </w:p>
        </w:tc>
        <w:tc>
          <w:tcPr>
            <w:tcW w:w="3828" w:type="dxa"/>
            <w:tcBorders>
              <w:top w:val="single" w:color="auto" w:sz="4" w:space="0"/>
              <w:left w:val="nil"/>
              <w:bottom w:val="single" w:color="auto" w:sz="4" w:space="0"/>
              <w:right w:val="single" w:color="auto" w:sz="4" w:space="0"/>
            </w:tcBorders>
            <w:shd w:val="clear" w:color="auto" w:fill="auto"/>
            <w:vAlign w:val="center"/>
          </w:tcPr>
          <w:p w14:paraId="0CCB03E0">
            <w:pPr>
              <w:spacing w:line="320" w:lineRule="atLeast"/>
              <w:jc w:val="center"/>
              <w:rPr>
                <w:rFonts w:ascii="华文宋体" w:hAnsi="华文宋体" w:eastAsia="华文宋体"/>
              </w:rPr>
            </w:pPr>
            <w:r>
              <w:rPr>
                <w:rFonts w:hint="eastAsia" w:ascii="华文宋体" w:hAnsi="华文宋体" w:eastAsia="华文宋体"/>
              </w:rPr>
              <w:t>红外热像仪5台。</w:t>
            </w:r>
          </w:p>
        </w:tc>
        <w:tc>
          <w:tcPr>
            <w:tcW w:w="1701" w:type="dxa"/>
            <w:tcBorders>
              <w:top w:val="single" w:color="auto" w:sz="4" w:space="0"/>
              <w:left w:val="nil"/>
              <w:bottom w:val="single" w:color="auto" w:sz="4" w:space="0"/>
              <w:right w:val="single" w:color="auto" w:sz="4" w:space="0"/>
            </w:tcBorders>
            <w:shd w:val="clear" w:color="auto" w:fill="auto"/>
            <w:vAlign w:val="center"/>
          </w:tcPr>
          <w:p w14:paraId="7874AFD9">
            <w:pPr>
              <w:spacing w:line="320" w:lineRule="atLeast"/>
              <w:jc w:val="center"/>
              <w:rPr>
                <w:rFonts w:ascii="华文宋体" w:hAnsi="华文宋体" w:eastAsia="华文宋体"/>
              </w:rPr>
            </w:pPr>
            <w:r>
              <w:rPr>
                <w:rFonts w:hint="eastAsia" w:ascii="华文宋体" w:hAnsi="华文宋体" w:eastAsia="华文宋体"/>
              </w:rPr>
              <w:t>计划成本35.61万元，实际成本35.61万元，未超出计划成本。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2DF46CD7">
            <w:pPr>
              <w:spacing w:line="320" w:lineRule="atLeast"/>
              <w:jc w:val="center"/>
              <w:rPr>
                <w:rFonts w:ascii="华文宋体" w:hAnsi="华文宋体" w:eastAsia="华文宋体"/>
              </w:rPr>
            </w:pPr>
            <w:r>
              <w:rPr>
                <w:rFonts w:hint="eastAsia" w:ascii="华文宋体" w:hAnsi="华文宋体" w:eastAsia="华文宋体"/>
              </w:rPr>
              <w:t>0.5</w:t>
            </w:r>
          </w:p>
        </w:tc>
        <w:tc>
          <w:tcPr>
            <w:tcW w:w="567" w:type="dxa"/>
            <w:tcBorders>
              <w:top w:val="single" w:color="auto" w:sz="4" w:space="0"/>
              <w:left w:val="nil"/>
              <w:bottom w:val="single" w:color="auto" w:sz="4" w:space="0"/>
              <w:right w:val="single" w:color="auto" w:sz="4" w:space="0"/>
            </w:tcBorders>
            <w:shd w:val="clear" w:color="auto" w:fill="auto"/>
            <w:vAlign w:val="center"/>
          </w:tcPr>
          <w:p w14:paraId="0AB050B6">
            <w:pPr>
              <w:spacing w:line="320" w:lineRule="atLeast"/>
              <w:jc w:val="center"/>
              <w:rPr>
                <w:rFonts w:ascii="华文宋体" w:hAnsi="华文宋体" w:eastAsia="华文宋体"/>
              </w:rPr>
            </w:pPr>
            <w:r>
              <w:rPr>
                <w:rFonts w:hint="eastAsia" w:ascii="华文宋体" w:hAnsi="华文宋体" w:eastAsia="华文宋体"/>
              </w:rPr>
              <w:t>0.5</w:t>
            </w:r>
          </w:p>
        </w:tc>
      </w:tr>
      <w:tr w14:paraId="3B8F4B13">
        <w:tblPrEx>
          <w:tblCellMar>
            <w:top w:w="0" w:type="dxa"/>
            <w:left w:w="108" w:type="dxa"/>
            <w:bottom w:w="0" w:type="dxa"/>
            <w:right w:w="108" w:type="dxa"/>
          </w:tblCellMar>
        </w:tblPrEx>
        <w:trPr>
          <w:trHeight w:val="79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2D9E138F">
            <w:pPr>
              <w:spacing w:line="320" w:lineRule="atLeast"/>
              <w:jc w:val="center"/>
              <w:rPr>
                <w:rFonts w:ascii="华文宋体" w:hAnsi="华文宋体" w:eastAsia="华文宋体"/>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933D22B">
            <w:pPr>
              <w:spacing w:line="320" w:lineRule="atLeast"/>
              <w:jc w:val="center"/>
              <w:rPr>
                <w:rFonts w:ascii="华文宋体" w:hAnsi="华文宋体" w:eastAsia="华文宋体"/>
              </w:rPr>
            </w:pPr>
            <w:r>
              <w:rPr>
                <w:rFonts w:hint="eastAsia" w:ascii="华文宋体" w:hAnsi="华文宋体" w:eastAsia="华文宋体"/>
              </w:rPr>
              <w:t>防护 物资</w:t>
            </w:r>
          </w:p>
        </w:tc>
        <w:tc>
          <w:tcPr>
            <w:tcW w:w="992" w:type="dxa"/>
            <w:tcBorders>
              <w:top w:val="single" w:color="auto" w:sz="4" w:space="0"/>
              <w:left w:val="nil"/>
              <w:bottom w:val="single" w:color="auto" w:sz="4" w:space="0"/>
              <w:right w:val="single" w:color="auto" w:sz="4" w:space="0"/>
            </w:tcBorders>
            <w:shd w:val="clear" w:color="auto" w:fill="auto"/>
            <w:vAlign w:val="center"/>
          </w:tcPr>
          <w:p w14:paraId="4EEC45C7">
            <w:pPr>
              <w:spacing w:line="320" w:lineRule="atLeast"/>
              <w:jc w:val="center"/>
              <w:rPr>
                <w:rFonts w:ascii="华文宋体" w:hAnsi="华文宋体" w:eastAsia="华文宋体"/>
                <w:color w:val="000000"/>
              </w:rPr>
            </w:pPr>
            <w:r>
              <w:rPr>
                <w:rFonts w:hint="eastAsia" w:ascii="华文宋体" w:hAnsi="华文宋体" w:eastAsia="华文宋体"/>
                <w:color w:val="000000"/>
              </w:rPr>
              <w:t>7785</w:t>
            </w:r>
          </w:p>
        </w:tc>
        <w:tc>
          <w:tcPr>
            <w:tcW w:w="3828" w:type="dxa"/>
            <w:tcBorders>
              <w:top w:val="single" w:color="auto" w:sz="4" w:space="0"/>
              <w:left w:val="nil"/>
              <w:bottom w:val="single" w:color="auto" w:sz="4" w:space="0"/>
              <w:right w:val="single" w:color="auto" w:sz="4" w:space="0"/>
            </w:tcBorders>
            <w:shd w:val="clear" w:color="auto" w:fill="auto"/>
            <w:vAlign w:val="center"/>
          </w:tcPr>
          <w:p w14:paraId="3A0A030E">
            <w:pPr>
              <w:spacing w:line="320" w:lineRule="atLeast"/>
              <w:jc w:val="center"/>
              <w:rPr>
                <w:rFonts w:ascii="华文宋体" w:hAnsi="华文宋体" w:eastAsia="华文宋体"/>
              </w:rPr>
            </w:pPr>
            <w:r>
              <w:rPr>
                <w:rFonts w:hint="eastAsia" w:ascii="华文宋体" w:hAnsi="华文宋体" w:eastAsia="华文宋体"/>
              </w:rPr>
              <w:t>全面罩50个，医用隔离面罩7735个。</w:t>
            </w:r>
          </w:p>
        </w:tc>
        <w:tc>
          <w:tcPr>
            <w:tcW w:w="1701" w:type="dxa"/>
            <w:tcBorders>
              <w:top w:val="single" w:color="auto" w:sz="4" w:space="0"/>
              <w:left w:val="nil"/>
              <w:bottom w:val="single" w:color="auto" w:sz="4" w:space="0"/>
              <w:right w:val="single" w:color="auto" w:sz="4" w:space="0"/>
            </w:tcBorders>
            <w:shd w:val="clear" w:color="auto" w:fill="auto"/>
            <w:vAlign w:val="center"/>
          </w:tcPr>
          <w:p w14:paraId="60BB46FB">
            <w:pPr>
              <w:spacing w:line="320" w:lineRule="atLeast"/>
              <w:jc w:val="center"/>
              <w:rPr>
                <w:rFonts w:ascii="华文宋体" w:hAnsi="华文宋体" w:eastAsia="华文宋体"/>
              </w:rPr>
            </w:pPr>
            <w:r>
              <w:rPr>
                <w:rFonts w:hint="eastAsia" w:ascii="华文宋体" w:hAnsi="华文宋体" w:eastAsia="华文宋体"/>
              </w:rPr>
              <w:t>计划成本19.97万元，实际成本19.97万元，未超出计划成本。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377BA88E">
            <w:pPr>
              <w:spacing w:line="320" w:lineRule="atLeast"/>
              <w:jc w:val="center"/>
              <w:rPr>
                <w:rFonts w:ascii="华文宋体" w:hAnsi="华文宋体" w:eastAsia="华文宋体"/>
              </w:rPr>
            </w:pPr>
            <w:r>
              <w:rPr>
                <w:rFonts w:hint="eastAsia" w:ascii="华文宋体" w:hAnsi="华文宋体" w:eastAsia="华文宋体"/>
              </w:rPr>
              <w:t>1</w:t>
            </w:r>
          </w:p>
        </w:tc>
        <w:tc>
          <w:tcPr>
            <w:tcW w:w="567" w:type="dxa"/>
            <w:tcBorders>
              <w:top w:val="single" w:color="auto" w:sz="4" w:space="0"/>
              <w:left w:val="nil"/>
              <w:bottom w:val="single" w:color="auto" w:sz="4" w:space="0"/>
              <w:right w:val="single" w:color="auto" w:sz="4" w:space="0"/>
            </w:tcBorders>
            <w:shd w:val="clear" w:color="auto" w:fill="auto"/>
            <w:vAlign w:val="center"/>
          </w:tcPr>
          <w:p w14:paraId="37C5E637">
            <w:pPr>
              <w:spacing w:line="320" w:lineRule="atLeast"/>
              <w:jc w:val="center"/>
              <w:rPr>
                <w:rFonts w:ascii="华文宋体" w:hAnsi="华文宋体" w:eastAsia="华文宋体"/>
              </w:rPr>
            </w:pPr>
            <w:r>
              <w:rPr>
                <w:rFonts w:hint="eastAsia" w:ascii="华文宋体" w:hAnsi="华文宋体" w:eastAsia="华文宋体"/>
              </w:rPr>
              <w:t>1</w:t>
            </w:r>
          </w:p>
        </w:tc>
      </w:tr>
      <w:tr w14:paraId="4F04A0DE">
        <w:tblPrEx>
          <w:tblCellMar>
            <w:top w:w="0" w:type="dxa"/>
            <w:left w:w="108" w:type="dxa"/>
            <w:bottom w:w="0" w:type="dxa"/>
            <w:right w:w="108" w:type="dxa"/>
          </w:tblCellMar>
        </w:tblPrEx>
        <w:trPr>
          <w:trHeight w:val="84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797A16E4">
            <w:pPr>
              <w:spacing w:line="320" w:lineRule="atLeast"/>
              <w:jc w:val="center"/>
              <w:rPr>
                <w:rFonts w:ascii="华文宋体" w:hAnsi="华文宋体" w:eastAsia="华文宋体"/>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60B93AA">
            <w:pPr>
              <w:spacing w:line="320" w:lineRule="atLeast"/>
              <w:jc w:val="center"/>
              <w:rPr>
                <w:rFonts w:ascii="华文宋体" w:hAnsi="华文宋体" w:eastAsia="华文宋体"/>
              </w:rPr>
            </w:pPr>
            <w:r>
              <w:rPr>
                <w:rFonts w:hint="eastAsia" w:ascii="华文宋体" w:hAnsi="华文宋体" w:eastAsia="华文宋体"/>
              </w:rPr>
              <w:t>消杀 用品</w:t>
            </w:r>
          </w:p>
        </w:tc>
        <w:tc>
          <w:tcPr>
            <w:tcW w:w="992" w:type="dxa"/>
            <w:tcBorders>
              <w:top w:val="single" w:color="auto" w:sz="4" w:space="0"/>
              <w:left w:val="nil"/>
              <w:bottom w:val="single" w:color="auto" w:sz="4" w:space="0"/>
              <w:right w:val="single" w:color="auto" w:sz="4" w:space="0"/>
            </w:tcBorders>
            <w:shd w:val="clear" w:color="auto" w:fill="auto"/>
            <w:vAlign w:val="center"/>
          </w:tcPr>
          <w:p w14:paraId="11B18B07">
            <w:pPr>
              <w:spacing w:line="320" w:lineRule="atLeast"/>
              <w:jc w:val="center"/>
              <w:rPr>
                <w:rFonts w:ascii="华文宋体" w:hAnsi="华文宋体" w:eastAsia="华文宋体"/>
                <w:color w:val="000000"/>
              </w:rPr>
            </w:pPr>
            <w:r>
              <w:rPr>
                <w:rFonts w:hint="eastAsia" w:ascii="华文宋体" w:hAnsi="华文宋体" w:eastAsia="华文宋体"/>
                <w:color w:val="000000"/>
              </w:rPr>
              <w:t>794</w:t>
            </w:r>
          </w:p>
        </w:tc>
        <w:tc>
          <w:tcPr>
            <w:tcW w:w="3828" w:type="dxa"/>
            <w:tcBorders>
              <w:top w:val="single" w:color="auto" w:sz="4" w:space="0"/>
              <w:left w:val="nil"/>
              <w:bottom w:val="single" w:color="auto" w:sz="4" w:space="0"/>
              <w:right w:val="single" w:color="auto" w:sz="4" w:space="0"/>
            </w:tcBorders>
            <w:shd w:val="clear" w:color="auto" w:fill="auto"/>
            <w:vAlign w:val="center"/>
          </w:tcPr>
          <w:p w14:paraId="5643EFAA">
            <w:pPr>
              <w:spacing w:line="320" w:lineRule="atLeast"/>
              <w:jc w:val="center"/>
              <w:rPr>
                <w:rFonts w:ascii="华文宋体" w:hAnsi="华文宋体" w:eastAsia="华文宋体"/>
              </w:rPr>
            </w:pPr>
            <w:r>
              <w:rPr>
                <w:rFonts w:hint="eastAsia" w:ascii="华文宋体" w:hAnsi="华文宋体" w:eastAsia="华文宋体"/>
              </w:rPr>
              <w:t>95%消毒酒精（500ml）794瓶。</w:t>
            </w:r>
          </w:p>
        </w:tc>
        <w:tc>
          <w:tcPr>
            <w:tcW w:w="1701" w:type="dxa"/>
            <w:tcBorders>
              <w:top w:val="single" w:color="auto" w:sz="4" w:space="0"/>
              <w:left w:val="nil"/>
              <w:bottom w:val="single" w:color="auto" w:sz="4" w:space="0"/>
              <w:right w:val="single" w:color="auto" w:sz="4" w:space="0"/>
            </w:tcBorders>
            <w:shd w:val="clear" w:color="auto" w:fill="auto"/>
            <w:vAlign w:val="center"/>
          </w:tcPr>
          <w:p w14:paraId="150C428F">
            <w:pPr>
              <w:spacing w:line="320" w:lineRule="atLeast"/>
              <w:jc w:val="center"/>
              <w:rPr>
                <w:rFonts w:ascii="华文宋体" w:hAnsi="华文宋体" w:eastAsia="华文宋体"/>
              </w:rPr>
            </w:pPr>
            <w:r>
              <w:rPr>
                <w:rFonts w:hint="eastAsia" w:ascii="华文宋体" w:hAnsi="华文宋体" w:eastAsia="华文宋体"/>
              </w:rPr>
              <w:t>计划成本0.47万元，实际成本0.47万元，未超出计划成本。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00820198">
            <w:pPr>
              <w:spacing w:line="320" w:lineRule="atLeast"/>
              <w:jc w:val="center"/>
              <w:rPr>
                <w:rFonts w:ascii="华文宋体" w:hAnsi="华文宋体" w:eastAsia="华文宋体"/>
              </w:rPr>
            </w:pPr>
            <w:r>
              <w:rPr>
                <w:rFonts w:hint="eastAsia" w:ascii="华文宋体" w:hAnsi="华文宋体" w:eastAsia="华文宋体"/>
              </w:rPr>
              <w:t>0.5</w:t>
            </w:r>
          </w:p>
        </w:tc>
        <w:tc>
          <w:tcPr>
            <w:tcW w:w="567" w:type="dxa"/>
            <w:tcBorders>
              <w:top w:val="single" w:color="auto" w:sz="4" w:space="0"/>
              <w:left w:val="nil"/>
              <w:bottom w:val="single" w:color="auto" w:sz="4" w:space="0"/>
              <w:right w:val="single" w:color="auto" w:sz="4" w:space="0"/>
            </w:tcBorders>
            <w:shd w:val="clear" w:color="auto" w:fill="auto"/>
            <w:vAlign w:val="center"/>
          </w:tcPr>
          <w:p w14:paraId="68B27116">
            <w:pPr>
              <w:spacing w:line="320" w:lineRule="atLeast"/>
              <w:jc w:val="center"/>
              <w:rPr>
                <w:rFonts w:ascii="华文宋体" w:hAnsi="华文宋体" w:eastAsia="华文宋体"/>
              </w:rPr>
            </w:pPr>
            <w:r>
              <w:rPr>
                <w:rFonts w:hint="eastAsia" w:ascii="华文宋体" w:hAnsi="华文宋体" w:eastAsia="华文宋体"/>
              </w:rPr>
              <w:t>0.5</w:t>
            </w:r>
          </w:p>
        </w:tc>
      </w:tr>
      <w:tr w14:paraId="3B107F10">
        <w:tblPrEx>
          <w:tblCellMar>
            <w:top w:w="0" w:type="dxa"/>
            <w:left w:w="108" w:type="dxa"/>
            <w:bottom w:w="0" w:type="dxa"/>
            <w:right w:w="108" w:type="dxa"/>
          </w:tblCellMar>
        </w:tblPrEx>
        <w:trPr>
          <w:trHeight w:val="1160"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313C18">
            <w:pPr>
              <w:spacing w:line="320" w:lineRule="atLeast"/>
              <w:jc w:val="center"/>
              <w:rPr>
                <w:rFonts w:ascii="华文宋体" w:hAnsi="华文宋体" w:eastAsia="华文宋体"/>
              </w:rPr>
            </w:pPr>
            <w:r>
              <w:rPr>
                <w:rFonts w:hint="eastAsia" w:ascii="华文宋体" w:hAnsi="华文宋体" w:eastAsia="华文宋体"/>
              </w:rPr>
              <w:t>国药控制重庆泰民医药有限公司</w:t>
            </w:r>
          </w:p>
        </w:tc>
        <w:tc>
          <w:tcPr>
            <w:tcW w:w="709" w:type="dxa"/>
            <w:tcBorders>
              <w:top w:val="single" w:color="auto" w:sz="4" w:space="0"/>
              <w:left w:val="nil"/>
              <w:bottom w:val="single" w:color="auto" w:sz="4" w:space="0"/>
              <w:right w:val="single" w:color="auto" w:sz="4" w:space="0"/>
            </w:tcBorders>
            <w:shd w:val="clear" w:color="auto" w:fill="auto"/>
            <w:vAlign w:val="center"/>
          </w:tcPr>
          <w:p w14:paraId="6EEBC4A3">
            <w:pPr>
              <w:spacing w:line="320" w:lineRule="atLeast"/>
              <w:jc w:val="center"/>
              <w:rPr>
                <w:rFonts w:ascii="华文宋体" w:hAnsi="华文宋体" w:eastAsia="华文宋体"/>
              </w:rPr>
            </w:pPr>
            <w:r>
              <w:rPr>
                <w:rFonts w:hint="eastAsia" w:ascii="华文宋体" w:hAnsi="华文宋体" w:eastAsia="华文宋体"/>
              </w:rPr>
              <w:t>防护 物资</w:t>
            </w:r>
          </w:p>
        </w:tc>
        <w:tc>
          <w:tcPr>
            <w:tcW w:w="992" w:type="dxa"/>
            <w:tcBorders>
              <w:top w:val="single" w:color="auto" w:sz="4" w:space="0"/>
              <w:left w:val="nil"/>
              <w:bottom w:val="single" w:color="auto" w:sz="4" w:space="0"/>
              <w:right w:val="single" w:color="auto" w:sz="4" w:space="0"/>
            </w:tcBorders>
            <w:shd w:val="clear" w:color="auto" w:fill="auto"/>
            <w:vAlign w:val="center"/>
          </w:tcPr>
          <w:p w14:paraId="55EAF3E1">
            <w:pPr>
              <w:spacing w:line="320" w:lineRule="atLeast"/>
              <w:jc w:val="center"/>
              <w:rPr>
                <w:rFonts w:ascii="华文宋体" w:hAnsi="华文宋体" w:eastAsia="华文宋体"/>
              </w:rPr>
            </w:pPr>
            <w:r>
              <w:rPr>
                <w:rFonts w:hint="eastAsia" w:ascii="华文宋体" w:hAnsi="华文宋体" w:eastAsia="华文宋体"/>
              </w:rPr>
              <w:t>52336</w:t>
            </w:r>
          </w:p>
        </w:tc>
        <w:tc>
          <w:tcPr>
            <w:tcW w:w="3828" w:type="dxa"/>
            <w:tcBorders>
              <w:top w:val="single" w:color="auto" w:sz="4" w:space="0"/>
              <w:left w:val="nil"/>
              <w:bottom w:val="single" w:color="auto" w:sz="4" w:space="0"/>
              <w:right w:val="single" w:color="auto" w:sz="4" w:space="0"/>
            </w:tcBorders>
            <w:shd w:val="clear" w:color="auto" w:fill="auto"/>
            <w:vAlign w:val="center"/>
          </w:tcPr>
          <w:p w14:paraId="67FDEB0F">
            <w:pPr>
              <w:spacing w:line="320" w:lineRule="atLeast"/>
              <w:jc w:val="center"/>
              <w:rPr>
                <w:rFonts w:ascii="华文宋体" w:hAnsi="华文宋体" w:eastAsia="华文宋体"/>
              </w:rPr>
            </w:pPr>
            <w:r>
              <w:rPr>
                <w:rFonts w:hint="eastAsia" w:ascii="华文宋体" w:hAnsi="华文宋体" w:eastAsia="华文宋体"/>
              </w:rPr>
              <w:t>紧急物资医用防护服9999件，一次性医用隔离衣18216件，手术衣390件，I'am防疫口罩10000个石墨烯防护口罩995个，耐化学品德工业用模压塑料靴3双，医用护目镜12733个。</w:t>
            </w:r>
          </w:p>
        </w:tc>
        <w:tc>
          <w:tcPr>
            <w:tcW w:w="1701" w:type="dxa"/>
            <w:tcBorders>
              <w:top w:val="single" w:color="auto" w:sz="4" w:space="0"/>
              <w:left w:val="nil"/>
              <w:bottom w:val="single" w:color="auto" w:sz="4" w:space="0"/>
              <w:right w:val="single" w:color="auto" w:sz="4" w:space="0"/>
            </w:tcBorders>
            <w:shd w:val="clear" w:color="auto" w:fill="auto"/>
            <w:vAlign w:val="center"/>
          </w:tcPr>
          <w:p w14:paraId="7AAE8F36">
            <w:pPr>
              <w:spacing w:line="320" w:lineRule="atLeast"/>
              <w:jc w:val="center"/>
              <w:rPr>
                <w:rFonts w:ascii="华文宋体" w:hAnsi="华文宋体" w:eastAsia="华文宋体"/>
              </w:rPr>
            </w:pPr>
            <w:r>
              <w:rPr>
                <w:rFonts w:hint="eastAsia" w:ascii="华文宋体" w:hAnsi="华文宋体" w:eastAsia="华文宋体"/>
              </w:rPr>
              <w:t>计划成本439.87万元，实际成本439.87万元，未超出计划成本。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258AA363">
            <w:pPr>
              <w:spacing w:line="320" w:lineRule="atLeast"/>
              <w:jc w:val="center"/>
              <w:rPr>
                <w:rFonts w:ascii="华文宋体" w:hAnsi="华文宋体" w:eastAsia="华文宋体"/>
              </w:rPr>
            </w:pPr>
            <w:r>
              <w:rPr>
                <w:rFonts w:hint="eastAsia" w:ascii="华文宋体" w:hAnsi="华文宋体" w:eastAsia="华文宋体"/>
              </w:rPr>
              <w:t>2</w:t>
            </w:r>
          </w:p>
        </w:tc>
        <w:tc>
          <w:tcPr>
            <w:tcW w:w="567" w:type="dxa"/>
            <w:tcBorders>
              <w:top w:val="single" w:color="auto" w:sz="4" w:space="0"/>
              <w:left w:val="nil"/>
              <w:bottom w:val="single" w:color="auto" w:sz="4" w:space="0"/>
              <w:right w:val="single" w:color="auto" w:sz="4" w:space="0"/>
            </w:tcBorders>
            <w:shd w:val="clear" w:color="auto" w:fill="auto"/>
            <w:vAlign w:val="center"/>
          </w:tcPr>
          <w:p w14:paraId="4891CA6B">
            <w:pPr>
              <w:spacing w:line="320" w:lineRule="atLeast"/>
              <w:jc w:val="center"/>
              <w:rPr>
                <w:rFonts w:ascii="华文宋体" w:hAnsi="华文宋体" w:eastAsia="华文宋体"/>
              </w:rPr>
            </w:pPr>
            <w:r>
              <w:rPr>
                <w:rFonts w:hint="eastAsia" w:ascii="华文宋体" w:hAnsi="华文宋体" w:eastAsia="华文宋体"/>
              </w:rPr>
              <w:t>2</w:t>
            </w:r>
          </w:p>
        </w:tc>
      </w:tr>
      <w:tr w14:paraId="1A32A1D0">
        <w:tblPrEx>
          <w:tblCellMar>
            <w:top w:w="0" w:type="dxa"/>
            <w:left w:w="108" w:type="dxa"/>
            <w:bottom w:w="0" w:type="dxa"/>
            <w:right w:w="108" w:type="dxa"/>
          </w:tblCellMar>
        </w:tblPrEx>
        <w:trPr>
          <w:trHeight w:val="1408"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281B168D">
            <w:pPr>
              <w:spacing w:line="320" w:lineRule="atLeast"/>
              <w:jc w:val="center"/>
              <w:rPr>
                <w:rFonts w:ascii="华文宋体" w:hAnsi="华文宋体" w:eastAsia="华文宋体"/>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1FFDD3A">
            <w:pPr>
              <w:spacing w:line="320" w:lineRule="atLeast"/>
              <w:jc w:val="center"/>
              <w:rPr>
                <w:rFonts w:ascii="华文宋体" w:hAnsi="华文宋体" w:eastAsia="华文宋体"/>
              </w:rPr>
            </w:pPr>
            <w:r>
              <w:rPr>
                <w:rFonts w:hint="eastAsia" w:ascii="华文宋体" w:hAnsi="华文宋体" w:eastAsia="华文宋体"/>
              </w:rPr>
              <w:t>防护 器械</w:t>
            </w:r>
          </w:p>
        </w:tc>
        <w:tc>
          <w:tcPr>
            <w:tcW w:w="992" w:type="dxa"/>
            <w:tcBorders>
              <w:top w:val="single" w:color="auto" w:sz="4" w:space="0"/>
              <w:left w:val="nil"/>
              <w:bottom w:val="single" w:color="auto" w:sz="4" w:space="0"/>
              <w:right w:val="single" w:color="auto" w:sz="4" w:space="0"/>
            </w:tcBorders>
            <w:shd w:val="clear" w:color="auto" w:fill="auto"/>
            <w:vAlign w:val="center"/>
          </w:tcPr>
          <w:p w14:paraId="79E8CCDD">
            <w:pPr>
              <w:spacing w:line="320" w:lineRule="atLeast"/>
              <w:jc w:val="center"/>
              <w:rPr>
                <w:rFonts w:ascii="华文宋体" w:hAnsi="华文宋体" w:eastAsia="华文宋体"/>
              </w:rPr>
            </w:pPr>
            <w:r>
              <w:rPr>
                <w:rFonts w:hint="eastAsia" w:ascii="华文宋体" w:hAnsi="华文宋体" w:eastAsia="华文宋体"/>
              </w:rPr>
              <w:t>347</w:t>
            </w:r>
          </w:p>
        </w:tc>
        <w:tc>
          <w:tcPr>
            <w:tcW w:w="3828" w:type="dxa"/>
            <w:tcBorders>
              <w:top w:val="single" w:color="auto" w:sz="4" w:space="0"/>
              <w:left w:val="nil"/>
              <w:bottom w:val="single" w:color="auto" w:sz="4" w:space="0"/>
              <w:right w:val="single" w:color="auto" w:sz="4" w:space="0"/>
            </w:tcBorders>
            <w:shd w:val="clear" w:color="auto" w:fill="auto"/>
            <w:vAlign w:val="center"/>
          </w:tcPr>
          <w:p w14:paraId="3777BB16">
            <w:pPr>
              <w:spacing w:line="320" w:lineRule="atLeast"/>
              <w:jc w:val="center"/>
              <w:rPr>
                <w:rFonts w:ascii="华文宋体" w:hAnsi="华文宋体" w:eastAsia="华文宋体"/>
              </w:rPr>
            </w:pPr>
            <w:r>
              <w:rPr>
                <w:rFonts w:hint="eastAsia" w:ascii="华文宋体" w:hAnsi="华文宋体" w:eastAsia="华文宋体"/>
              </w:rPr>
              <w:t>背负式蓄电池超低容量喷雾机3台，丸山喷雾器341台，红外热成像体温快速筛检仪3台。</w:t>
            </w:r>
          </w:p>
        </w:tc>
        <w:tc>
          <w:tcPr>
            <w:tcW w:w="1701" w:type="dxa"/>
            <w:tcBorders>
              <w:top w:val="single" w:color="auto" w:sz="4" w:space="0"/>
              <w:left w:val="nil"/>
              <w:bottom w:val="single" w:color="auto" w:sz="4" w:space="0"/>
              <w:right w:val="single" w:color="auto" w:sz="4" w:space="0"/>
            </w:tcBorders>
            <w:shd w:val="clear" w:color="auto" w:fill="auto"/>
            <w:vAlign w:val="center"/>
          </w:tcPr>
          <w:p w14:paraId="61075364">
            <w:pPr>
              <w:spacing w:line="320" w:lineRule="atLeast"/>
              <w:jc w:val="center"/>
              <w:rPr>
                <w:rFonts w:ascii="华文宋体" w:hAnsi="华文宋体" w:eastAsia="华文宋体"/>
              </w:rPr>
            </w:pPr>
            <w:r>
              <w:rPr>
                <w:rFonts w:hint="eastAsia" w:ascii="华文宋体" w:hAnsi="华文宋体" w:eastAsia="华文宋体"/>
              </w:rPr>
              <w:t>计划成本170.79万元，实际成本170.79万元，未超出计划成本。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3D1117CE">
            <w:pPr>
              <w:spacing w:line="320" w:lineRule="atLeast"/>
              <w:jc w:val="center"/>
              <w:rPr>
                <w:rFonts w:ascii="华文宋体" w:hAnsi="华文宋体" w:eastAsia="华文宋体"/>
              </w:rPr>
            </w:pPr>
            <w:r>
              <w:rPr>
                <w:rFonts w:hint="eastAsia" w:ascii="华文宋体" w:hAnsi="华文宋体" w:eastAsia="华文宋体"/>
              </w:rPr>
              <w:t>1</w:t>
            </w:r>
          </w:p>
        </w:tc>
        <w:tc>
          <w:tcPr>
            <w:tcW w:w="567" w:type="dxa"/>
            <w:tcBorders>
              <w:top w:val="single" w:color="auto" w:sz="4" w:space="0"/>
              <w:left w:val="nil"/>
              <w:bottom w:val="single" w:color="auto" w:sz="4" w:space="0"/>
              <w:right w:val="single" w:color="auto" w:sz="4" w:space="0"/>
            </w:tcBorders>
            <w:shd w:val="clear" w:color="auto" w:fill="auto"/>
            <w:vAlign w:val="center"/>
          </w:tcPr>
          <w:p w14:paraId="19B83E1D">
            <w:pPr>
              <w:spacing w:line="320" w:lineRule="atLeast"/>
              <w:jc w:val="center"/>
              <w:rPr>
                <w:rFonts w:ascii="华文宋体" w:hAnsi="华文宋体" w:eastAsia="华文宋体"/>
              </w:rPr>
            </w:pPr>
            <w:r>
              <w:rPr>
                <w:rFonts w:hint="eastAsia" w:ascii="华文宋体" w:hAnsi="华文宋体" w:eastAsia="华文宋体"/>
              </w:rPr>
              <w:t>1</w:t>
            </w:r>
          </w:p>
        </w:tc>
      </w:tr>
      <w:tr w14:paraId="00993557">
        <w:tblPrEx>
          <w:tblCellMar>
            <w:top w:w="0" w:type="dxa"/>
            <w:left w:w="108" w:type="dxa"/>
            <w:bottom w:w="0" w:type="dxa"/>
            <w:right w:w="108" w:type="dxa"/>
          </w:tblCellMar>
        </w:tblPrEx>
        <w:trPr>
          <w:trHeight w:val="800"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32DAE2D3">
            <w:pPr>
              <w:spacing w:line="320" w:lineRule="atLeast"/>
              <w:jc w:val="center"/>
              <w:rPr>
                <w:rFonts w:ascii="华文宋体" w:hAnsi="华文宋体" w:eastAsia="华文宋体"/>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21D7C1F">
            <w:pPr>
              <w:spacing w:line="320" w:lineRule="atLeast"/>
              <w:jc w:val="center"/>
              <w:rPr>
                <w:rFonts w:ascii="华文宋体" w:hAnsi="华文宋体" w:eastAsia="华文宋体"/>
              </w:rPr>
            </w:pPr>
            <w:r>
              <w:rPr>
                <w:rFonts w:hint="eastAsia" w:ascii="华文宋体" w:hAnsi="华文宋体" w:eastAsia="华文宋体"/>
              </w:rPr>
              <w:t>检测 试剂</w:t>
            </w:r>
          </w:p>
        </w:tc>
        <w:tc>
          <w:tcPr>
            <w:tcW w:w="992" w:type="dxa"/>
            <w:tcBorders>
              <w:top w:val="single" w:color="auto" w:sz="4" w:space="0"/>
              <w:left w:val="nil"/>
              <w:bottom w:val="single" w:color="auto" w:sz="4" w:space="0"/>
              <w:right w:val="single" w:color="auto" w:sz="4" w:space="0"/>
            </w:tcBorders>
            <w:shd w:val="clear" w:color="auto" w:fill="auto"/>
            <w:vAlign w:val="center"/>
          </w:tcPr>
          <w:p w14:paraId="1C6A5467">
            <w:pPr>
              <w:spacing w:line="320" w:lineRule="atLeast"/>
              <w:jc w:val="center"/>
              <w:rPr>
                <w:rFonts w:ascii="华文宋体" w:hAnsi="华文宋体" w:eastAsia="华文宋体"/>
              </w:rPr>
            </w:pPr>
            <w:r>
              <w:rPr>
                <w:rFonts w:hint="eastAsia" w:ascii="华文宋体" w:hAnsi="华文宋体" w:eastAsia="华文宋体"/>
              </w:rPr>
              <w:t>360</w:t>
            </w:r>
          </w:p>
        </w:tc>
        <w:tc>
          <w:tcPr>
            <w:tcW w:w="3828" w:type="dxa"/>
            <w:tcBorders>
              <w:top w:val="single" w:color="auto" w:sz="4" w:space="0"/>
              <w:left w:val="nil"/>
              <w:bottom w:val="single" w:color="auto" w:sz="4" w:space="0"/>
              <w:right w:val="single" w:color="auto" w:sz="4" w:space="0"/>
            </w:tcBorders>
            <w:shd w:val="clear" w:color="auto" w:fill="auto"/>
            <w:vAlign w:val="center"/>
          </w:tcPr>
          <w:p w14:paraId="09D84DA0">
            <w:pPr>
              <w:spacing w:line="320" w:lineRule="atLeast"/>
              <w:jc w:val="center"/>
              <w:rPr>
                <w:rFonts w:ascii="华文宋体" w:hAnsi="华文宋体" w:eastAsia="华文宋体"/>
              </w:rPr>
            </w:pPr>
            <w:r>
              <w:rPr>
                <w:rFonts w:hint="eastAsia" w:ascii="华文宋体" w:hAnsi="华文宋体" w:eastAsia="华文宋体"/>
              </w:rPr>
              <w:t>新型冠状病毒免核酸提取RNA检测试剂盒360盒</w:t>
            </w:r>
          </w:p>
        </w:tc>
        <w:tc>
          <w:tcPr>
            <w:tcW w:w="1701" w:type="dxa"/>
            <w:tcBorders>
              <w:top w:val="single" w:color="auto" w:sz="4" w:space="0"/>
              <w:left w:val="nil"/>
              <w:bottom w:val="single" w:color="auto" w:sz="4" w:space="0"/>
              <w:right w:val="single" w:color="auto" w:sz="4" w:space="0"/>
            </w:tcBorders>
            <w:shd w:val="clear" w:color="auto" w:fill="auto"/>
            <w:vAlign w:val="center"/>
          </w:tcPr>
          <w:p w14:paraId="108D6CE2">
            <w:pPr>
              <w:spacing w:line="320" w:lineRule="atLeast"/>
              <w:jc w:val="center"/>
              <w:rPr>
                <w:rFonts w:ascii="华文宋体" w:hAnsi="华文宋体" w:eastAsia="华文宋体"/>
              </w:rPr>
            </w:pPr>
            <w:r>
              <w:rPr>
                <w:rFonts w:hint="eastAsia" w:ascii="华文宋体" w:hAnsi="华文宋体" w:eastAsia="华文宋体"/>
              </w:rPr>
              <w:t>计划成本2.94万元，实际成本2.94万元，未超出计划成本。</w:t>
            </w:r>
          </w:p>
        </w:tc>
        <w:tc>
          <w:tcPr>
            <w:tcW w:w="567" w:type="dxa"/>
            <w:tcBorders>
              <w:top w:val="single" w:color="auto" w:sz="4" w:space="0"/>
              <w:left w:val="nil"/>
              <w:bottom w:val="single" w:color="auto" w:sz="4" w:space="0"/>
              <w:right w:val="single" w:color="auto" w:sz="4" w:space="0"/>
            </w:tcBorders>
            <w:shd w:val="clear" w:color="auto" w:fill="auto"/>
            <w:vAlign w:val="center"/>
          </w:tcPr>
          <w:p w14:paraId="2383CF39">
            <w:pPr>
              <w:spacing w:line="320" w:lineRule="atLeast"/>
              <w:jc w:val="center"/>
              <w:rPr>
                <w:rFonts w:ascii="华文宋体" w:hAnsi="华文宋体" w:eastAsia="华文宋体"/>
              </w:rPr>
            </w:pPr>
            <w:r>
              <w:rPr>
                <w:rFonts w:hint="eastAsia" w:ascii="华文宋体" w:hAnsi="华文宋体" w:eastAsia="华文宋体"/>
              </w:rPr>
              <w:t>1</w:t>
            </w:r>
          </w:p>
        </w:tc>
        <w:tc>
          <w:tcPr>
            <w:tcW w:w="567" w:type="dxa"/>
            <w:tcBorders>
              <w:top w:val="single" w:color="auto" w:sz="4" w:space="0"/>
              <w:left w:val="nil"/>
              <w:bottom w:val="single" w:color="auto" w:sz="4" w:space="0"/>
              <w:right w:val="single" w:color="auto" w:sz="4" w:space="0"/>
            </w:tcBorders>
            <w:shd w:val="clear" w:color="auto" w:fill="auto"/>
            <w:vAlign w:val="center"/>
          </w:tcPr>
          <w:p w14:paraId="34BD509C">
            <w:pPr>
              <w:spacing w:line="320" w:lineRule="atLeast"/>
              <w:jc w:val="center"/>
              <w:rPr>
                <w:rFonts w:ascii="华文宋体" w:hAnsi="华文宋体" w:eastAsia="华文宋体"/>
              </w:rPr>
            </w:pPr>
            <w:r>
              <w:rPr>
                <w:rFonts w:hint="eastAsia" w:ascii="华文宋体" w:hAnsi="华文宋体" w:eastAsia="华文宋体"/>
              </w:rPr>
              <w:t>1</w:t>
            </w:r>
          </w:p>
        </w:tc>
      </w:tr>
      <w:tr w14:paraId="23EBF190">
        <w:tblPrEx>
          <w:tblCellMar>
            <w:top w:w="0" w:type="dxa"/>
            <w:left w:w="108" w:type="dxa"/>
            <w:bottom w:w="0" w:type="dxa"/>
            <w:right w:w="108" w:type="dxa"/>
          </w:tblCellMar>
        </w:tblPrEx>
        <w:trPr>
          <w:trHeight w:val="530"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66F1C9">
            <w:pPr>
              <w:spacing w:line="320" w:lineRule="atLeast"/>
              <w:jc w:val="center"/>
              <w:rPr>
                <w:rFonts w:ascii="华文宋体" w:hAnsi="华文宋体" w:eastAsia="华文宋体"/>
              </w:rPr>
            </w:pPr>
            <w:r>
              <w:rPr>
                <w:rFonts w:hint="eastAsia" w:ascii="华文宋体" w:hAnsi="华文宋体" w:eastAsia="华文宋体"/>
              </w:rPr>
              <w:t>合计</w:t>
            </w:r>
          </w:p>
        </w:tc>
        <w:tc>
          <w:tcPr>
            <w:tcW w:w="992" w:type="dxa"/>
            <w:tcBorders>
              <w:top w:val="single" w:color="auto" w:sz="4" w:space="0"/>
              <w:left w:val="nil"/>
              <w:bottom w:val="single" w:color="auto" w:sz="4" w:space="0"/>
              <w:right w:val="single" w:color="auto" w:sz="4" w:space="0"/>
            </w:tcBorders>
            <w:shd w:val="clear" w:color="auto" w:fill="auto"/>
            <w:vAlign w:val="center"/>
          </w:tcPr>
          <w:p w14:paraId="12E554F2">
            <w:pPr>
              <w:spacing w:line="320" w:lineRule="atLeast"/>
              <w:jc w:val="center"/>
              <w:rPr>
                <w:rFonts w:ascii="华文宋体" w:hAnsi="华文宋体" w:eastAsia="华文宋体"/>
              </w:rPr>
            </w:pPr>
            <w:r>
              <w:rPr>
                <w:rFonts w:hint="eastAsia" w:ascii="华文宋体" w:hAnsi="华文宋体" w:eastAsia="华文宋体"/>
              </w:rPr>
              <w:t>582249</w:t>
            </w:r>
          </w:p>
        </w:tc>
        <w:tc>
          <w:tcPr>
            <w:tcW w:w="3828" w:type="dxa"/>
            <w:tcBorders>
              <w:top w:val="single" w:color="auto" w:sz="4" w:space="0"/>
              <w:left w:val="nil"/>
              <w:bottom w:val="single" w:color="auto" w:sz="4" w:space="0"/>
              <w:right w:val="single" w:color="auto" w:sz="4" w:space="0"/>
            </w:tcBorders>
            <w:shd w:val="clear" w:color="auto" w:fill="auto"/>
            <w:vAlign w:val="center"/>
          </w:tcPr>
          <w:p w14:paraId="61C2C43D">
            <w:pPr>
              <w:spacing w:line="320" w:lineRule="atLeast"/>
              <w:jc w:val="center"/>
              <w:rPr>
                <w:rFonts w:ascii="华文宋体" w:hAnsi="华文宋体" w:eastAsia="华文宋体"/>
              </w:rPr>
            </w:pPr>
          </w:p>
        </w:tc>
        <w:tc>
          <w:tcPr>
            <w:tcW w:w="1701" w:type="dxa"/>
            <w:tcBorders>
              <w:top w:val="single" w:color="auto" w:sz="4" w:space="0"/>
              <w:left w:val="nil"/>
              <w:bottom w:val="single" w:color="auto" w:sz="4" w:space="0"/>
              <w:right w:val="single" w:color="auto" w:sz="4" w:space="0"/>
            </w:tcBorders>
            <w:shd w:val="clear" w:color="auto" w:fill="auto"/>
            <w:vAlign w:val="center"/>
          </w:tcPr>
          <w:p w14:paraId="3CFA1646">
            <w:pPr>
              <w:spacing w:line="320" w:lineRule="atLeast"/>
              <w:jc w:val="center"/>
              <w:rPr>
                <w:rFonts w:ascii="华文宋体" w:hAnsi="华文宋体" w:eastAsia="华文宋体"/>
              </w:rPr>
            </w:pPr>
          </w:p>
        </w:tc>
        <w:tc>
          <w:tcPr>
            <w:tcW w:w="567" w:type="dxa"/>
            <w:tcBorders>
              <w:top w:val="single" w:color="auto" w:sz="4" w:space="0"/>
              <w:left w:val="nil"/>
              <w:bottom w:val="single" w:color="auto" w:sz="4" w:space="0"/>
              <w:right w:val="single" w:color="auto" w:sz="4" w:space="0"/>
            </w:tcBorders>
            <w:shd w:val="clear" w:color="auto" w:fill="auto"/>
            <w:vAlign w:val="center"/>
          </w:tcPr>
          <w:p w14:paraId="1247275D">
            <w:pPr>
              <w:spacing w:line="320" w:lineRule="atLeast"/>
              <w:jc w:val="center"/>
              <w:rPr>
                <w:rFonts w:ascii="华文宋体" w:hAnsi="华文宋体" w:eastAsia="华文宋体"/>
              </w:rPr>
            </w:pPr>
            <w:r>
              <w:rPr>
                <w:rFonts w:hint="eastAsia" w:ascii="华文宋体" w:hAnsi="华文宋体" w:eastAsia="华文宋体"/>
              </w:rPr>
              <w:t>10</w:t>
            </w:r>
          </w:p>
        </w:tc>
        <w:tc>
          <w:tcPr>
            <w:tcW w:w="567" w:type="dxa"/>
            <w:tcBorders>
              <w:top w:val="single" w:color="auto" w:sz="4" w:space="0"/>
              <w:left w:val="nil"/>
              <w:bottom w:val="single" w:color="auto" w:sz="4" w:space="0"/>
              <w:right w:val="single" w:color="auto" w:sz="4" w:space="0"/>
            </w:tcBorders>
            <w:shd w:val="clear" w:color="auto" w:fill="auto"/>
            <w:vAlign w:val="center"/>
          </w:tcPr>
          <w:p w14:paraId="1C8546A6">
            <w:pPr>
              <w:spacing w:line="320" w:lineRule="atLeast"/>
              <w:jc w:val="center"/>
              <w:rPr>
                <w:rFonts w:ascii="华文宋体" w:hAnsi="华文宋体" w:eastAsia="华文宋体"/>
              </w:rPr>
            </w:pPr>
            <w:r>
              <w:rPr>
                <w:rFonts w:hint="eastAsia" w:ascii="华文宋体" w:hAnsi="华文宋体" w:eastAsia="华文宋体"/>
              </w:rPr>
              <w:t>10</w:t>
            </w:r>
          </w:p>
        </w:tc>
      </w:tr>
    </w:tbl>
    <w:p w14:paraId="13681AC4">
      <w:pPr>
        <w:ind w:firstLine="480" w:firstLineChars="200"/>
        <w:rPr>
          <w:rFonts w:ascii="华文宋体" w:hAnsi="华文宋体" w:eastAsia="华文宋体"/>
        </w:rPr>
      </w:pPr>
    </w:p>
    <w:p w14:paraId="65E8DDB9">
      <w:pPr>
        <w:ind w:firstLine="480" w:firstLineChars="200"/>
        <w:rPr>
          <w:rFonts w:ascii="华文宋体" w:hAnsi="华文宋体" w:eastAsia="华文宋体"/>
        </w:rPr>
      </w:pPr>
      <w:r>
        <w:rPr>
          <w:rFonts w:hint="eastAsia" w:ascii="华文宋体" w:hAnsi="华文宋体" w:eastAsia="华文宋体"/>
        </w:rPr>
        <w:t>南岸区基药管理中心完成区级应急物资储备物资，预算（计划）成本为196万元，实际成本为196万元，实际成本未超出计划成本。</w:t>
      </w:r>
    </w:p>
    <w:p w14:paraId="4336F219">
      <w:pPr>
        <w:ind w:firstLine="480" w:firstLineChars="200"/>
        <w:rPr>
          <w:rFonts w:ascii="华文宋体" w:hAnsi="华文宋体" w:eastAsia="华文宋体"/>
        </w:rPr>
      </w:pPr>
      <w:r>
        <w:rPr>
          <w:rFonts w:hint="eastAsia" w:ascii="华文宋体" w:hAnsi="华文宋体" w:eastAsia="华文宋体"/>
        </w:rPr>
        <w:t>根据重庆市财政局《关于清算2020年市级定点储备企业疫情防控物资储备补偿资金的通知》（渝财产业[2020]195号）文件，截到2020年7月31日，国药控股重庆医疗器械公司完成市级定点储备疫情防控物资，库存结余成本为56万元，国药控制重庆泰民医药有限公司完成市级定点储备疫情防控物资，库存结余成本为613.6万元（含因集中收储管理需转移而加计2%用于补助代储企业仓储及有工费用），实际成本未超出计划成本。</w:t>
      </w:r>
    </w:p>
    <w:p w14:paraId="62244FD0">
      <w:pPr>
        <w:ind w:firstLine="480" w:firstLineChars="200"/>
        <w:rPr>
          <w:rFonts w:ascii="华文宋体" w:hAnsi="华文宋体" w:eastAsia="华文宋体"/>
        </w:rPr>
      </w:pPr>
      <w:r>
        <w:rPr>
          <w:rFonts w:hint="eastAsia" w:ascii="华文宋体" w:hAnsi="华文宋体" w:eastAsia="华文宋体"/>
        </w:rPr>
        <w:t>2.项目效果分析（总分30分，实际得分27分）</w:t>
      </w:r>
    </w:p>
    <w:p w14:paraId="744CAC0F">
      <w:pPr>
        <w:ind w:firstLine="480" w:firstLineChars="200"/>
        <w:rPr>
          <w:rFonts w:ascii="华文宋体" w:hAnsi="华文宋体" w:eastAsia="华文宋体"/>
        </w:rPr>
      </w:pPr>
      <w:r>
        <w:rPr>
          <w:rFonts w:hint="eastAsia" w:ascii="华文宋体" w:hAnsi="华文宋体" w:eastAsia="华文宋体"/>
        </w:rPr>
        <w:t>（1）社会效益：项目实施后，对社会发展所带来的直接或间接显著影响得10分。</w:t>
      </w:r>
    </w:p>
    <w:p w14:paraId="2A624007">
      <w:pPr>
        <w:ind w:firstLine="480" w:firstLineChars="200"/>
        <w:rPr>
          <w:rFonts w:ascii="华文宋体" w:hAnsi="华文宋体" w:eastAsia="华文宋体"/>
        </w:rPr>
      </w:pPr>
      <w:r>
        <w:rPr>
          <w:rFonts w:hint="eastAsia" w:ascii="华文宋体" w:hAnsi="华文宋体" w:eastAsia="华文宋体"/>
        </w:rPr>
        <w:t xml:space="preserve">①项目实施，为卫生健康系统处置突发公共卫生事件提供充分的物资保障，提高了全区卫生应急准备水平；  </w:t>
      </w:r>
    </w:p>
    <w:p w14:paraId="0DA45004">
      <w:pPr>
        <w:ind w:firstLine="480" w:firstLineChars="200"/>
        <w:rPr>
          <w:rFonts w:ascii="华文宋体" w:hAnsi="华文宋体" w:eastAsia="华文宋体"/>
        </w:rPr>
      </w:pPr>
      <w:r>
        <w:rPr>
          <w:rFonts w:hint="eastAsia" w:ascii="华文宋体" w:hAnsi="华文宋体" w:eastAsia="华文宋体"/>
        </w:rPr>
        <w:t>②提高了对突发公共卫生事件的应对能力；</w:t>
      </w:r>
    </w:p>
    <w:p w14:paraId="36DAB994">
      <w:pPr>
        <w:ind w:firstLine="480" w:firstLineChars="200"/>
        <w:rPr>
          <w:rFonts w:ascii="华文宋体" w:hAnsi="华文宋体" w:eastAsia="华文宋体"/>
        </w:rPr>
      </w:pPr>
      <w:r>
        <w:rPr>
          <w:rFonts w:hint="eastAsia" w:ascii="华文宋体" w:hAnsi="华文宋体" w:eastAsia="华文宋体"/>
        </w:rPr>
        <w:t>③确保突发公共卫生事件能及时有效处置；</w:t>
      </w:r>
    </w:p>
    <w:p w14:paraId="696414BD">
      <w:pPr>
        <w:ind w:firstLine="480" w:firstLineChars="200"/>
        <w:rPr>
          <w:rFonts w:ascii="华文宋体" w:hAnsi="华文宋体" w:eastAsia="华文宋体"/>
        </w:rPr>
      </w:pPr>
      <w:r>
        <w:rPr>
          <w:rFonts w:hint="eastAsia" w:ascii="华文宋体" w:hAnsi="华文宋体" w:eastAsia="华文宋体"/>
        </w:rPr>
        <w:t>④应急物资保障体系建设，保护人民群众身体健康和生命安全，促进全区经济持续健康发展。</w:t>
      </w:r>
    </w:p>
    <w:p w14:paraId="5476DA5F">
      <w:pPr>
        <w:ind w:firstLine="480" w:firstLineChars="200"/>
        <w:rPr>
          <w:rFonts w:ascii="华文宋体" w:hAnsi="华文宋体" w:eastAsia="华文宋体"/>
        </w:rPr>
      </w:pPr>
      <w:r>
        <w:rPr>
          <w:rFonts w:hint="eastAsia" w:ascii="华文宋体" w:hAnsi="华文宋体" w:eastAsia="华文宋体"/>
        </w:rPr>
        <w:t>（2）可持续影响</w:t>
      </w:r>
    </w:p>
    <w:p w14:paraId="739F1689">
      <w:pPr>
        <w:ind w:firstLine="480" w:firstLineChars="200"/>
        <w:rPr>
          <w:rFonts w:ascii="华文宋体" w:hAnsi="华文宋体" w:eastAsia="华文宋体"/>
        </w:rPr>
      </w:pPr>
      <w:r>
        <w:rPr>
          <w:rFonts w:hint="eastAsia" w:ascii="华文宋体" w:hAnsi="华文宋体" w:eastAsia="华文宋体"/>
        </w:rPr>
        <w:t>应急物资保障体系建设，对有效期短的物资建立科学、有序的轮换机制，在有效期内完成物资使用，及时补充新生产物资，确保储备物资合格、有效，可以持续发挥作用，具有很好的可持续性影响。</w:t>
      </w:r>
    </w:p>
    <w:p w14:paraId="669A6473">
      <w:pPr>
        <w:ind w:firstLine="480" w:firstLineChars="200"/>
        <w:rPr>
          <w:rFonts w:ascii="华文宋体" w:hAnsi="华文宋体" w:eastAsia="华文宋体"/>
        </w:rPr>
      </w:pPr>
      <w:r>
        <w:rPr>
          <w:rFonts w:hint="eastAsia" w:ascii="华文宋体" w:hAnsi="华文宋体" w:eastAsia="华文宋体"/>
        </w:rPr>
        <w:t>区级储备物资代储单位未严格执行设立的物资有效期预警机制，部分物资已到有效期预警期，代储单位未履行上报程序，对项目可持续性产生不利影响，扣2分，实际得8分。</w:t>
      </w:r>
    </w:p>
    <w:p w14:paraId="3FC6444F">
      <w:pPr>
        <w:ind w:firstLine="480" w:firstLineChars="200"/>
        <w:rPr>
          <w:rFonts w:ascii="华文宋体" w:hAnsi="华文宋体" w:eastAsia="华文宋体"/>
        </w:rPr>
      </w:pPr>
      <w:r>
        <w:rPr>
          <w:rFonts w:hint="eastAsia" w:ascii="华文宋体" w:hAnsi="华文宋体" w:eastAsia="华文宋体"/>
        </w:rPr>
        <w:t>综上所述，本项目社会效益总体较好。标准分10分，扣2分，得8分。</w:t>
      </w:r>
    </w:p>
    <w:p w14:paraId="597FEAA8">
      <w:pPr>
        <w:ind w:firstLine="480" w:firstLineChars="200"/>
        <w:rPr>
          <w:rFonts w:ascii="华文宋体" w:hAnsi="华文宋体" w:eastAsia="华文宋体"/>
        </w:rPr>
      </w:pPr>
      <w:r>
        <w:rPr>
          <w:rFonts w:hint="eastAsia" w:ascii="华文宋体" w:hAnsi="华文宋体" w:eastAsia="华文宋体"/>
        </w:rPr>
        <w:t>（3）社会公众或服务对象满意度。</w:t>
      </w:r>
    </w:p>
    <w:p w14:paraId="69CF6B25">
      <w:pPr>
        <w:ind w:firstLine="480" w:firstLineChars="200"/>
        <w:rPr>
          <w:rFonts w:ascii="华文宋体" w:hAnsi="华文宋体" w:eastAsia="华文宋体"/>
        </w:rPr>
      </w:pPr>
      <w:r>
        <w:rPr>
          <w:rFonts w:hint="eastAsia" w:ascii="华文宋体" w:hAnsi="华文宋体" w:eastAsia="华文宋体"/>
        </w:rPr>
        <w:t>根据回收的问卷调查统计汇总，群众满意度为92%，小于95%，得9分。</w:t>
      </w:r>
      <w:bookmarkStart w:id="5" w:name="_Toc75123286"/>
    </w:p>
    <w:p w14:paraId="2607FCC1">
      <w:pPr>
        <w:ind w:firstLine="480" w:firstLineChars="200"/>
        <w:rPr>
          <w:rFonts w:ascii="华文宋体" w:hAnsi="华文宋体" w:eastAsia="华文宋体"/>
        </w:rPr>
      </w:pPr>
      <w:r>
        <w:rPr>
          <w:rFonts w:hint="eastAsia" w:ascii="华文宋体" w:hAnsi="华文宋体" w:eastAsia="华文宋体"/>
        </w:rPr>
        <w:t>三、存在主要问题</w:t>
      </w:r>
      <w:bookmarkEnd w:id="5"/>
    </w:p>
    <w:p w14:paraId="454A15B2">
      <w:pPr>
        <w:ind w:firstLine="480" w:firstLineChars="200"/>
        <w:rPr>
          <w:rFonts w:ascii="华文宋体" w:hAnsi="华文宋体" w:eastAsia="华文宋体"/>
        </w:rPr>
      </w:pPr>
      <w:r>
        <w:rPr>
          <w:rFonts w:hint="eastAsia" w:ascii="华文宋体" w:hAnsi="华文宋体" w:eastAsia="华文宋体"/>
        </w:rPr>
        <w:t>区级应急储备物资管理单位系南岸区基药管理中心，南岸区基药管理中心与代储单位国药医疗器械公司签订的《代储协议》约定：代储单位建立台账，每周定期报物资情况，设立物资效期预警机制，部分物资已到有效期预警期，代储单位未履行上报程序。</w:t>
      </w:r>
    </w:p>
    <w:p w14:paraId="30934357">
      <w:pPr>
        <w:pStyle w:val="2"/>
        <w:rPr>
          <w:rFonts w:ascii="华文宋体" w:hAnsi="华文宋体" w:eastAsia="华文宋体"/>
          <w:sz w:val="24"/>
          <w:szCs w:val="24"/>
        </w:rPr>
      </w:pPr>
      <w:bookmarkStart w:id="6" w:name="_Toc75123287"/>
      <w:r>
        <w:rPr>
          <w:rFonts w:hint="eastAsia" w:ascii="华文宋体" w:hAnsi="华文宋体" w:eastAsia="华文宋体"/>
          <w:sz w:val="24"/>
          <w:szCs w:val="24"/>
        </w:rPr>
        <w:t>四、原因分析及改进措施</w:t>
      </w:r>
      <w:bookmarkEnd w:id="6"/>
    </w:p>
    <w:p w14:paraId="483EA381">
      <w:pPr>
        <w:ind w:firstLine="480" w:firstLineChars="200"/>
        <w:rPr>
          <w:rFonts w:ascii="华文宋体" w:hAnsi="华文宋体" w:eastAsia="华文宋体"/>
        </w:rPr>
      </w:pPr>
      <w:r>
        <w:rPr>
          <w:rFonts w:hint="eastAsia" w:ascii="华文宋体" w:hAnsi="华文宋体" w:eastAsia="华文宋体"/>
        </w:rPr>
        <w:t>防护服、口罩等物资存在有效期，管理单位、代储单位应全面梳理储备物资有效期和状态，对有效期短的物资要建立科学、有序的轮转机制，在有效期内完成物资使用，及时补充新生产物资，确保储备物资合格、有效。</w:t>
      </w:r>
    </w:p>
    <w:p w14:paraId="15DBA90B">
      <w:pPr>
        <w:pStyle w:val="2"/>
        <w:rPr>
          <w:rFonts w:ascii="华文宋体" w:hAnsi="华文宋体" w:eastAsia="华文宋体"/>
          <w:sz w:val="24"/>
          <w:szCs w:val="24"/>
        </w:rPr>
      </w:pPr>
      <w:bookmarkStart w:id="7" w:name="_Toc75123288"/>
      <w:r>
        <w:rPr>
          <w:rFonts w:hint="eastAsia" w:ascii="华文宋体" w:hAnsi="华文宋体" w:eastAsia="华文宋体"/>
          <w:sz w:val="24"/>
          <w:szCs w:val="24"/>
        </w:rPr>
        <w:t>五、综合评价情况及评价结论</w:t>
      </w:r>
      <w:bookmarkEnd w:id="7"/>
      <w:r>
        <w:rPr>
          <w:rFonts w:hint="eastAsia" w:ascii="华文宋体" w:hAnsi="华文宋体" w:eastAsia="华文宋体"/>
          <w:sz w:val="24"/>
          <w:szCs w:val="24"/>
        </w:rPr>
        <w:tab/>
      </w:r>
    </w:p>
    <w:p w14:paraId="5BB76164">
      <w:pPr>
        <w:ind w:firstLine="480" w:firstLineChars="200"/>
        <w:rPr>
          <w:rFonts w:ascii="华文宋体" w:hAnsi="华文宋体" w:eastAsia="华文宋体"/>
          <w:highlight w:val="yellow"/>
        </w:rPr>
      </w:pPr>
      <w:r>
        <w:rPr>
          <w:rFonts w:hint="eastAsia" w:ascii="华文宋体" w:hAnsi="华文宋体" w:eastAsia="华文宋体"/>
        </w:rPr>
        <w:t>南岸区卫健委使用财政专项资金建立了卫生应急物资保障体系，建立南岸区卫生应急物资储备长效机制，进一步提升了南岸区卫生应急准备水平，为卫生健康系统处置突发公共卫生事件提供了充分的物资保障。该笔财政资金的使用，达到预期的各项目标，总体绩效较好，但在物资管理方面还存在一些不足。</w:t>
      </w:r>
    </w:p>
    <w:p w14:paraId="778BB15E">
      <w:pPr>
        <w:pStyle w:val="15"/>
        <w:tabs>
          <w:tab w:val="center" w:pos="4153"/>
          <w:tab w:val="left" w:pos="7275"/>
        </w:tabs>
        <w:spacing w:line="600" w:lineRule="exact"/>
        <w:ind w:firstLine="480"/>
        <w:rPr>
          <w:rFonts w:ascii="华文宋体" w:hAnsi="华文宋体" w:eastAsia="华文宋体" w:cs="宋体"/>
          <w:b/>
          <w:kern w:val="0"/>
          <w:sz w:val="24"/>
          <w:szCs w:val="24"/>
        </w:rPr>
      </w:pPr>
      <w:r>
        <w:rPr>
          <w:rFonts w:hint="eastAsia" w:ascii="华文宋体" w:hAnsi="华文宋体" w:eastAsia="华文宋体" w:cs="宋体"/>
          <w:bCs/>
          <w:sz w:val="24"/>
          <w:szCs w:val="24"/>
        </w:rPr>
        <w:t>通过综合评价，2020年度南岸区卫生健康委员会</w:t>
      </w:r>
      <w:r>
        <w:rPr>
          <w:rFonts w:hint="eastAsia" w:ascii="华文宋体" w:hAnsi="华文宋体" w:eastAsia="华文宋体" w:cs="宋体"/>
          <w:sz w:val="24"/>
          <w:szCs w:val="24"/>
        </w:rPr>
        <w:t>应急物资保障体系建设</w:t>
      </w:r>
      <w:r>
        <w:rPr>
          <w:rFonts w:hint="eastAsia" w:ascii="华文宋体" w:hAnsi="华文宋体" w:eastAsia="华文宋体" w:cs="宋体"/>
          <w:bCs/>
          <w:sz w:val="24"/>
          <w:szCs w:val="24"/>
        </w:rPr>
        <w:t>项目最终评价得分93分。</w:t>
      </w:r>
    </w:p>
    <w:p w14:paraId="2B4918EF">
      <w:pPr>
        <w:pStyle w:val="15"/>
        <w:tabs>
          <w:tab w:val="center" w:pos="4153"/>
          <w:tab w:val="left" w:pos="7275"/>
        </w:tabs>
        <w:spacing w:line="600" w:lineRule="exact"/>
        <w:ind w:firstLine="0" w:firstLineChars="0"/>
        <w:rPr>
          <w:rFonts w:ascii="华文宋体" w:hAnsi="华文宋体" w:eastAsia="华文宋体" w:cs="宋体"/>
          <w:b/>
          <w:kern w:val="0"/>
          <w:sz w:val="24"/>
          <w:szCs w:val="24"/>
        </w:rPr>
      </w:pPr>
    </w:p>
    <w:p w14:paraId="7298E618">
      <w:pPr>
        <w:pStyle w:val="15"/>
        <w:tabs>
          <w:tab w:val="center" w:pos="4153"/>
          <w:tab w:val="left" w:pos="7275"/>
        </w:tabs>
        <w:spacing w:line="600" w:lineRule="exact"/>
        <w:ind w:firstLine="0" w:firstLineChars="0"/>
        <w:rPr>
          <w:rFonts w:ascii="华文宋体" w:hAnsi="华文宋体" w:eastAsia="华文宋体" w:cs="宋体"/>
          <w:b/>
          <w:kern w:val="0"/>
          <w:sz w:val="24"/>
          <w:szCs w:val="24"/>
        </w:rPr>
      </w:pPr>
    </w:p>
    <w:p w14:paraId="1D8CAB9B">
      <w:pPr>
        <w:pStyle w:val="15"/>
        <w:tabs>
          <w:tab w:val="center" w:pos="4153"/>
          <w:tab w:val="left" w:pos="7275"/>
        </w:tabs>
        <w:spacing w:line="600" w:lineRule="exact"/>
        <w:ind w:firstLine="2880" w:firstLineChars="1200"/>
        <w:rPr>
          <w:rFonts w:ascii="华文宋体" w:hAnsi="华文宋体" w:eastAsia="华文宋体"/>
          <w:sz w:val="24"/>
          <w:szCs w:val="24"/>
        </w:rPr>
      </w:pPr>
      <w:r>
        <w:rPr>
          <w:rFonts w:hint="eastAsia" w:ascii="华文宋体" w:hAnsi="华文宋体" w:eastAsia="华文宋体"/>
          <w:sz w:val="24"/>
          <w:szCs w:val="24"/>
        </w:rPr>
        <w:t>重庆凯弘会计师事务所有限公司</w:t>
      </w:r>
    </w:p>
    <w:p w14:paraId="3D3341FB">
      <w:pPr>
        <w:pStyle w:val="15"/>
        <w:tabs>
          <w:tab w:val="center" w:pos="4153"/>
          <w:tab w:val="left" w:pos="7275"/>
        </w:tabs>
        <w:spacing w:line="600" w:lineRule="exact"/>
        <w:ind w:firstLine="3840" w:firstLineChars="1600"/>
        <w:rPr>
          <w:rFonts w:ascii="华文宋体" w:hAnsi="华文宋体" w:eastAsia="华文宋体"/>
          <w:sz w:val="24"/>
          <w:szCs w:val="24"/>
        </w:rPr>
      </w:pPr>
      <w:r>
        <w:rPr>
          <w:rFonts w:hint="eastAsia" w:ascii="华文宋体" w:hAnsi="华文宋体" w:eastAsia="华文宋体" w:cs="宋体"/>
          <w:sz w:val="24"/>
          <w:szCs w:val="24"/>
        </w:rPr>
        <w:t>2021年6月18日</w:t>
      </w:r>
    </w:p>
    <w:p w14:paraId="41077C1F">
      <w:pPr>
        <w:pStyle w:val="15"/>
        <w:tabs>
          <w:tab w:val="center" w:pos="4153"/>
          <w:tab w:val="left" w:pos="7275"/>
        </w:tabs>
        <w:spacing w:line="600" w:lineRule="exact"/>
        <w:ind w:firstLine="643"/>
        <w:rPr>
          <w:rFonts w:ascii="方正仿宋_GBK" w:hAnsi="宋体" w:eastAsia="方正仿宋_GBK" w:cs="宋体"/>
          <w:b/>
          <w:kern w:val="0"/>
          <w:sz w:val="32"/>
          <w:szCs w:val="32"/>
        </w:rPr>
      </w:pPr>
    </w:p>
    <w:p w14:paraId="71B85736">
      <w:pPr>
        <w:pStyle w:val="15"/>
        <w:tabs>
          <w:tab w:val="center" w:pos="4153"/>
          <w:tab w:val="left" w:pos="7275"/>
        </w:tabs>
        <w:spacing w:line="600" w:lineRule="exact"/>
        <w:ind w:firstLine="643"/>
        <w:rPr>
          <w:rFonts w:ascii="方正仿宋_GBK" w:hAnsi="宋体" w:eastAsia="方正仿宋_GBK" w:cs="宋体"/>
          <w:b/>
          <w:kern w:val="0"/>
          <w:sz w:val="32"/>
          <w:szCs w:val="32"/>
        </w:rPr>
      </w:pPr>
      <w:r>
        <w:rPr>
          <w:rFonts w:hint="eastAsia" w:ascii="方正仿宋_GBK" w:hAnsi="宋体" w:eastAsia="方正仿宋_GBK" w:cs="宋体"/>
          <w:b/>
          <w:kern w:val="0"/>
          <w:sz w:val="32"/>
          <w:szCs w:val="32"/>
        </w:rPr>
        <w:t>（三）重点绩效评价结果（如有）</w:t>
      </w:r>
    </w:p>
    <w:p w14:paraId="0C8EE931">
      <w:pPr>
        <w:pStyle w:val="15"/>
        <w:tabs>
          <w:tab w:val="center" w:pos="4153"/>
          <w:tab w:val="left" w:pos="7275"/>
        </w:tabs>
        <w:spacing w:line="600" w:lineRule="exact"/>
        <w:ind w:firstLine="640"/>
        <w:rPr>
          <w:rFonts w:ascii="方正仿宋_GBK" w:hAnsi="宋体" w:eastAsia="方正仿宋_GBK" w:cs="宋体"/>
          <w:b/>
          <w:kern w:val="0"/>
          <w:sz w:val="32"/>
          <w:szCs w:val="32"/>
        </w:rPr>
      </w:pPr>
      <w:r>
        <w:rPr>
          <w:rFonts w:hint="eastAsia" w:ascii="方正仿宋_GBK" w:eastAsia="方正仿宋_GBK"/>
          <w:sz w:val="32"/>
          <w:szCs w:val="32"/>
        </w:rPr>
        <w:t>见附件1</w:t>
      </w:r>
    </w:p>
    <w:p w14:paraId="7F17A1CA">
      <w:pPr>
        <w:pStyle w:val="8"/>
        <w:shd w:val="clear" w:color="auto" w:fill="FFFFFF"/>
        <w:spacing w:before="0" w:beforeAutospacing="0" w:after="0" w:afterAutospacing="0" w:line="600" w:lineRule="exact"/>
        <w:ind w:firstLine="640" w:firstLineChars="200"/>
        <w:jc w:val="both"/>
        <w:outlineLvl w:val="0"/>
        <w:rPr>
          <w:rStyle w:val="11"/>
          <w:rFonts w:ascii="方正黑体_GBK" w:eastAsia="方正黑体_GBK"/>
        </w:rPr>
      </w:pPr>
      <w:r>
        <w:rPr>
          <w:rStyle w:val="11"/>
          <w:rFonts w:hint="eastAsia" w:ascii="方正黑体_GBK" w:eastAsia="方正黑体_GBK"/>
          <w:b w:val="0"/>
          <w:sz w:val="32"/>
          <w:szCs w:val="32"/>
        </w:rPr>
        <w:t>六、专业名词解释</w:t>
      </w:r>
    </w:p>
    <w:p w14:paraId="02A73854">
      <w:pPr>
        <w:pStyle w:val="8"/>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（一）财政拨款收入</w:t>
      </w:r>
      <w:r>
        <w:rPr>
          <w:rFonts w:hint="eastAsia" w:ascii="方正仿宋_GBK" w:eastAsia="方正仿宋_GBK"/>
          <w:sz w:val="32"/>
          <w:szCs w:val="32"/>
        </w:rPr>
        <w:t>：指本年度从本级财政部门取得的财政拨款，包括一般公共预算财政拨款和政府性基金预算财政拨款。</w:t>
      </w:r>
    </w:p>
    <w:p w14:paraId="3FB2DB88">
      <w:pPr>
        <w:pStyle w:val="8"/>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（二）事业收入</w:t>
      </w:r>
      <w:r>
        <w:rPr>
          <w:rFonts w:hint="eastAsia" w:ascii="方正仿宋_GBK" w:eastAsia="方正仿宋_GBK"/>
          <w:sz w:val="32"/>
          <w:szCs w:val="32"/>
        </w:rPr>
        <w:t>：指事业单位开展专业业务活动及其辅助活动取得的现金流入；事业单位收到的财政专户实际核拨的教育收费等资金在此反映。</w:t>
      </w:r>
    </w:p>
    <w:p w14:paraId="7BC2CA15">
      <w:pPr>
        <w:pStyle w:val="8"/>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（三）经营收入</w:t>
      </w:r>
      <w:r>
        <w:rPr>
          <w:rFonts w:hint="eastAsia" w:ascii="方正仿宋_GBK" w:eastAsia="方正仿宋_GBK"/>
          <w:sz w:val="32"/>
          <w:szCs w:val="32"/>
        </w:rPr>
        <w:t>：指事业单位在专业业务活动及其辅助活动之外开展非独立核算经营活动取得的现金流入。</w:t>
      </w:r>
    </w:p>
    <w:p w14:paraId="4FE029BC">
      <w:pPr>
        <w:pStyle w:val="8"/>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（四）其他收入</w:t>
      </w:r>
      <w:r>
        <w:rPr>
          <w:rFonts w:hint="eastAsia" w:ascii="方正仿宋_GBK" w:eastAsia="方正仿宋_GBK"/>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416A642F">
      <w:pPr>
        <w:pStyle w:val="8"/>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（五）用事业基金弥补收支差额</w:t>
      </w:r>
      <w:r>
        <w:rPr>
          <w:rFonts w:hint="eastAsia" w:ascii="方正仿宋_GBK" w:eastAsia="方正仿宋_GBK"/>
          <w:sz w:val="32"/>
          <w:szCs w:val="32"/>
        </w:rPr>
        <w:t>：指事业单位在当年的“财政拨款收入”、“事业收入”、“经营收入”、“其他收入”等不足以安排当年支出的情况下，使用以前年度积累的事业基金（事业单位当年收支相抵后按国家规定提取、用于弥补以后年度收支差额的基金）弥补本年度收支缺口的资金。</w:t>
      </w:r>
    </w:p>
    <w:p w14:paraId="0039BDFC">
      <w:pPr>
        <w:pStyle w:val="8"/>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（六）年初结转和结余</w:t>
      </w:r>
      <w:r>
        <w:rPr>
          <w:rFonts w:hint="eastAsia" w:ascii="方正仿宋_GBK" w:eastAsia="方正仿宋_GBK"/>
          <w:sz w:val="32"/>
          <w:szCs w:val="32"/>
        </w:rPr>
        <w:t>：指单位上年结转本年使用的基本支出结转、项目支出结转和结余、经营结余。</w:t>
      </w:r>
    </w:p>
    <w:p w14:paraId="6AC3F119">
      <w:pPr>
        <w:pStyle w:val="8"/>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（七）结余分配</w:t>
      </w:r>
      <w:r>
        <w:rPr>
          <w:rFonts w:hint="eastAsia" w:ascii="方正仿宋_GBK" w:eastAsia="方正仿宋_GBK"/>
          <w:sz w:val="32"/>
          <w:szCs w:val="32"/>
        </w:rPr>
        <w:t>：指单位按照国家有关规定，缴纳所得税、提取专用基金、转入事业基金等当年结余的分配情况。</w:t>
      </w:r>
    </w:p>
    <w:p w14:paraId="00A8D88C">
      <w:pPr>
        <w:pStyle w:val="8"/>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（八）年末结转和结余</w:t>
      </w:r>
      <w:r>
        <w:rPr>
          <w:rFonts w:hint="eastAsia" w:ascii="方正仿宋_GBK" w:eastAsia="方正仿宋_GBK"/>
          <w:sz w:val="32"/>
          <w:szCs w:val="32"/>
        </w:rPr>
        <w:t>：指单位结转下年的基本支出结转、项目支出结转和结余、经营结余。</w:t>
      </w:r>
    </w:p>
    <w:p w14:paraId="6EB4F24D">
      <w:pPr>
        <w:pStyle w:val="8"/>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（九）基本支出</w:t>
      </w:r>
      <w:r>
        <w:rPr>
          <w:rFonts w:hint="eastAsia" w:ascii="方正仿宋_GBK" w:eastAsia="方正仿宋_GBK"/>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295888AA">
      <w:pPr>
        <w:pStyle w:val="8"/>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（十）项目支出</w:t>
      </w:r>
      <w:r>
        <w:rPr>
          <w:rFonts w:hint="eastAsia" w:ascii="方正仿宋_GBK" w:eastAsia="方正仿宋_GBK"/>
          <w:sz w:val="32"/>
          <w:szCs w:val="32"/>
        </w:rPr>
        <w:t>：指在基本支出之外为完成特定行政任务和事业发展目标所发生的支出。</w:t>
      </w:r>
    </w:p>
    <w:p w14:paraId="52FD8939">
      <w:pPr>
        <w:pStyle w:val="8"/>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（十一）经营支出</w:t>
      </w:r>
      <w:r>
        <w:rPr>
          <w:rFonts w:hint="eastAsia" w:ascii="方正仿宋_GBK" w:eastAsia="方正仿宋_GBK"/>
          <w:sz w:val="32"/>
          <w:szCs w:val="32"/>
        </w:rPr>
        <w:t>：指事业单位在专业业务活动及其辅助活动之外开展非独立核算经营活动发生的支出。</w:t>
      </w:r>
    </w:p>
    <w:p w14:paraId="28CD67DC">
      <w:pPr>
        <w:pStyle w:val="8"/>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（十二）“三公”经费</w:t>
      </w:r>
      <w:r>
        <w:rPr>
          <w:rFonts w:hint="eastAsia" w:ascii="方正仿宋_GBK" w:eastAsia="方正仿宋_GBK"/>
          <w:sz w:val="32"/>
          <w:szCs w:val="32"/>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4FE93EC3">
      <w:pPr>
        <w:pStyle w:val="8"/>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（十三）机关运行经费</w:t>
      </w:r>
      <w:r>
        <w:rPr>
          <w:rFonts w:hint="eastAsia" w:ascii="方正仿宋_GBK" w:eastAsia="方正仿宋_GBK"/>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71E3E0FF">
      <w:pPr>
        <w:pStyle w:val="8"/>
        <w:widowControl w:val="0"/>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（十四）工资福利支出（支出经济分类科目类级）</w:t>
      </w:r>
      <w:r>
        <w:rPr>
          <w:rFonts w:hint="eastAsia" w:ascii="方正仿宋_GBK" w:eastAsia="方正仿宋_GBK"/>
          <w:sz w:val="32"/>
          <w:szCs w:val="32"/>
        </w:rPr>
        <w:t>：反映单位开支的在职职工和编制外长期聘用人员的各类劳动报酬，以及为上述人员缴纳的各项社会保险费等。</w:t>
      </w:r>
    </w:p>
    <w:p w14:paraId="36FD7C0B">
      <w:pPr>
        <w:pStyle w:val="8"/>
        <w:widowControl w:val="0"/>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（十五）商品和服务支出（支出经济分类科目类级）</w:t>
      </w:r>
      <w:r>
        <w:rPr>
          <w:rFonts w:hint="eastAsia" w:ascii="方正仿宋_GBK" w:eastAsia="方正仿宋_GBK"/>
          <w:sz w:val="32"/>
          <w:szCs w:val="32"/>
        </w:rPr>
        <w:t>：反映单位购买商品和服务的支出（不包括用于购置固定资产的支出、战略性和应急储备支出）。</w:t>
      </w:r>
    </w:p>
    <w:p w14:paraId="59C9139A">
      <w:pPr>
        <w:pStyle w:val="8"/>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（十六）对个人和家庭的补助（支出经济分类科目类级）</w:t>
      </w:r>
      <w:r>
        <w:rPr>
          <w:rFonts w:hint="eastAsia" w:ascii="方正仿宋_GBK" w:eastAsia="方正仿宋_GBK"/>
          <w:sz w:val="32"/>
          <w:szCs w:val="32"/>
        </w:rPr>
        <w:t>：反映用于对个人和家庭的补助支出。</w:t>
      </w:r>
    </w:p>
    <w:p w14:paraId="31BD0E73">
      <w:pPr>
        <w:pStyle w:val="8"/>
        <w:shd w:val="clear" w:color="auto" w:fill="FFFFFF"/>
        <w:spacing w:before="0" w:beforeAutospacing="0" w:after="0" w:afterAutospacing="0" w:line="600" w:lineRule="exact"/>
        <w:ind w:firstLine="643" w:firstLineChars="200"/>
        <w:jc w:val="both"/>
        <w:rPr>
          <w:rFonts w:ascii="方正仿宋_GBK" w:eastAsia="方正仿宋_GBK"/>
          <w:sz w:val="32"/>
          <w:szCs w:val="32"/>
        </w:rPr>
      </w:pPr>
      <w:r>
        <w:rPr>
          <w:rStyle w:val="11"/>
          <w:rFonts w:hint="eastAsia" w:ascii="方正仿宋_GBK" w:eastAsia="方正仿宋_GBK"/>
          <w:sz w:val="32"/>
          <w:szCs w:val="32"/>
        </w:rPr>
        <w:t>（十七）其他资本性支出（支出经济分类科目类级）</w:t>
      </w:r>
      <w:r>
        <w:rPr>
          <w:rFonts w:hint="eastAsia" w:ascii="方正仿宋_GBK" w:eastAsia="方正仿宋_GBK"/>
          <w:sz w:val="32"/>
          <w:szCs w:val="32"/>
        </w:rPr>
        <w:t>：反映非各级发展与改革部门集中安排的用于购置固定资产、战略性和应急性储备、土地和无形资产，以及构建基础设施、大型修缮和财政支持企业更新改造所发生的支出。</w:t>
      </w:r>
    </w:p>
    <w:p w14:paraId="6C54B2FA">
      <w:pPr>
        <w:pStyle w:val="8"/>
        <w:shd w:val="clear" w:color="auto" w:fill="FFFFFF"/>
        <w:spacing w:before="0" w:beforeAutospacing="0" w:after="0" w:afterAutospacing="0" w:line="600" w:lineRule="exact"/>
        <w:ind w:firstLine="640" w:firstLineChars="200"/>
        <w:jc w:val="both"/>
        <w:outlineLvl w:val="0"/>
        <w:rPr>
          <w:rFonts w:ascii="方正黑体_GBK" w:eastAsia="方正黑体_GBK"/>
          <w:b/>
          <w:sz w:val="32"/>
          <w:szCs w:val="32"/>
        </w:rPr>
      </w:pPr>
      <w:r>
        <w:rPr>
          <w:rStyle w:val="11"/>
          <w:rFonts w:hint="eastAsia" w:ascii="方正黑体_GBK" w:eastAsia="方正黑体_GBK"/>
          <w:b w:val="0"/>
          <w:sz w:val="32"/>
          <w:szCs w:val="32"/>
        </w:rPr>
        <w:t>七、决算公开联系方式及信息反馈渠道</w:t>
      </w:r>
    </w:p>
    <w:p w14:paraId="7A2E935C">
      <w:pPr>
        <w:pStyle w:val="8"/>
        <w:shd w:val="clear" w:color="auto" w:fill="FFFFFF"/>
        <w:spacing w:before="0" w:beforeAutospacing="0" w:after="0" w:afterAutospacing="0" w:line="600" w:lineRule="exact"/>
        <w:ind w:firstLine="640" w:firstLineChars="200"/>
        <w:jc w:val="both"/>
        <w:rPr>
          <w:rFonts w:ascii="方正仿宋_GBK" w:eastAsia="方正仿宋_GBK"/>
          <w:sz w:val="32"/>
          <w:szCs w:val="32"/>
        </w:rPr>
      </w:pPr>
      <w:r>
        <w:rPr>
          <w:rFonts w:hint="eastAsia" w:ascii="方正仿宋_GBK" w:eastAsia="方正仿宋_GBK"/>
          <w:sz w:val="32"/>
          <w:szCs w:val="32"/>
        </w:rPr>
        <w:t>本单位决算公开信息反馈和联系方式：023-62988123</w:t>
      </w:r>
    </w:p>
    <w:p w14:paraId="42BC19B3">
      <w:pPr>
        <w:pStyle w:val="8"/>
        <w:shd w:val="clear" w:color="auto" w:fill="FFFFFF"/>
        <w:spacing w:before="0" w:beforeAutospacing="0" w:after="0" w:afterAutospacing="0" w:line="600" w:lineRule="exact"/>
        <w:ind w:firstLine="640" w:firstLineChars="200"/>
        <w:jc w:val="both"/>
        <w:rPr>
          <w:rFonts w:ascii="方正仿宋_GBK" w:eastAsia="方正仿宋_GBK"/>
          <w:sz w:val="32"/>
          <w:szCs w:val="32"/>
        </w:rPr>
      </w:pPr>
    </w:p>
    <w:p w14:paraId="5EE2FBD8">
      <w:pPr>
        <w:pStyle w:val="8"/>
        <w:shd w:val="clear" w:color="auto" w:fill="FFFFFF"/>
        <w:spacing w:before="0" w:beforeAutospacing="0" w:after="0" w:afterAutospacing="0" w:line="600" w:lineRule="exact"/>
        <w:ind w:firstLine="640" w:firstLineChars="200"/>
        <w:jc w:val="both"/>
        <w:rPr>
          <w:rFonts w:ascii="方正仿宋_GBK" w:eastAsia="方正仿宋_GBK"/>
          <w:sz w:val="32"/>
          <w:szCs w:val="32"/>
        </w:rPr>
      </w:pPr>
    </w:p>
    <w:p w14:paraId="4A39CCD5">
      <w:pPr>
        <w:pStyle w:val="8"/>
        <w:shd w:val="clear" w:color="auto" w:fill="FFFFFF"/>
        <w:spacing w:before="0" w:beforeAutospacing="0" w:after="0" w:afterAutospacing="0" w:line="600" w:lineRule="exact"/>
        <w:ind w:firstLine="640" w:firstLineChars="200"/>
        <w:jc w:val="both"/>
        <w:rPr>
          <w:rFonts w:ascii="方正仿宋_GBK" w:eastAsia="方正仿宋_GBK"/>
          <w:sz w:val="32"/>
          <w:szCs w:val="32"/>
        </w:rPr>
      </w:pPr>
    </w:p>
    <w:p w14:paraId="1CB2C31E">
      <w:pPr>
        <w:pStyle w:val="8"/>
        <w:shd w:val="clear" w:color="auto" w:fill="FFFFFF"/>
        <w:spacing w:before="0" w:beforeAutospacing="0" w:after="0" w:afterAutospacing="0" w:line="600" w:lineRule="exact"/>
        <w:ind w:firstLine="640" w:firstLineChars="200"/>
        <w:jc w:val="both"/>
        <w:rPr>
          <w:rFonts w:ascii="方正仿宋_GBK" w:eastAsia="方正仿宋_GBK"/>
          <w:sz w:val="32"/>
          <w:szCs w:val="32"/>
        </w:rPr>
      </w:pPr>
    </w:p>
    <w:p w14:paraId="27BC081C">
      <w:pPr>
        <w:pStyle w:val="8"/>
        <w:shd w:val="clear" w:color="auto" w:fill="FFFFFF"/>
        <w:spacing w:before="0" w:beforeAutospacing="0" w:after="0" w:afterAutospacing="0" w:line="600" w:lineRule="exact"/>
        <w:ind w:firstLine="640" w:firstLineChars="200"/>
        <w:jc w:val="both"/>
        <w:rPr>
          <w:rFonts w:ascii="方正仿宋_GBK" w:eastAsia="方正仿宋_GBK"/>
          <w:sz w:val="32"/>
          <w:szCs w:val="32"/>
        </w:rPr>
      </w:pPr>
    </w:p>
    <w:p w14:paraId="542DD787">
      <w:pPr>
        <w:pStyle w:val="8"/>
        <w:shd w:val="clear" w:color="auto" w:fill="FFFFFF"/>
        <w:spacing w:before="0" w:beforeAutospacing="0" w:after="0" w:afterAutospacing="0" w:line="600" w:lineRule="exact"/>
        <w:ind w:firstLine="640" w:firstLineChars="200"/>
        <w:jc w:val="both"/>
        <w:rPr>
          <w:rFonts w:ascii="方正仿宋_GBK" w:eastAsia="方正仿宋_GBK"/>
          <w:sz w:val="32"/>
          <w:szCs w:val="32"/>
        </w:rPr>
      </w:pPr>
    </w:p>
    <w:p w14:paraId="3320A967">
      <w:pPr>
        <w:pStyle w:val="8"/>
        <w:shd w:val="clear" w:color="auto" w:fill="FFFFFF"/>
        <w:spacing w:before="0" w:beforeAutospacing="0" w:after="0" w:afterAutospacing="0" w:line="600" w:lineRule="exact"/>
        <w:ind w:firstLine="640" w:firstLineChars="200"/>
        <w:jc w:val="both"/>
        <w:rPr>
          <w:rFonts w:ascii="方正仿宋_GBK" w:eastAsia="方正仿宋_GBK"/>
          <w:sz w:val="32"/>
          <w:szCs w:val="32"/>
        </w:rPr>
      </w:pPr>
    </w:p>
    <w:p w14:paraId="419587AE">
      <w:pPr>
        <w:pStyle w:val="8"/>
        <w:shd w:val="clear" w:color="auto" w:fill="FFFFFF"/>
        <w:spacing w:before="0" w:beforeAutospacing="0" w:after="0" w:afterAutospacing="0" w:line="600" w:lineRule="exact"/>
        <w:ind w:firstLine="640" w:firstLineChars="200"/>
        <w:jc w:val="both"/>
        <w:rPr>
          <w:rFonts w:ascii="方正仿宋_GBK" w:eastAsia="方正仿宋_GBK"/>
          <w:sz w:val="32"/>
          <w:szCs w:val="32"/>
        </w:rPr>
      </w:pPr>
    </w:p>
    <w:p w14:paraId="16D6764E">
      <w:pPr>
        <w:pStyle w:val="8"/>
        <w:shd w:val="clear" w:color="auto" w:fill="FFFFFF"/>
        <w:spacing w:before="0" w:beforeAutospacing="0" w:after="0" w:afterAutospacing="0" w:line="600" w:lineRule="exact"/>
        <w:ind w:firstLine="640" w:firstLineChars="200"/>
        <w:jc w:val="both"/>
        <w:rPr>
          <w:rFonts w:ascii="方正仿宋_GBK" w:eastAsia="方正仿宋_GBK"/>
          <w:sz w:val="32"/>
          <w:szCs w:val="32"/>
        </w:rPr>
      </w:pPr>
    </w:p>
    <w:p w14:paraId="244A7D0C">
      <w:pPr>
        <w:pStyle w:val="8"/>
        <w:shd w:val="clear" w:color="auto" w:fill="FFFFFF"/>
        <w:spacing w:before="0" w:beforeAutospacing="0" w:after="0" w:afterAutospacing="0" w:line="600" w:lineRule="exact"/>
        <w:ind w:firstLine="640" w:firstLineChars="200"/>
        <w:jc w:val="both"/>
        <w:rPr>
          <w:rFonts w:ascii="方正仿宋_GBK" w:eastAsia="方正仿宋_GBK"/>
          <w:sz w:val="32"/>
          <w:szCs w:val="32"/>
        </w:rPr>
      </w:pPr>
    </w:p>
    <w:p w14:paraId="4614A94C">
      <w:pPr>
        <w:pStyle w:val="8"/>
        <w:shd w:val="clear" w:color="auto" w:fill="FFFFFF"/>
        <w:spacing w:before="0" w:beforeAutospacing="0" w:after="0" w:afterAutospacing="0" w:line="600" w:lineRule="exact"/>
        <w:ind w:firstLine="640" w:firstLineChars="200"/>
        <w:jc w:val="both"/>
        <w:rPr>
          <w:rFonts w:ascii="方正仿宋_GBK" w:eastAsia="方正仿宋_GBK"/>
          <w:sz w:val="32"/>
          <w:szCs w:val="32"/>
        </w:rPr>
      </w:pPr>
    </w:p>
    <w:p w14:paraId="36DDABDF">
      <w:pPr>
        <w:pStyle w:val="8"/>
        <w:shd w:val="clear" w:color="auto" w:fill="FFFFFF"/>
        <w:spacing w:before="0" w:beforeAutospacing="0" w:after="0" w:afterAutospacing="0" w:line="600" w:lineRule="exact"/>
        <w:jc w:val="both"/>
        <w:rPr>
          <w:rFonts w:ascii="方正仿宋_GBK" w:eastAsia="方正仿宋_GBK"/>
          <w:sz w:val="32"/>
          <w:szCs w:val="32"/>
        </w:rPr>
      </w:pPr>
      <w:r>
        <w:rPr>
          <w:rFonts w:hint="eastAsia" w:ascii="方正仿宋_GBK" w:eastAsia="方正仿宋_GBK"/>
          <w:sz w:val="32"/>
          <w:szCs w:val="32"/>
        </w:rPr>
        <w:t>附件1</w:t>
      </w:r>
    </w:p>
    <w:p w14:paraId="09349DC8">
      <w:pPr>
        <w:pStyle w:val="8"/>
        <w:shd w:val="clear" w:color="auto" w:fill="FFFFFF"/>
        <w:spacing w:before="0" w:beforeAutospacing="0" w:after="0" w:afterAutospacing="0" w:line="600" w:lineRule="exact"/>
        <w:jc w:val="center"/>
        <w:rPr>
          <w:rFonts w:ascii="方正仿宋_GBK" w:eastAsia="方正仿宋_GBK"/>
          <w:sz w:val="32"/>
          <w:szCs w:val="32"/>
        </w:rPr>
      </w:pPr>
      <w:r>
        <w:rPr>
          <w:rFonts w:hint="eastAsia" w:ascii="方正仿宋_GBK" w:eastAsia="方正仿宋_GBK"/>
          <w:sz w:val="32"/>
          <w:szCs w:val="32"/>
        </w:rPr>
        <w:t>重庆市南岸区卫生健康委员会</w:t>
      </w:r>
    </w:p>
    <w:p w14:paraId="59DF42A9">
      <w:pPr>
        <w:pStyle w:val="8"/>
        <w:shd w:val="clear" w:color="auto" w:fill="FFFFFF"/>
        <w:spacing w:before="0" w:beforeAutospacing="0" w:after="0" w:afterAutospacing="0" w:line="600" w:lineRule="exact"/>
        <w:jc w:val="center"/>
        <w:rPr>
          <w:rFonts w:ascii="方正仿宋_GBK" w:eastAsia="方正仿宋_GBK"/>
          <w:sz w:val="32"/>
          <w:szCs w:val="32"/>
        </w:rPr>
      </w:pPr>
      <w:r>
        <w:rPr>
          <w:rFonts w:hint="eastAsia" w:ascii="方正仿宋_GBK" w:eastAsia="方正仿宋_GBK"/>
          <w:sz w:val="32"/>
          <w:szCs w:val="32"/>
        </w:rPr>
        <w:t>医疗服务能力提升建设项目</w:t>
      </w:r>
    </w:p>
    <w:p w14:paraId="5C472259">
      <w:pPr>
        <w:pStyle w:val="8"/>
        <w:shd w:val="clear" w:color="auto" w:fill="FFFFFF"/>
        <w:spacing w:before="0" w:beforeAutospacing="0" w:after="0" w:afterAutospacing="0" w:line="600" w:lineRule="exact"/>
        <w:jc w:val="center"/>
        <w:rPr>
          <w:rFonts w:ascii="方正仿宋_GBK" w:eastAsia="方正仿宋_GBK"/>
          <w:sz w:val="32"/>
          <w:szCs w:val="32"/>
        </w:rPr>
      </w:pPr>
      <w:r>
        <w:rPr>
          <w:rFonts w:hint="eastAsia" w:ascii="方正仿宋_GBK" w:eastAsia="方正仿宋_GBK"/>
          <w:sz w:val="32"/>
          <w:szCs w:val="32"/>
        </w:rPr>
        <w:t>绩效评价报告</w:t>
      </w:r>
    </w:p>
    <w:p w14:paraId="65CE1F8F">
      <w:pPr>
        <w:pStyle w:val="8"/>
        <w:shd w:val="clear" w:color="auto" w:fill="FFFFFF"/>
        <w:spacing w:before="0" w:beforeAutospacing="0" w:after="0" w:afterAutospacing="0" w:line="600" w:lineRule="exact"/>
        <w:jc w:val="center"/>
        <w:rPr>
          <w:rFonts w:ascii="方正仿宋_GBK" w:eastAsia="方正仿宋_GBK"/>
          <w:sz w:val="32"/>
          <w:szCs w:val="32"/>
        </w:rPr>
      </w:pPr>
      <w:r>
        <w:rPr>
          <w:rFonts w:hint="eastAsia" w:ascii="方正仿宋_GBK" w:eastAsia="方正仿宋_GBK"/>
          <w:sz w:val="32"/>
          <w:szCs w:val="32"/>
        </w:rPr>
        <w:t>普华咨报字（2021）第    号</w:t>
      </w:r>
    </w:p>
    <w:p w14:paraId="5473AC11">
      <w:pPr>
        <w:pStyle w:val="8"/>
        <w:shd w:val="clear" w:color="auto" w:fill="FFFFFF"/>
        <w:spacing w:before="0" w:beforeAutospacing="0" w:after="0" w:afterAutospacing="0" w:line="600" w:lineRule="exact"/>
        <w:jc w:val="both"/>
        <w:rPr>
          <w:rFonts w:ascii="方正仿宋_GBK" w:eastAsia="方正仿宋_GBK"/>
          <w:sz w:val="32"/>
          <w:szCs w:val="32"/>
        </w:rPr>
      </w:pPr>
    </w:p>
    <w:p w14:paraId="57C62DF0">
      <w:pPr>
        <w:pStyle w:val="8"/>
        <w:shd w:val="clear" w:color="auto" w:fill="FFFFFF"/>
        <w:spacing w:before="0" w:beforeAutospacing="0" w:after="0" w:afterAutospacing="0" w:line="600" w:lineRule="exact"/>
        <w:jc w:val="both"/>
        <w:rPr>
          <w:rFonts w:ascii="方正仿宋_GBK" w:eastAsia="方正仿宋_GBK"/>
        </w:rPr>
      </w:pPr>
      <w:r>
        <w:rPr>
          <w:rFonts w:hint="eastAsia" w:ascii="方正仿宋_GBK" w:eastAsia="方正仿宋_GBK"/>
        </w:rPr>
        <w:t>重庆市南岸区财政局：</w:t>
      </w:r>
    </w:p>
    <w:p w14:paraId="7AC86AD9">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我们接受贵局委托，并根据中共重庆市委、重庆市人民政府《关于全面实施预算绩效管理的实施意见》（渝委发〔2019〕12号）、重庆市财政局《重庆市市级政策和项目预算绩效管理办法》（渝财绩〔2019〕19号）等有关法律法规的规定，于2021年6月10日至2021年6月30日，对重庆市南岸区卫生健康委员会（以下简称“区卫健委”）2020年度1,536万元医疗服务能力提升建设专项资金进行绩效评价。现将评价情况报告如下：</w:t>
      </w:r>
    </w:p>
    <w:p w14:paraId="18AB0ADF">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一、项目基本情况</w:t>
      </w:r>
    </w:p>
    <w:p w14:paraId="76270AAF">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（一）业主单位概况</w:t>
      </w:r>
    </w:p>
    <w:p w14:paraId="4D0BEEAE">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区卫健委系行政单位，统一社会信用代码：11500108742898219N，负责人：李智；地址：重庆市南岸区茶园广福大道行政B区1号楼。</w:t>
      </w:r>
    </w:p>
    <w:p w14:paraId="109A3356">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（二）项目背景</w:t>
      </w:r>
    </w:p>
    <w:p w14:paraId="3D8151D5">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为全面贯彻落实</w:t>
      </w:r>
      <w:r>
        <w:rPr>
          <w:rFonts w:hint="eastAsia" w:ascii="方正仿宋_GBK" w:eastAsia="方正仿宋_GBK"/>
          <w:lang w:eastAsia="zh-CN"/>
        </w:rPr>
        <w:t>习近平新时代中国特色社会主义思想和党的十九大精神</w:t>
      </w:r>
      <w:r>
        <w:rPr>
          <w:rFonts w:hint="eastAsia" w:ascii="方正仿宋_GBK" w:eastAsia="方正仿宋_GBK"/>
        </w:rPr>
        <w:t>，坚持以人民为中心的发展思想，以实施健康中国战略为主线，以健全现代医院管理制度、全面建立优质高效的医疗卫生服务体系为目标，提高保障和改善民生水平。突出问题导向，针对人民群众关心的问题精准施策，一手抓改革，以医联体建设为抓手提升基层医疗质量，加强基层医疗服务体系建设，一手抓改善，通过巩固成果、创新服务、科技支撑、宣传引导，努力为人民群众提供更高水平、更加满意的卫生和健康服务，增强人民群众获得感。</w:t>
      </w:r>
    </w:p>
    <w:p w14:paraId="67BAF7A4">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（三）项目实施情况</w:t>
      </w:r>
    </w:p>
    <w:p w14:paraId="32610006">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医疗服务能力提升建设资金涉及18个预算单位，包括区卫健委及各委属单位。明细详见下表（金额单位：元）：</w:t>
      </w:r>
    </w:p>
    <w:tbl>
      <w:tblPr>
        <w:tblStyle w:val="9"/>
        <w:tblW w:w="9072" w:type="dxa"/>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4186"/>
        <w:gridCol w:w="2288"/>
        <w:gridCol w:w="2598"/>
      </w:tblGrid>
      <w:tr w14:paraId="63A67A2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blHeader/>
        </w:trPr>
        <w:tc>
          <w:tcPr>
            <w:tcW w:w="4186" w:type="dxa"/>
            <w:shd w:val="clear" w:color="auto" w:fill="auto"/>
            <w:vAlign w:val="center"/>
          </w:tcPr>
          <w:p w14:paraId="41929640">
            <w:pPr>
              <w:spacing w:line="280" w:lineRule="exact"/>
              <w:jc w:val="center"/>
              <w:rPr>
                <w:rFonts w:eastAsia="仿宋_GB2312" w:cs="Arial"/>
              </w:rPr>
            </w:pPr>
            <w:r>
              <w:rPr>
                <w:rFonts w:hint="eastAsia" w:eastAsia="仿宋_GB2312" w:cs="Arial"/>
              </w:rPr>
              <w:t>预算单位</w:t>
            </w:r>
          </w:p>
        </w:tc>
        <w:tc>
          <w:tcPr>
            <w:tcW w:w="2288" w:type="dxa"/>
            <w:shd w:val="clear" w:color="auto" w:fill="auto"/>
            <w:vAlign w:val="center"/>
          </w:tcPr>
          <w:p w14:paraId="38C0878B">
            <w:pPr>
              <w:spacing w:line="280" w:lineRule="exact"/>
              <w:jc w:val="center"/>
              <w:rPr>
                <w:rFonts w:eastAsia="仿宋_GB2312" w:cs="Arial"/>
              </w:rPr>
            </w:pPr>
            <w:r>
              <w:rPr>
                <w:rFonts w:hint="eastAsia" w:eastAsia="仿宋_GB2312" w:cs="Arial"/>
              </w:rPr>
              <w:t xml:space="preserve"> 总指标 </w:t>
            </w:r>
          </w:p>
        </w:tc>
        <w:tc>
          <w:tcPr>
            <w:tcW w:w="2598" w:type="dxa"/>
            <w:shd w:val="clear" w:color="auto" w:fill="auto"/>
            <w:vAlign w:val="center"/>
          </w:tcPr>
          <w:p w14:paraId="73EE41FC">
            <w:pPr>
              <w:spacing w:line="280" w:lineRule="exact"/>
              <w:jc w:val="center"/>
              <w:rPr>
                <w:rFonts w:eastAsia="仿宋_GB2312" w:cs="Arial"/>
              </w:rPr>
            </w:pPr>
            <w:r>
              <w:rPr>
                <w:rFonts w:hint="eastAsia" w:eastAsia="仿宋_GB2312" w:cs="Arial"/>
              </w:rPr>
              <w:t xml:space="preserve"> 已下达计划 </w:t>
            </w:r>
          </w:p>
        </w:tc>
      </w:tr>
      <w:tr w14:paraId="55F6BB2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289709F6">
            <w:pPr>
              <w:spacing w:line="280" w:lineRule="exact"/>
              <w:rPr>
                <w:rFonts w:eastAsia="仿宋_GB2312" w:cs="Arial"/>
                <w:szCs w:val="18"/>
              </w:rPr>
            </w:pPr>
            <w:r>
              <w:rPr>
                <w:rFonts w:hint="eastAsia" w:eastAsia="仿宋_GB2312" w:cs="Arial"/>
                <w:szCs w:val="18"/>
              </w:rPr>
              <w:t>重庆市第五人民医院</w:t>
            </w:r>
          </w:p>
        </w:tc>
        <w:tc>
          <w:tcPr>
            <w:tcW w:w="2288" w:type="dxa"/>
            <w:shd w:val="clear" w:color="auto" w:fill="auto"/>
            <w:vAlign w:val="center"/>
          </w:tcPr>
          <w:p w14:paraId="2DCE2463">
            <w:pPr>
              <w:spacing w:line="280" w:lineRule="exact"/>
              <w:jc w:val="right"/>
              <w:rPr>
                <w:rFonts w:eastAsia="仿宋_GB2312" w:cs="Arial"/>
              </w:rPr>
            </w:pPr>
            <w:r>
              <w:rPr>
                <w:rFonts w:eastAsia="仿宋_GB2312" w:cs="Arial"/>
              </w:rPr>
              <w:t xml:space="preserve">        4,570,000.00 </w:t>
            </w:r>
          </w:p>
        </w:tc>
        <w:tc>
          <w:tcPr>
            <w:tcW w:w="2598" w:type="dxa"/>
            <w:shd w:val="clear" w:color="auto" w:fill="auto"/>
            <w:vAlign w:val="center"/>
          </w:tcPr>
          <w:p w14:paraId="1004937B">
            <w:pPr>
              <w:spacing w:line="280" w:lineRule="exact"/>
              <w:jc w:val="right"/>
              <w:rPr>
                <w:rFonts w:eastAsia="仿宋_GB2312" w:cs="Arial"/>
              </w:rPr>
            </w:pPr>
            <w:r>
              <w:rPr>
                <w:rFonts w:eastAsia="仿宋_GB2312" w:cs="Arial"/>
              </w:rPr>
              <w:t xml:space="preserve">           4,570,000.00 </w:t>
            </w:r>
          </w:p>
        </w:tc>
      </w:tr>
      <w:tr w14:paraId="44DE0B4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5E1B9386">
            <w:pPr>
              <w:spacing w:line="280" w:lineRule="exact"/>
              <w:rPr>
                <w:rFonts w:eastAsia="仿宋_GB2312" w:cs="Arial"/>
                <w:szCs w:val="18"/>
              </w:rPr>
            </w:pPr>
            <w:r>
              <w:rPr>
                <w:rFonts w:hint="eastAsia" w:eastAsia="仿宋_GB2312" w:cs="Arial"/>
                <w:szCs w:val="18"/>
              </w:rPr>
              <w:t>重庆市南岸区精神卫生中心</w:t>
            </w:r>
          </w:p>
        </w:tc>
        <w:tc>
          <w:tcPr>
            <w:tcW w:w="2288" w:type="dxa"/>
            <w:shd w:val="clear" w:color="auto" w:fill="auto"/>
            <w:vAlign w:val="center"/>
          </w:tcPr>
          <w:p w14:paraId="08FC4FDC">
            <w:pPr>
              <w:spacing w:line="280" w:lineRule="exact"/>
              <w:jc w:val="right"/>
              <w:rPr>
                <w:rFonts w:eastAsia="仿宋_GB2312" w:cs="Arial"/>
              </w:rPr>
            </w:pPr>
            <w:r>
              <w:rPr>
                <w:rFonts w:eastAsia="仿宋_GB2312" w:cs="Arial"/>
              </w:rPr>
              <w:t xml:space="preserve">        4,305,000.00 </w:t>
            </w:r>
          </w:p>
        </w:tc>
        <w:tc>
          <w:tcPr>
            <w:tcW w:w="2598" w:type="dxa"/>
            <w:shd w:val="clear" w:color="auto" w:fill="auto"/>
            <w:vAlign w:val="center"/>
          </w:tcPr>
          <w:p w14:paraId="62245E6E">
            <w:pPr>
              <w:spacing w:line="280" w:lineRule="exact"/>
              <w:jc w:val="right"/>
              <w:rPr>
                <w:rFonts w:eastAsia="仿宋_GB2312" w:cs="Arial"/>
              </w:rPr>
            </w:pPr>
            <w:r>
              <w:rPr>
                <w:rFonts w:eastAsia="仿宋_GB2312" w:cs="Arial"/>
              </w:rPr>
              <w:t xml:space="preserve">           4,305,000.00 </w:t>
            </w:r>
          </w:p>
        </w:tc>
      </w:tr>
      <w:tr w14:paraId="7731C8CB">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6A9507A4">
            <w:pPr>
              <w:spacing w:line="280" w:lineRule="exact"/>
              <w:rPr>
                <w:rFonts w:eastAsia="仿宋_GB2312" w:cs="Arial"/>
                <w:szCs w:val="18"/>
              </w:rPr>
            </w:pPr>
            <w:r>
              <w:rPr>
                <w:rFonts w:hint="eastAsia" w:eastAsia="仿宋_GB2312" w:cs="Arial"/>
                <w:szCs w:val="18"/>
              </w:rPr>
              <w:t>区卫健委</w:t>
            </w:r>
          </w:p>
        </w:tc>
        <w:tc>
          <w:tcPr>
            <w:tcW w:w="2288" w:type="dxa"/>
            <w:shd w:val="clear" w:color="auto" w:fill="auto"/>
            <w:vAlign w:val="center"/>
          </w:tcPr>
          <w:p w14:paraId="21FB6499">
            <w:pPr>
              <w:spacing w:line="280" w:lineRule="exact"/>
              <w:jc w:val="right"/>
              <w:rPr>
                <w:rFonts w:eastAsia="仿宋_GB2312" w:cs="Arial"/>
              </w:rPr>
            </w:pPr>
            <w:r>
              <w:rPr>
                <w:rFonts w:eastAsia="仿宋_GB2312" w:cs="Arial"/>
              </w:rPr>
              <w:t xml:space="preserve">        3,055,000.00 </w:t>
            </w:r>
          </w:p>
        </w:tc>
        <w:tc>
          <w:tcPr>
            <w:tcW w:w="2598" w:type="dxa"/>
            <w:shd w:val="clear" w:color="auto" w:fill="auto"/>
            <w:vAlign w:val="center"/>
          </w:tcPr>
          <w:p w14:paraId="67DF8C8E">
            <w:pPr>
              <w:spacing w:line="280" w:lineRule="exact"/>
              <w:jc w:val="right"/>
              <w:rPr>
                <w:rFonts w:eastAsia="仿宋_GB2312" w:cs="Arial"/>
              </w:rPr>
            </w:pPr>
            <w:r>
              <w:rPr>
                <w:rFonts w:eastAsia="仿宋_GB2312" w:cs="Arial"/>
              </w:rPr>
              <w:t xml:space="preserve">           3,053,500.00 </w:t>
            </w:r>
          </w:p>
        </w:tc>
      </w:tr>
      <w:tr w14:paraId="5224561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76F95662">
            <w:pPr>
              <w:spacing w:line="280" w:lineRule="exact"/>
              <w:rPr>
                <w:rFonts w:eastAsia="仿宋_GB2312" w:cs="Arial"/>
                <w:szCs w:val="18"/>
              </w:rPr>
            </w:pPr>
            <w:r>
              <w:rPr>
                <w:rFonts w:hint="eastAsia" w:eastAsia="仿宋_GB2312" w:cs="Arial"/>
                <w:szCs w:val="18"/>
              </w:rPr>
              <w:t>重庆市南岸区疾病预防控制中心</w:t>
            </w:r>
          </w:p>
        </w:tc>
        <w:tc>
          <w:tcPr>
            <w:tcW w:w="2288" w:type="dxa"/>
            <w:shd w:val="clear" w:color="auto" w:fill="auto"/>
            <w:vAlign w:val="center"/>
          </w:tcPr>
          <w:p w14:paraId="36DC4625">
            <w:pPr>
              <w:spacing w:line="280" w:lineRule="exact"/>
              <w:jc w:val="right"/>
              <w:rPr>
                <w:rFonts w:eastAsia="仿宋_GB2312" w:cs="Arial"/>
              </w:rPr>
            </w:pPr>
            <w:r>
              <w:rPr>
                <w:rFonts w:eastAsia="仿宋_GB2312" w:cs="Arial"/>
              </w:rPr>
              <w:t xml:space="preserve">        2,207,000.00 </w:t>
            </w:r>
          </w:p>
        </w:tc>
        <w:tc>
          <w:tcPr>
            <w:tcW w:w="2598" w:type="dxa"/>
            <w:shd w:val="clear" w:color="auto" w:fill="auto"/>
            <w:vAlign w:val="center"/>
          </w:tcPr>
          <w:p w14:paraId="45BB89E0">
            <w:pPr>
              <w:spacing w:line="280" w:lineRule="exact"/>
              <w:jc w:val="right"/>
              <w:rPr>
                <w:rFonts w:eastAsia="仿宋_GB2312" w:cs="Arial"/>
              </w:rPr>
            </w:pPr>
            <w:r>
              <w:rPr>
                <w:rFonts w:eastAsia="仿宋_GB2312" w:cs="Arial"/>
              </w:rPr>
              <w:t xml:space="preserve">           2,206,800.00 </w:t>
            </w:r>
          </w:p>
        </w:tc>
      </w:tr>
      <w:tr w14:paraId="4D4C95E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38DAF01B">
            <w:pPr>
              <w:spacing w:line="280" w:lineRule="exact"/>
              <w:rPr>
                <w:rFonts w:eastAsia="仿宋_GB2312" w:cs="Arial"/>
                <w:szCs w:val="18"/>
              </w:rPr>
            </w:pPr>
            <w:r>
              <w:rPr>
                <w:rFonts w:hint="eastAsia" w:eastAsia="仿宋_GB2312" w:cs="Arial"/>
                <w:szCs w:val="18"/>
              </w:rPr>
              <w:t>重庆市南岸区妇幼保健计划生育服务中心</w:t>
            </w:r>
          </w:p>
        </w:tc>
        <w:tc>
          <w:tcPr>
            <w:tcW w:w="2288" w:type="dxa"/>
            <w:shd w:val="clear" w:color="auto" w:fill="auto"/>
            <w:vAlign w:val="center"/>
          </w:tcPr>
          <w:p w14:paraId="16E5BA6A">
            <w:pPr>
              <w:spacing w:line="280" w:lineRule="exact"/>
              <w:jc w:val="right"/>
              <w:rPr>
                <w:rFonts w:eastAsia="仿宋_GB2312" w:cs="Arial"/>
              </w:rPr>
            </w:pPr>
            <w:r>
              <w:rPr>
                <w:rFonts w:eastAsia="仿宋_GB2312" w:cs="Arial"/>
              </w:rPr>
              <w:t xml:space="preserve">           603,000.00 </w:t>
            </w:r>
          </w:p>
        </w:tc>
        <w:tc>
          <w:tcPr>
            <w:tcW w:w="2598" w:type="dxa"/>
            <w:shd w:val="clear" w:color="auto" w:fill="auto"/>
            <w:vAlign w:val="center"/>
          </w:tcPr>
          <w:p w14:paraId="32AE245F">
            <w:pPr>
              <w:spacing w:line="280" w:lineRule="exact"/>
              <w:jc w:val="right"/>
              <w:rPr>
                <w:rFonts w:eastAsia="仿宋_GB2312" w:cs="Arial"/>
              </w:rPr>
            </w:pPr>
            <w:r>
              <w:rPr>
                <w:rFonts w:eastAsia="仿宋_GB2312" w:cs="Arial"/>
              </w:rPr>
              <w:t xml:space="preserve">              603,000.00 </w:t>
            </w:r>
          </w:p>
        </w:tc>
      </w:tr>
      <w:tr w14:paraId="3F997FA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3F373910">
            <w:pPr>
              <w:spacing w:line="280" w:lineRule="exact"/>
              <w:rPr>
                <w:rFonts w:eastAsia="仿宋_GB2312" w:cs="Arial"/>
                <w:szCs w:val="18"/>
              </w:rPr>
            </w:pPr>
            <w:r>
              <w:rPr>
                <w:rFonts w:hint="eastAsia" w:eastAsia="仿宋_GB2312" w:cs="Arial"/>
                <w:szCs w:val="18"/>
              </w:rPr>
              <w:t>重庆市南岸区基层医疗卫生服务管理中心</w:t>
            </w:r>
          </w:p>
        </w:tc>
        <w:tc>
          <w:tcPr>
            <w:tcW w:w="2288" w:type="dxa"/>
            <w:shd w:val="clear" w:color="auto" w:fill="auto"/>
            <w:vAlign w:val="center"/>
          </w:tcPr>
          <w:p w14:paraId="2FCF5836">
            <w:pPr>
              <w:spacing w:line="280" w:lineRule="exact"/>
              <w:jc w:val="right"/>
              <w:rPr>
                <w:rFonts w:eastAsia="仿宋_GB2312" w:cs="Arial"/>
              </w:rPr>
            </w:pPr>
            <w:r>
              <w:rPr>
                <w:rFonts w:eastAsia="仿宋_GB2312" w:cs="Arial"/>
              </w:rPr>
              <w:t xml:space="preserve">           390,000.00 </w:t>
            </w:r>
          </w:p>
        </w:tc>
        <w:tc>
          <w:tcPr>
            <w:tcW w:w="2598" w:type="dxa"/>
            <w:shd w:val="clear" w:color="auto" w:fill="auto"/>
            <w:vAlign w:val="center"/>
          </w:tcPr>
          <w:p w14:paraId="352E8785">
            <w:pPr>
              <w:spacing w:line="280" w:lineRule="exact"/>
              <w:jc w:val="right"/>
              <w:rPr>
                <w:rFonts w:eastAsia="仿宋_GB2312" w:cs="Arial"/>
              </w:rPr>
            </w:pPr>
            <w:r>
              <w:rPr>
                <w:rFonts w:eastAsia="仿宋_GB2312" w:cs="Arial"/>
              </w:rPr>
              <w:t xml:space="preserve">              249,747.08 </w:t>
            </w:r>
          </w:p>
        </w:tc>
      </w:tr>
      <w:tr w14:paraId="02D50FC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17D5B993">
            <w:pPr>
              <w:spacing w:line="280" w:lineRule="exact"/>
              <w:rPr>
                <w:rFonts w:eastAsia="仿宋_GB2312" w:cs="Arial"/>
                <w:szCs w:val="18"/>
              </w:rPr>
            </w:pPr>
            <w:r>
              <w:rPr>
                <w:rFonts w:hint="eastAsia" w:eastAsia="仿宋_GB2312" w:cs="Arial"/>
                <w:szCs w:val="18"/>
              </w:rPr>
              <w:t>重庆市南岸区中医院</w:t>
            </w:r>
          </w:p>
        </w:tc>
        <w:tc>
          <w:tcPr>
            <w:tcW w:w="2288" w:type="dxa"/>
            <w:shd w:val="clear" w:color="auto" w:fill="auto"/>
            <w:vAlign w:val="center"/>
          </w:tcPr>
          <w:p w14:paraId="276AA169">
            <w:pPr>
              <w:spacing w:line="280" w:lineRule="exact"/>
              <w:jc w:val="right"/>
              <w:rPr>
                <w:rFonts w:eastAsia="仿宋_GB2312" w:cs="Arial"/>
              </w:rPr>
            </w:pPr>
            <w:r>
              <w:rPr>
                <w:rFonts w:eastAsia="仿宋_GB2312" w:cs="Arial"/>
              </w:rPr>
              <w:t xml:space="preserve">             60,000.00 </w:t>
            </w:r>
          </w:p>
        </w:tc>
        <w:tc>
          <w:tcPr>
            <w:tcW w:w="2598" w:type="dxa"/>
            <w:shd w:val="clear" w:color="auto" w:fill="auto"/>
            <w:vAlign w:val="center"/>
          </w:tcPr>
          <w:p w14:paraId="0681A501">
            <w:pPr>
              <w:spacing w:line="280" w:lineRule="exact"/>
              <w:jc w:val="right"/>
              <w:rPr>
                <w:rFonts w:eastAsia="仿宋_GB2312" w:cs="Arial"/>
              </w:rPr>
            </w:pPr>
            <w:r>
              <w:rPr>
                <w:rFonts w:eastAsia="仿宋_GB2312" w:cs="Arial"/>
              </w:rPr>
              <w:t xml:space="preserve">                60,000.00 </w:t>
            </w:r>
          </w:p>
        </w:tc>
      </w:tr>
      <w:tr w14:paraId="6A70C9E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31E744CF">
            <w:pPr>
              <w:spacing w:line="280" w:lineRule="exact"/>
              <w:rPr>
                <w:rFonts w:eastAsia="仿宋_GB2312" w:cs="Arial"/>
                <w:szCs w:val="18"/>
              </w:rPr>
            </w:pPr>
            <w:r>
              <w:rPr>
                <w:rFonts w:hint="eastAsia" w:eastAsia="仿宋_GB2312" w:cs="Arial"/>
                <w:szCs w:val="18"/>
              </w:rPr>
              <w:t>重庆市南岸区卫生健康综合行政执法支队</w:t>
            </w:r>
          </w:p>
        </w:tc>
        <w:tc>
          <w:tcPr>
            <w:tcW w:w="2288" w:type="dxa"/>
            <w:shd w:val="clear" w:color="auto" w:fill="auto"/>
            <w:vAlign w:val="center"/>
          </w:tcPr>
          <w:p w14:paraId="1C170CA6">
            <w:pPr>
              <w:spacing w:line="280" w:lineRule="exact"/>
              <w:jc w:val="right"/>
              <w:rPr>
                <w:rFonts w:eastAsia="仿宋_GB2312" w:cs="Arial"/>
              </w:rPr>
            </w:pPr>
            <w:r>
              <w:rPr>
                <w:rFonts w:eastAsia="仿宋_GB2312" w:cs="Arial"/>
              </w:rPr>
              <w:t xml:space="preserve">             50,000.00 </w:t>
            </w:r>
          </w:p>
        </w:tc>
        <w:tc>
          <w:tcPr>
            <w:tcW w:w="2598" w:type="dxa"/>
            <w:shd w:val="clear" w:color="auto" w:fill="auto"/>
            <w:vAlign w:val="center"/>
          </w:tcPr>
          <w:p w14:paraId="36C63119">
            <w:pPr>
              <w:spacing w:line="280" w:lineRule="exact"/>
              <w:jc w:val="right"/>
              <w:rPr>
                <w:rFonts w:eastAsia="仿宋_GB2312" w:cs="Arial"/>
              </w:rPr>
            </w:pPr>
            <w:r>
              <w:rPr>
                <w:rFonts w:eastAsia="仿宋_GB2312" w:cs="Arial"/>
              </w:rPr>
              <w:t xml:space="preserve">                50,000.00 </w:t>
            </w:r>
          </w:p>
        </w:tc>
      </w:tr>
      <w:tr w14:paraId="41BA8BB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6704372F">
            <w:pPr>
              <w:spacing w:line="280" w:lineRule="exact"/>
              <w:rPr>
                <w:rFonts w:eastAsia="仿宋_GB2312" w:cs="Arial"/>
                <w:szCs w:val="18"/>
              </w:rPr>
            </w:pPr>
            <w:r>
              <w:rPr>
                <w:rFonts w:hint="eastAsia" w:eastAsia="仿宋_GB2312" w:cs="Arial"/>
                <w:szCs w:val="18"/>
              </w:rPr>
              <w:t>重庆市南岸区人民医院</w:t>
            </w:r>
          </w:p>
        </w:tc>
        <w:tc>
          <w:tcPr>
            <w:tcW w:w="2288" w:type="dxa"/>
            <w:shd w:val="clear" w:color="auto" w:fill="auto"/>
            <w:vAlign w:val="center"/>
          </w:tcPr>
          <w:p w14:paraId="0207B3C0">
            <w:pPr>
              <w:spacing w:line="280" w:lineRule="exact"/>
              <w:jc w:val="right"/>
              <w:rPr>
                <w:rFonts w:eastAsia="仿宋_GB2312" w:cs="Arial"/>
              </w:rPr>
            </w:pPr>
            <w:r>
              <w:rPr>
                <w:rFonts w:eastAsia="仿宋_GB2312" w:cs="Arial"/>
              </w:rPr>
              <w:t xml:space="preserve">             30,000.00 </w:t>
            </w:r>
          </w:p>
        </w:tc>
        <w:tc>
          <w:tcPr>
            <w:tcW w:w="2598" w:type="dxa"/>
            <w:shd w:val="clear" w:color="auto" w:fill="auto"/>
            <w:vAlign w:val="center"/>
          </w:tcPr>
          <w:p w14:paraId="3425A483">
            <w:pPr>
              <w:spacing w:line="280" w:lineRule="exact"/>
              <w:jc w:val="right"/>
              <w:rPr>
                <w:rFonts w:eastAsia="仿宋_GB2312" w:cs="Arial"/>
              </w:rPr>
            </w:pPr>
            <w:r>
              <w:rPr>
                <w:rFonts w:eastAsia="仿宋_GB2312" w:cs="Arial"/>
              </w:rPr>
              <w:t xml:space="preserve">                30,000.00 </w:t>
            </w:r>
          </w:p>
        </w:tc>
      </w:tr>
      <w:tr w14:paraId="62AA973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4A02BB08">
            <w:pPr>
              <w:spacing w:line="280" w:lineRule="exact"/>
              <w:rPr>
                <w:rFonts w:eastAsia="仿宋_GB2312" w:cs="Arial"/>
                <w:szCs w:val="18"/>
              </w:rPr>
            </w:pPr>
            <w:r>
              <w:rPr>
                <w:rFonts w:hint="eastAsia" w:eastAsia="仿宋_GB2312" w:cs="Arial"/>
                <w:szCs w:val="18"/>
              </w:rPr>
              <w:t>重庆市南岸区弹子石街道社区卫生服务中心</w:t>
            </w:r>
          </w:p>
        </w:tc>
        <w:tc>
          <w:tcPr>
            <w:tcW w:w="2288" w:type="dxa"/>
            <w:shd w:val="clear" w:color="auto" w:fill="auto"/>
            <w:vAlign w:val="center"/>
          </w:tcPr>
          <w:p w14:paraId="0E7EB9C8">
            <w:pPr>
              <w:spacing w:line="280" w:lineRule="exact"/>
              <w:jc w:val="right"/>
              <w:rPr>
                <w:rFonts w:eastAsia="仿宋_GB2312" w:cs="Arial"/>
              </w:rPr>
            </w:pPr>
            <w:r>
              <w:rPr>
                <w:rFonts w:eastAsia="仿宋_GB2312" w:cs="Arial"/>
              </w:rPr>
              <w:t xml:space="preserve">             10,000.00 </w:t>
            </w:r>
          </w:p>
        </w:tc>
        <w:tc>
          <w:tcPr>
            <w:tcW w:w="2598" w:type="dxa"/>
            <w:shd w:val="clear" w:color="auto" w:fill="auto"/>
            <w:vAlign w:val="center"/>
          </w:tcPr>
          <w:p w14:paraId="3F3676B8">
            <w:pPr>
              <w:spacing w:line="280" w:lineRule="exact"/>
              <w:jc w:val="right"/>
              <w:rPr>
                <w:rFonts w:eastAsia="仿宋_GB2312" w:cs="Arial"/>
              </w:rPr>
            </w:pPr>
            <w:r>
              <w:rPr>
                <w:rFonts w:eastAsia="仿宋_GB2312" w:cs="Arial"/>
              </w:rPr>
              <w:t xml:space="preserve">                10,000.00 </w:t>
            </w:r>
          </w:p>
        </w:tc>
      </w:tr>
      <w:tr w14:paraId="303837F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2354B56E">
            <w:pPr>
              <w:spacing w:line="280" w:lineRule="exact"/>
              <w:rPr>
                <w:rFonts w:eastAsia="仿宋_GB2312" w:cs="Arial"/>
                <w:szCs w:val="18"/>
              </w:rPr>
            </w:pPr>
            <w:r>
              <w:rPr>
                <w:rFonts w:hint="eastAsia" w:eastAsia="仿宋_GB2312" w:cs="Arial"/>
                <w:szCs w:val="18"/>
              </w:rPr>
              <w:t>重庆市南岸区龙门浩街道社区卫生服务中心</w:t>
            </w:r>
          </w:p>
        </w:tc>
        <w:tc>
          <w:tcPr>
            <w:tcW w:w="2288" w:type="dxa"/>
            <w:shd w:val="clear" w:color="auto" w:fill="auto"/>
            <w:vAlign w:val="center"/>
          </w:tcPr>
          <w:p w14:paraId="092811F2">
            <w:pPr>
              <w:spacing w:line="280" w:lineRule="exact"/>
              <w:jc w:val="right"/>
              <w:rPr>
                <w:rFonts w:eastAsia="仿宋_GB2312" w:cs="Arial"/>
              </w:rPr>
            </w:pPr>
            <w:r>
              <w:rPr>
                <w:rFonts w:eastAsia="仿宋_GB2312" w:cs="Arial"/>
              </w:rPr>
              <w:t xml:space="preserve">             10,000.00 </w:t>
            </w:r>
          </w:p>
        </w:tc>
        <w:tc>
          <w:tcPr>
            <w:tcW w:w="2598" w:type="dxa"/>
            <w:shd w:val="clear" w:color="auto" w:fill="auto"/>
            <w:vAlign w:val="center"/>
          </w:tcPr>
          <w:p w14:paraId="61DC8B7E">
            <w:pPr>
              <w:spacing w:line="280" w:lineRule="exact"/>
              <w:jc w:val="right"/>
              <w:rPr>
                <w:rFonts w:eastAsia="仿宋_GB2312" w:cs="Arial"/>
              </w:rPr>
            </w:pPr>
            <w:r>
              <w:rPr>
                <w:rFonts w:eastAsia="仿宋_GB2312" w:cs="Arial"/>
              </w:rPr>
              <w:t xml:space="preserve">                10,000.00 </w:t>
            </w:r>
          </w:p>
        </w:tc>
      </w:tr>
      <w:tr w14:paraId="2E4F693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47E54903">
            <w:pPr>
              <w:spacing w:line="280" w:lineRule="exact"/>
              <w:rPr>
                <w:rFonts w:eastAsia="仿宋_GB2312" w:cs="Arial"/>
                <w:szCs w:val="18"/>
              </w:rPr>
            </w:pPr>
            <w:r>
              <w:rPr>
                <w:rFonts w:hint="eastAsia" w:eastAsia="仿宋_GB2312" w:cs="Arial"/>
                <w:szCs w:val="18"/>
              </w:rPr>
              <w:t>重庆市南岸区长生桥镇卫生院</w:t>
            </w:r>
          </w:p>
        </w:tc>
        <w:tc>
          <w:tcPr>
            <w:tcW w:w="2288" w:type="dxa"/>
            <w:shd w:val="clear" w:color="auto" w:fill="auto"/>
            <w:vAlign w:val="center"/>
          </w:tcPr>
          <w:p w14:paraId="44D41F2F">
            <w:pPr>
              <w:spacing w:line="280" w:lineRule="exact"/>
              <w:jc w:val="right"/>
              <w:rPr>
                <w:rFonts w:eastAsia="仿宋_GB2312" w:cs="Arial"/>
              </w:rPr>
            </w:pPr>
            <w:r>
              <w:rPr>
                <w:rFonts w:eastAsia="仿宋_GB2312" w:cs="Arial"/>
              </w:rPr>
              <w:t xml:space="preserve">             10,000.00 </w:t>
            </w:r>
          </w:p>
        </w:tc>
        <w:tc>
          <w:tcPr>
            <w:tcW w:w="2598" w:type="dxa"/>
            <w:shd w:val="clear" w:color="auto" w:fill="auto"/>
            <w:vAlign w:val="center"/>
          </w:tcPr>
          <w:p w14:paraId="58389686">
            <w:pPr>
              <w:spacing w:line="280" w:lineRule="exact"/>
              <w:jc w:val="right"/>
              <w:rPr>
                <w:rFonts w:eastAsia="仿宋_GB2312" w:cs="Arial"/>
              </w:rPr>
            </w:pPr>
            <w:r>
              <w:rPr>
                <w:rFonts w:eastAsia="仿宋_GB2312" w:cs="Arial"/>
              </w:rPr>
              <w:t xml:space="preserve">                10,000.00 </w:t>
            </w:r>
          </w:p>
        </w:tc>
      </w:tr>
      <w:tr w14:paraId="0C61D29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3681C9EA">
            <w:pPr>
              <w:spacing w:line="280" w:lineRule="exact"/>
              <w:rPr>
                <w:rFonts w:eastAsia="仿宋_GB2312" w:cs="Arial"/>
                <w:szCs w:val="18"/>
              </w:rPr>
            </w:pPr>
            <w:r>
              <w:rPr>
                <w:rFonts w:hint="eastAsia" w:eastAsia="仿宋_GB2312" w:cs="Arial"/>
                <w:szCs w:val="18"/>
              </w:rPr>
              <w:t>重庆市南岸区南山街道社区卫生服务中心</w:t>
            </w:r>
          </w:p>
        </w:tc>
        <w:tc>
          <w:tcPr>
            <w:tcW w:w="2288" w:type="dxa"/>
            <w:shd w:val="clear" w:color="auto" w:fill="auto"/>
            <w:vAlign w:val="center"/>
          </w:tcPr>
          <w:p w14:paraId="16C137B4">
            <w:pPr>
              <w:spacing w:line="280" w:lineRule="exact"/>
              <w:jc w:val="right"/>
              <w:rPr>
                <w:rFonts w:eastAsia="仿宋_GB2312" w:cs="Arial"/>
              </w:rPr>
            </w:pPr>
            <w:r>
              <w:rPr>
                <w:rFonts w:eastAsia="仿宋_GB2312" w:cs="Arial"/>
              </w:rPr>
              <w:t xml:space="preserve">             10,000.00 </w:t>
            </w:r>
          </w:p>
        </w:tc>
        <w:tc>
          <w:tcPr>
            <w:tcW w:w="2598" w:type="dxa"/>
            <w:shd w:val="clear" w:color="auto" w:fill="auto"/>
            <w:vAlign w:val="center"/>
          </w:tcPr>
          <w:p w14:paraId="6EE799DB">
            <w:pPr>
              <w:spacing w:line="280" w:lineRule="exact"/>
              <w:jc w:val="right"/>
              <w:rPr>
                <w:rFonts w:eastAsia="仿宋_GB2312" w:cs="Arial"/>
              </w:rPr>
            </w:pPr>
            <w:r>
              <w:rPr>
                <w:rFonts w:eastAsia="仿宋_GB2312" w:cs="Arial"/>
              </w:rPr>
              <w:t xml:space="preserve">                10,000.00 </w:t>
            </w:r>
          </w:p>
        </w:tc>
      </w:tr>
      <w:tr w14:paraId="3FB854E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139273D7">
            <w:pPr>
              <w:spacing w:line="280" w:lineRule="exact"/>
              <w:rPr>
                <w:rFonts w:eastAsia="仿宋_GB2312" w:cs="Arial"/>
                <w:szCs w:val="18"/>
              </w:rPr>
            </w:pPr>
            <w:r>
              <w:rPr>
                <w:rFonts w:hint="eastAsia" w:eastAsia="仿宋_GB2312" w:cs="Arial"/>
                <w:szCs w:val="18"/>
              </w:rPr>
              <w:t>重庆市南岸区峡口镇卫生院</w:t>
            </w:r>
          </w:p>
        </w:tc>
        <w:tc>
          <w:tcPr>
            <w:tcW w:w="2288" w:type="dxa"/>
            <w:shd w:val="clear" w:color="auto" w:fill="auto"/>
            <w:vAlign w:val="center"/>
          </w:tcPr>
          <w:p w14:paraId="1D1B2013">
            <w:pPr>
              <w:spacing w:line="280" w:lineRule="exact"/>
              <w:jc w:val="right"/>
              <w:rPr>
                <w:rFonts w:eastAsia="仿宋_GB2312" w:cs="Arial"/>
              </w:rPr>
            </w:pPr>
            <w:r>
              <w:rPr>
                <w:rFonts w:eastAsia="仿宋_GB2312" w:cs="Arial"/>
              </w:rPr>
              <w:t xml:space="preserve">             10,000.00 </w:t>
            </w:r>
          </w:p>
        </w:tc>
        <w:tc>
          <w:tcPr>
            <w:tcW w:w="2598" w:type="dxa"/>
            <w:shd w:val="clear" w:color="auto" w:fill="auto"/>
            <w:vAlign w:val="center"/>
          </w:tcPr>
          <w:p w14:paraId="60AE1C94">
            <w:pPr>
              <w:spacing w:line="280" w:lineRule="exact"/>
              <w:jc w:val="right"/>
              <w:rPr>
                <w:rFonts w:eastAsia="仿宋_GB2312" w:cs="Arial"/>
              </w:rPr>
            </w:pPr>
            <w:r>
              <w:rPr>
                <w:rFonts w:eastAsia="仿宋_GB2312" w:cs="Arial"/>
              </w:rPr>
              <w:t xml:space="preserve">                10,000.00 </w:t>
            </w:r>
          </w:p>
        </w:tc>
      </w:tr>
      <w:tr w14:paraId="7B934F8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31758512">
            <w:pPr>
              <w:spacing w:line="280" w:lineRule="exact"/>
              <w:rPr>
                <w:rFonts w:eastAsia="仿宋_GB2312" w:cs="Arial"/>
                <w:szCs w:val="18"/>
              </w:rPr>
            </w:pPr>
            <w:r>
              <w:rPr>
                <w:rFonts w:hint="eastAsia" w:eastAsia="仿宋_GB2312" w:cs="Arial"/>
                <w:szCs w:val="18"/>
              </w:rPr>
              <w:t>重庆市南岸区迎龙镇卫生院</w:t>
            </w:r>
          </w:p>
        </w:tc>
        <w:tc>
          <w:tcPr>
            <w:tcW w:w="2288" w:type="dxa"/>
            <w:shd w:val="clear" w:color="auto" w:fill="auto"/>
            <w:vAlign w:val="center"/>
          </w:tcPr>
          <w:p w14:paraId="7CD16B0B">
            <w:pPr>
              <w:spacing w:line="280" w:lineRule="exact"/>
              <w:jc w:val="right"/>
              <w:rPr>
                <w:rFonts w:eastAsia="仿宋_GB2312" w:cs="Arial"/>
              </w:rPr>
            </w:pPr>
            <w:r>
              <w:rPr>
                <w:rFonts w:eastAsia="仿宋_GB2312" w:cs="Arial"/>
              </w:rPr>
              <w:t xml:space="preserve">             10,000.00 </w:t>
            </w:r>
          </w:p>
        </w:tc>
        <w:tc>
          <w:tcPr>
            <w:tcW w:w="2598" w:type="dxa"/>
            <w:shd w:val="clear" w:color="auto" w:fill="auto"/>
            <w:vAlign w:val="center"/>
          </w:tcPr>
          <w:p w14:paraId="72B7E948">
            <w:pPr>
              <w:spacing w:line="280" w:lineRule="exact"/>
              <w:jc w:val="right"/>
              <w:rPr>
                <w:rFonts w:eastAsia="仿宋_GB2312" w:cs="Arial"/>
              </w:rPr>
            </w:pPr>
            <w:r>
              <w:rPr>
                <w:rFonts w:eastAsia="仿宋_GB2312" w:cs="Arial"/>
              </w:rPr>
              <w:t xml:space="preserve">                10,000.00 </w:t>
            </w:r>
          </w:p>
        </w:tc>
      </w:tr>
      <w:tr w14:paraId="3DA84DE8">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51BE2188">
            <w:pPr>
              <w:spacing w:line="280" w:lineRule="exact"/>
              <w:rPr>
                <w:rFonts w:eastAsia="仿宋_GB2312" w:cs="Arial"/>
                <w:szCs w:val="18"/>
              </w:rPr>
            </w:pPr>
            <w:r>
              <w:rPr>
                <w:rFonts w:hint="eastAsia" w:eastAsia="仿宋_GB2312" w:cs="Arial"/>
                <w:szCs w:val="18"/>
              </w:rPr>
              <w:t>重庆市南岸区鸡冠石镇卫生院</w:t>
            </w:r>
          </w:p>
        </w:tc>
        <w:tc>
          <w:tcPr>
            <w:tcW w:w="2288" w:type="dxa"/>
            <w:shd w:val="clear" w:color="auto" w:fill="auto"/>
            <w:vAlign w:val="center"/>
          </w:tcPr>
          <w:p w14:paraId="3123E69B">
            <w:pPr>
              <w:spacing w:line="280" w:lineRule="exact"/>
              <w:jc w:val="right"/>
              <w:rPr>
                <w:rFonts w:eastAsia="仿宋_GB2312" w:cs="Arial"/>
              </w:rPr>
            </w:pPr>
            <w:r>
              <w:rPr>
                <w:rFonts w:eastAsia="仿宋_GB2312" w:cs="Arial"/>
              </w:rPr>
              <w:t xml:space="preserve">10,000.00 </w:t>
            </w:r>
          </w:p>
        </w:tc>
        <w:tc>
          <w:tcPr>
            <w:tcW w:w="2598" w:type="dxa"/>
            <w:shd w:val="clear" w:color="auto" w:fill="auto"/>
            <w:vAlign w:val="center"/>
          </w:tcPr>
          <w:p w14:paraId="07C27570">
            <w:pPr>
              <w:spacing w:line="280" w:lineRule="exact"/>
              <w:jc w:val="right"/>
              <w:rPr>
                <w:rFonts w:eastAsia="仿宋_GB2312" w:cs="Arial"/>
              </w:rPr>
            </w:pPr>
            <w:r>
              <w:rPr>
                <w:rFonts w:eastAsia="仿宋_GB2312" w:cs="Arial"/>
              </w:rPr>
              <w:t xml:space="preserve">10,000.00 </w:t>
            </w:r>
          </w:p>
        </w:tc>
      </w:tr>
      <w:tr w14:paraId="1F81275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1F80EC94">
            <w:pPr>
              <w:spacing w:line="280" w:lineRule="exact"/>
              <w:rPr>
                <w:rFonts w:eastAsia="仿宋_GB2312" w:cs="Arial"/>
                <w:szCs w:val="18"/>
              </w:rPr>
            </w:pPr>
            <w:r>
              <w:rPr>
                <w:rFonts w:hint="eastAsia" w:eastAsia="仿宋_GB2312" w:cs="Arial"/>
                <w:szCs w:val="18"/>
              </w:rPr>
              <w:t>重庆市南岸区广阳镇卫生院</w:t>
            </w:r>
          </w:p>
        </w:tc>
        <w:tc>
          <w:tcPr>
            <w:tcW w:w="2288" w:type="dxa"/>
            <w:shd w:val="clear" w:color="auto" w:fill="auto"/>
            <w:vAlign w:val="center"/>
          </w:tcPr>
          <w:p w14:paraId="3137AA45">
            <w:pPr>
              <w:spacing w:line="280" w:lineRule="exact"/>
              <w:jc w:val="right"/>
              <w:rPr>
                <w:rFonts w:eastAsia="仿宋_GB2312" w:cs="Arial"/>
              </w:rPr>
            </w:pPr>
            <w:r>
              <w:rPr>
                <w:rFonts w:eastAsia="仿宋_GB2312" w:cs="Arial"/>
              </w:rPr>
              <w:t xml:space="preserve">10,000.00 </w:t>
            </w:r>
          </w:p>
        </w:tc>
        <w:tc>
          <w:tcPr>
            <w:tcW w:w="2598" w:type="dxa"/>
            <w:shd w:val="clear" w:color="auto" w:fill="auto"/>
            <w:vAlign w:val="center"/>
          </w:tcPr>
          <w:p w14:paraId="62C7B931">
            <w:pPr>
              <w:spacing w:line="280" w:lineRule="exact"/>
              <w:jc w:val="right"/>
              <w:rPr>
                <w:rFonts w:eastAsia="仿宋_GB2312" w:cs="Arial"/>
              </w:rPr>
            </w:pPr>
            <w:r>
              <w:rPr>
                <w:rFonts w:eastAsia="仿宋_GB2312" w:cs="Arial"/>
              </w:rPr>
              <w:t xml:space="preserve">10,000.00 </w:t>
            </w:r>
          </w:p>
        </w:tc>
      </w:tr>
      <w:tr w14:paraId="6906743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6477A462">
            <w:pPr>
              <w:spacing w:line="280" w:lineRule="exact"/>
              <w:rPr>
                <w:rFonts w:eastAsia="仿宋_GB2312" w:cs="Arial"/>
                <w:szCs w:val="18"/>
              </w:rPr>
            </w:pPr>
            <w:r>
              <w:rPr>
                <w:rFonts w:hint="eastAsia" w:eastAsia="仿宋_GB2312" w:cs="Arial"/>
                <w:szCs w:val="18"/>
              </w:rPr>
              <w:t>重庆市南岸区铜元局街道社区卫生服务中心</w:t>
            </w:r>
          </w:p>
        </w:tc>
        <w:tc>
          <w:tcPr>
            <w:tcW w:w="2288" w:type="dxa"/>
            <w:shd w:val="clear" w:color="auto" w:fill="auto"/>
            <w:vAlign w:val="center"/>
          </w:tcPr>
          <w:p w14:paraId="2DA5D849">
            <w:pPr>
              <w:spacing w:line="280" w:lineRule="exact"/>
              <w:jc w:val="right"/>
              <w:rPr>
                <w:rFonts w:eastAsia="仿宋_GB2312" w:cs="Arial"/>
              </w:rPr>
            </w:pPr>
            <w:r>
              <w:rPr>
                <w:rFonts w:eastAsia="仿宋_GB2312" w:cs="Arial"/>
              </w:rPr>
              <w:t xml:space="preserve">             10,000.00 </w:t>
            </w:r>
          </w:p>
        </w:tc>
        <w:tc>
          <w:tcPr>
            <w:tcW w:w="2598" w:type="dxa"/>
            <w:shd w:val="clear" w:color="auto" w:fill="auto"/>
            <w:vAlign w:val="center"/>
          </w:tcPr>
          <w:p w14:paraId="1DDE7FFF">
            <w:pPr>
              <w:spacing w:line="280" w:lineRule="exact"/>
              <w:jc w:val="right"/>
              <w:rPr>
                <w:rFonts w:eastAsia="仿宋_GB2312" w:cs="Arial"/>
              </w:rPr>
            </w:pPr>
            <w:r>
              <w:rPr>
                <w:rFonts w:eastAsia="仿宋_GB2312" w:cs="Arial"/>
              </w:rPr>
              <w:t xml:space="preserve">                10,000.00 </w:t>
            </w:r>
          </w:p>
        </w:tc>
      </w:tr>
      <w:tr w14:paraId="7A85562B">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186" w:type="dxa"/>
            <w:shd w:val="clear" w:color="auto" w:fill="auto"/>
            <w:vAlign w:val="center"/>
          </w:tcPr>
          <w:p w14:paraId="6FF6839E">
            <w:pPr>
              <w:spacing w:line="280" w:lineRule="exact"/>
              <w:jc w:val="center"/>
              <w:rPr>
                <w:rFonts w:eastAsia="仿宋_GB2312" w:cs="Arial"/>
              </w:rPr>
            </w:pPr>
            <w:r>
              <w:rPr>
                <w:rFonts w:hint="eastAsia" w:eastAsia="仿宋_GB2312" w:cs="Arial"/>
              </w:rPr>
              <w:t>合计</w:t>
            </w:r>
          </w:p>
        </w:tc>
        <w:tc>
          <w:tcPr>
            <w:tcW w:w="2288" w:type="dxa"/>
            <w:shd w:val="clear" w:color="auto" w:fill="auto"/>
            <w:vAlign w:val="center"/>
          </w:tcPr>
          <w:p w14:paraId="5176A171">
            <w:pPr>
              <w:spacing w:line="280" w:lineRule="exact"/>
              <w:jc w:val="right"/>
              <w:rPr>
                <w:rFonts w:eastAsia="仿宋_GB2312" w:cs="Arial"/>
              </w:rPr>
            </w:pPr>
            <w:r>
              <w:rPr>
                <w:rFonts w:eastAsia="仿宋_GB2312" w:cs="Arial"/>
              </w:rPr>
              <w:t xml:space="preserve">      15,360,000.00 </w:t>
            </w:r>
          </w:p>
        </w:tc>
        <w:tc>
          <w:tcPr>
            <w:tcW w:w="2598" w:type="dxa"/>
            <w:shd w:val="clear" w:color="auto" w:fill="auto"/>
            <w:vAlign w:val="center"/>
          </w:tcPr>
          <w:p w14:paraId="1C4D8ABC">
            <w:pPr>
              <w:spacing w:line="280" w:lineRule="exact"/>
              <w:jc w:val="right"/>
              <w:rPr>
                <w:rFonts w:eastAsia="仿宋_GB2312" w:cs="Arial"/>
              </w:rPr>
            </w:pPr>
            <w:r>
              <w:rPr>
                <w:rFonts w:eastAsia="仿宋_GB2312" w:cs="Arial"/>
              </w:rPr>
              <w:t xml:space="preserve">          15,218,047.08 </w:t>
            </w:r>
          </w:p>
        </w:tc>
      </w:tr>
    </w:tbl>
    <w:p w14:paraId="3D3612B4">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（四）资金投入和使用情况</w:t>
      </w:r>
    </w:p>
    <w:p w14:paraId="69CC967F">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项目预算资金1,536.00万元，实际到位资金1,521.80万元，实际使用资金1,049.32万元。</w:t>
      </w:r>
    </w:p>
    <w:p w14:paraId="7F90FADF">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（五）项目绩效目标</w:t>
      </w:r>
    </w:p>
    <w:p w14:paraId="42B79787">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1、项目绩效总目标</w:t>
      </w:r>
    </w:p>
    <w:p w14:paraId="31AF4F3B">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通过支持南岸区公立医院综合改革、医疗卫生机构能力建设、卫生健康人才培养、医疗保障服务能力建设、中医药事业传承与发展及其他医改相关工作、开展学科建设及人才队伍建设、科研等项目能力建设，提高全区医疗服务能力建设，逐步提升全区医疗服务能力技术水平，满足人民群众日益增长的卫生健康保健需求服务。</w:t>
      </w:r>
    </w:p>
    <w:p w14:paraId="07C38002">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2、项目绩效阶段性目标。</w:t>
      </w:r>
    </w:p>
    <w:p w14:paraId="4CFB434B">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（1）健康扶贫方面：开展对口帮扶精准扶贫等健康扶贫工作，完成市区健康扶贫工作要求；</w:t>
      </w:r>
    </w:p>
    <w:p w14:paraId="7EA22F23">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（2）行风建设方面：开展行风建设培训，专项检查等相关工作，完成市区安排的各项纠纷工作；</w:t>
      </w:r>
    </w:p>
    <w:p w14:paraId="7C4C5A17">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3）医疗质量方面：开展重点专科建设（重点专科建设项目1个），科研项目评审（区级科研项目立项20个），等级医院创建，医疗质量安全监管（含医疗、医学检验、医学影像、药事、院感、护理、中医七个方面）；</w:t>
      </w:r>
    </w:p>
    <w:p w14:paraId="7E89869C">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4）人才引进和人才培养方面：引进高层次人才开展继续教育，医师资格考试全科医生、精神科医生转岗培训、住院医师规范化培训、中医药中医师带徒、技能水平竞赛（全科医生转岗培训7人、中医住院医师规范化培训5人、5次）；</w:t>
      </w:r>
    </w:p>
    <w:p w14:paraId="3C69DB36">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（5）咨询服务购买方面：各类专项检查、年度检查及医疗机构审批，专家验收和评审经费，行政文书印制，社会稳定评估开展；</w:t>
      </w:r>
    </w:p>
    <w:p w14:paraId="3B3C22DC">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（6）</w:t>
      </w:r>
      <w:bookmarkStart w:id="8" w:name="_GoBack"/>
      <w:bookmarkEnd w:id="8"/>
      <w:r>
        <w:rPr>
          <w:rFonts w:hint="eastAsia" w:ascii="方正仿宋_GBK" w:eastAsia="方正仿宋_GBK"/>
          <w:lang w:eastAsia="zh-CN"/>
        </w:rPr>
        <w:t>“十四五”规划</w:t>
      </w:r>
      <w:r>
        <w:rPr>
          <w:rFonts w:hint="eastAsia" w:ascii="方正仿宋_GBK" w:eastAsia="方正仿宋_GBK"/>
        </w:rPr>
        <w:t>编制；</w:t>
      </w:r>
    </w:p>
    <w:p w14:paraId="3A6ADA35">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（7）心理服务体系建设（心理咨询室30个）。</w:t>
      </w:r>
    </w:p>
    <w:p w14:paraId="52E59294">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二、项目预算绩效管理情况</w:t>
      </w:r>
    </w:p>
    <w:p w14:paraId="40E6F2B5">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（一）项目绩效评估</w:t>
      </w:r>
    </w:p>
    <w:p w14:paraId="6852608E">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本项目未进行项目绩效评估。</w:t>
      </w:r>
    </w:p>
    <w:p w14:paraId="43241044">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（二）项目绩效目标设置</w:t>
      </w:r>
    </w:p>
    <w:p w14:paraId="5415E5F6">
      <w:pPr>
        <w:pStyle w:val="8"/>
        <w:shd w:val="clear" w:color="auto" w:fill="FFFFFF"/>
        <w:spacing w:before="0" w:beforeAutospacing="0" w:after="0" w:afterAutospacing="0" w:line="600" w:lineRule="exact"/>
        <w:ind w:left="480" w:leftChars="200"/>
        <w:jc w:val="both"/>
        <w:rPr>
          <w:rFonts w:ascii="方正仿宋_GBK" w:eastAsia="方正仿宋_GBK"/>
        </w:rPr>
      </w:pPr>
      <w:r>
        <w:rPr>
          <w:rFonts w:hint="eastAsia" w:ascii="方正仿宋_GBK" w:eastAsia="方正仿宋_GBK"/>
        </w:rPr>
        <w:t>本项目绩效目标设置情况详见本报告“一、业主单位和专项资金基本情况（五）项目绩效目标”。</w:t>
      </w:r>
    </w:p>
    <w:p w14:paraId="441E8312">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（三）项目运行监控</w:t>
      </w:r>
    </w:p>
    <w:p w14:paraId="598ADEB6">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根据2020年10月29日区卫健委填报的《2020年度项目预算绩效运行监控表》，截至2020年9月30日，医疗服务能力提升建设项目预算执行率为88.89%，年度总体目标预计能完成。</w:t>
      </w:r>
    </w:p>
    <w:p w14:paraId="71AB937D">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（四）项目绩效自评及应用</w:t>
      </w:r>
    </w:p>
    <w:p w14:paraId="2B661505">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本项目根据南岸区财政局相关文件要求，开展了绩效自评价工作，出具了绩效自评报告。根据区卫健委提供的《2020年度南岸区卫生健康委员会医疗服务能力提升建设项目绩效评价报告》，报告主要从以下方面进行阐述：项目基本情况、绩效评价指标分析情况、存在主要问题及典型事例、原因分析及改进措施。自评价结果显示，该项目达到预期绩效目标，完成情况较好。</w:t>
      </w:r>
    </w:p>
    <w:p w14:paraId="1F2CE6A5">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（五）项目绩效公开</w:t>
      </w:r>
    </w:p>
    <w:p w14:paraId="63A26630">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本项目未进行项目绩效公开。</w:t>
      </w:r>
    </w:p>
    <w:p w14:paraId="4E66B7BD">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三、评价范围及评价期间</w:t>
      </w:r>
    </w:p>
    <w:p w14:paraId="6340CDDD">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（一）评价范围</w:t>
      </w:r>
    </w:p>
    <w:p w14:paraId="479BB476">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根据区财政局的要求，本次对区卫健委2020年度1,536万元的医疗服务能力提升建设专项资金进行绩效评价。</w:t>
      </w:r>
    </w:p>
    <w:p w14:paraId="6A88BA9F">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（二）评价期间</w:t>
      </w:r>
    </w:p>
    <w:p w14:paraId="152D46A1">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本次评价期间为2020年度1月1日至2020年度12月31日。</w:t>
      </w:r>
    </w:p>
    <w:p w14:paraId="53B62667">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四、绩效评价依据、方法、指标体系及样本确定</w:t>
      </w:r>
    </w:p>
    <w:p w14:paraId="36797535">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（一）评价依据</w:t>
      </w:r>
    </w:p>
    <w:p w14:paraId="14AED82F">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1、《中华人民共和国预算法》；</w:t>
      </w:r>
    </w:p>
    <w:p w14:paraId="7D00378A">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2、中共中央、国务院《关于全面实施预算绩效管理的意见》（中发〔2018〕34号）；</w:t>
      </w:r>
    </w:p>
    <w:p w14:paraId="210F15BE">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3、财政部《关于印发项目支出绩效评价管理办法的通知》（财预〔2020〕10号）；</w:t>
      </w:r>
    </w:p>
    <w:p w14:paraId="2A23D22A">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4、中共重庆市委、重庆市人民政府《关于全面实施预算绩效管理的意见》（渝委发〔2019〕12号）；</w:t>
      </w:r>
    </w:p>
    <w:p w14:paraId="05FBBC9A">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5、重庆市财政局《关于印发重庆市市级政策和项目预算绩效管理办法（试行）的通知》（渝财绩〔2019〕19号）；</w:t>
      </w:r>
    </w:p>
    <w:p w14:paraId="78B0966C">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7、南岸区财政局《南岸区政策和项目预算绩效管理办法 （试行）》（南岸财文〔2020〕471 号）；</w:t>
      </w:r>
    </w:p>
    <w:p w14:paraId="1D8BCD75">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8、南岸区财政局《关于开展2021年预算绩效管理工作的通知》（南岸财文〔2021〕88号）；</w:t>
      </w:r>
    </w:p>
    <w:p w14:paraId="7BC1769E">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9、重庆市卫生健康委员会、重庆市科学技术局《关于申报2019 年科卫联合医学科研项目的通知》（渝卫发〔2019〕19 号）、重庆市卫生和计划生育委员会办公室《关于印发进一步改善医疗服务行动计划（2018-2020年）实施方案的通知》、重庆市卫生和计划生育委员会、重庆市财政局《关于2017年重庆市临床重点专科建设项目有关事项的通知》（渝卫发〔2017〕61号）、重庆市卫生健康委员会办公室《重庆市2019年深入贯彻落实进一步改善医疗服务行动计划重点工作方案》；</w:t>
      </w:r>
    </w:p>
    <w:p w14:paraId="4BA423DF">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10、其他相关资料。</w:t>
      </w:r>
    </w:p>
    <w:p w14:paraId="338A53D4">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（二）评价方法</w:t>
      </w:r>
    </w:p>
    <w:p w14:paraId="1C14963C">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为了顺利完成本次绩效评价任务，评价小组采用的工作方法包括：</w:t>
      </w:r>
    </w:p>
    <w:p w14:paraId="730E5977">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1、案卷调查</w:t>
      </w:r>
    </w:p>
    <w:p w14:paraId="6C9BAEA3">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对项目文件进行深入研究、比较和分析，涉及的文件资料包括：项目申请资料、相关制度文件、相关财务核算资料等。</w:t>
      </w:r>
    </w:p>
    <w:p w14:paraId="47D4159B">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2、访谈询问</w:t>
      </w:r>
    </w:p>
    <w:p w14:paraId="3B9F2371">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由评价小组项目负责人及经办人进行访谈询问，了解项目情况。</w:t>
      </w:r>
    </w:p>
    <w:p w14:paraId="5CA24441">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3、审计核查</w:t>
      </w:r>
    </w:p>
    <w:p w14:paraId="72D20EC3">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由评价小组对资金拨付、专项资金申请资料及专项资金使用资料进行审计核查，核查申请对象的合规性及专项资金发放的及时性、准确性。</w:t>
      </w:r>
    </w:p>
    <w:p w14:paraId="0CAF7CDD">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4、问卷调查</w:t>
      </w:r>
    </w:p>
    <w:p w14:paraId="128D595F">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由评价小组设定调查问卷，针对受益对象进行访问调查。</w:t>
      </w:r>
    </w:p>
    <w:p w14:paraId="3649FD01">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综上，评价小组通过多渠道、多层面获取关于项目立项、实施、运行与管理的信息，对项目案卷进行认真梳理，回答关键问题，汇总评分并形成评价报告。</w:t>
      </w:r>
    </w:p>
    <w:p w14:paraId="4F1AE815">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（三）评价指标体系</w:t>
      </w:r>
    </w:p>
    <w:p w14:paraId="4DAAD95C">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 xml:space="preserve">根据南岸区财政局《关于开展2021年预算绩效管理工作的通知》（南岸财文〔2021〕88号）等文件规定，结合被评价项目的实际情况，将评价指标体系分为4个一级指标、6个二级指标、14个三级指标，29个四级指标，并根据各项指标的重要性，赋予了适当的分值及评价得分标准。 </w:t>
      </w:r>
    </w:p>
    <w:p w14:paraId="6963D20A">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该指标体系分为四大类，总分值100分。第一类指标为投入类指标，主要包括项目立项、资金落实相关内容，共有6个四级指标，指标分值10分；第二类指标为管理类指标，包括业务管理、财务管理类指标，共有6个四级指标，指标分值25分；第三类指标为产出类指标，主要包括产出数量、产出成本，共有7个四级指标，指标分值29分；第四类指标为效益类指标，包括社会效益、可持续影响、社会公众或服务对象满意度，共有10个四级指标，指标分值36分。</w:t>
      </w:r>
    </w:p>
    <w:p w14:paraId="7BA5508E">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指标得分原则：一、二、三级指标分别为二、三、四级指标的加总，具体评分落实到第四级指标。第四指标的分值情况：一般分为三个档次，即满分档、扣分挡和零分档。</w:t>
      </w:r>
    </w:p>
    <w:p w14:paraId="57018FDF">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各档次得分情况：满分档，该档得分反映项目指标完成较好；定量指标，达到目标确定的标准的，计满分；低于目标确定的标准，偏离度在10%以内，按照该指标分值权重平均扣分；偏离度超过10%的，不得分。定性指标全部或基本达成预期指标的，计相应权重80%以上的分值；部分达成预期指标并具有一定效果的，计相应权重60%以上且低于80%的分值；未达成预期指标或效果较差的，不得分，具体指标及得分标准见后附明细表。</w:t>
      </w:r>
    </w:p>
    <w:p w14:paraId="19984EBA">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（四）评价样本确定</w:t>
      </w:r>
    </w:p>
    <w:p w14:paraId="0BE8AC13">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医疗服务能力建设提升项目资金涉及多类用途或多个受益对象，为确保评价内容完整、评价重点突出、评价结果客观，我们从预算资金占比大、建设服务内容多、综合性医院、特色专科医院等角度出发，选取了5家单位作为评价样本，分别为重庆市第五人民医院、重庆市南岸区精神卫生中心、区卫健委、重庆市南岸区疾病预防控制中心、重庆市南岸区妇幼保健计划生育服务中心，评价样本单位资金到位金额合计1,473.83万元，占项目到位资金的比率为96.85%。</w:t>
      </w:r>
    </w:p>
    <w:p w14:paraId="4E1126E4">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五、组织实施情况</w:t>
      </w:r>
    </w:p>
    <w:p w14:paraId="62A98F2B">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（一）前期准备</w:t>
      </w:r>
    </w:p>
    <w:p w14:paraId="4BB4D040">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 xml:space="preserve">一是根据《重庆市市级政策和项目预算绩效管理办法》的规定，我公司组成了包括项目负责人、专业会计人员、相关技术人员在内的绩效评价工作小组。二是按照项目的性质和特点，结合小组人员结构，进行了明确的职责分工。三是由项目负责人组织全组人员，集中学习项目有关的法规、政策、文件，熟悉项目情况。四是制定了绩效评价方案，明确了绩效评价的目标、评价技术线路、评价依据、指标体系架构以及指标分值分配原则等。 </w:t>
      </w:r>
    </w:p>
    <w:p w14:paraId="5136904B">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（二）组织实施</w:t>
      </w:r>
    </w:p>
    <w:p w14:paraId="3CE6DA5C">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 xml:space="preserve">1、收集整理资料。一是收集绩效评价的依据资料，主要包括国家相关法律法规及规章制度、各级政府制定的国民经济与社会发展规划和方针政策、财政专项资金和财务管理办法、各项财政部门的绩效评价管理制度等、项目立项及报批资料、项目建设资料、财务会计资料、绩效自评报告等；二是对收集的各种资料进行归集、整理，对不完整的资料要求项目单位及时补充完善；三是对项目的决策、过程、产出、效益等情况进行了初步审核、综合分析。 </w:t>
      </w:r>
    </w:p>
    <w:p w14:paraId="40F8E254">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 xml:space="preserve">2、制订指标体系。依据项目性质、要求和绩效评价的侧重点，综合各子项目指标体系，制订指标体系，确定评分标准、权重分值、评分办法，并征求委托机构、有关专家、项目主管部门意见后，最终确立评价指标体系和评分标准。 </w:t>
      </w:r>
    </w:p>
    <w:p w14:paraId="131B774A">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 xml:space="preserve">3、分析评价。评价小组通过检查项目财务资料、核实项目完成情况、询问相关人员等方式，获得项目指标评分的基础数据，按照指标体系逐项评分。再将各项明细指标的得分加总，得出总分。 </w:t>
      </w:r>
    </w:p>
    <w:p w14:paraId="446E27ED">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 xml:space="preserve">4、形成评价结论。按照最后确定的评价分值和初评报告，确定评价等次，形成正式评价报告，交有关部门和单位应用。 </w:t>
      </w:r>
    </w:p>
    <w:p w14:paraId="1B1CC866">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 xml:space="preserve">六、绩效评价指标分析  </w:t>
      </w:r>
    </w:p>
    <w:p w14:paraId="1EE7DA1F">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（一）投入类指标情况分析</w:t>
      </w:r>
    </w:p>
    <w:p w14:paraId="4C93E08C">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投入类指标，主要包括项目立项、资金落实相关内容，共有5个三级指标，6个四级指标，指标分值10分。</w:t>
      </w:r>
    </w:p>
    <w:p w14:paraId="3E61ECF9">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1、决策过程</w:t>
      </w:r>
    </w:p>
    <w:p w14:paraId="1C800C4C">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决策过程主要从决策依据和决策程序两方面进行评价。</w:t>
      </w:r>
    </w:p>
    <w:p w14:paraId="0D746AF3">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医疗服务能力提升建设项目符合重庆市卫生和计划生育委员会办公室《关于印发进一步改善医疗服务行动计划（2018-2020年）实施方案的通知》、重庆市卫生和计划生育委员会等4部门《关于印发基层中医药服务能力提升工程“十三五”行动计划实施方案的通知》等相关政策文件要求，且与区卫健委职责范围相符。项目申报、批复程序符合相关管理办法。</w:t>
      </w:r>
    </w:p>
    <w:p w14:paraId="0EDBA43C">
      <w:pPr>
        <w:pStyle w:val="8"/>
        <w:shd w:val="clear" w:color="auto" w:fill="FFFFFF"/>
        <w:spacing w:before="0" w:beforeAutospacing="0" w:after="0" w:afterAutospacing="0" w:line="600" w:lineRule="exact"/>
        <w:jc w:val="both"/>
        <w:rPr>
          <w:rFonts w:ascii="方正仿宋_GBK" w:eastAsia="方正仿宋_GBK"/>
        </w:rPr>
      </w:pPr>
      <w:r>
        <w:rPr>
          <w:rFonts w:hint="eastAsia" w:ascii="方正仿宋_GBK" w:eastAsia="方正仿宋_GBK"/>
        </w:rPr>
        <w:t>此项指标满分2分，得2分。</w:t>
      </w:r>
    </w:p>
    <w:p w14:paraId="54078535">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2、绩效目标合理性</w:t>
      </w:r>
    </w:p>
    <w:p w14:paraId="26AE6759">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区卫健委绩效目标设置与其职能职责密切相关，预期产出效益符合正常水平。</w:t>
      </w:r>
    </w:p>
    <w:p w14:paraId="395B9959">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此项指标满分2分，得2分。</w:t>
      </w:r>
    </w:p>
    <w:p w14:paraId="386AA323">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3、绩效指标明确性</w:t>
      </w:r>
    </w:p>
    <w:p w14:paraId="3246B435">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通过查阅医疗服务能力提升建设绩效申报表，区卫健委在重点专科建设、科研项目立项、住院医师规范化培训等方面设置了可量化的绩效目标，但在行风建设、对口帮扶精准扶贫方面未设置绩效指标，指标设置不够完善。</w:t>
      </w:r>
    </w:p>
    <w:p w14:paraId="72504A64">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此项指标满分2分，得1分。</w:t>
      </w:r>
    </w:p>
    <w:p w14:paraId="21F3A668">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4、资金到位率</w:t>
      </w:r>
    </w:p>
    <w:p w14:paraId="0C2FC350">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本项目预算资金1,536万元，实际到位资金1,521.80万元，到位率99.08%。</w:t>
      </w:r>
    </w:p>
    <w:p w14:paraId="6A80CC3C">
      <w:pPr>
        <w:pStyle w:val="8"/>
        <w:shd w:val="clear" w:color="auto" w:fill="FFFFFF"/>
        <w:spacing w:before="0" w:beforeAutospacing="0" w:after="0" w:afterAutospacing="0" w:line="600" w:lineRule="exact"/>
        <w:jc w:val="both"/>
        <w:rPr>
          <w:rFonts w:ascii="方正仿宋_GBK" w:eastAsia="方正仿宋_GBK"/>
        </w:rPr>
      </w:pPr>
      <w:r>
        <w:rPr>
          <w:rFonts w:hint="eastAsia" w:ascii="方正仿宋_GBK" w:eastAsia="方正仿宋_GBK"/>
        </w:rPr>
        <w:t>此项指标满分2分，得2分。</w:t>
      </w:r>
    </w:p>
    <w:p w14:paraId="7D0A04F7">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5、资金到位及时率</w:t>
      </w:r>
    </w:p>
    <w:p w14:paraId="7257CD6A">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本项目下达计划指标1,521.80万元后，及时拨付，无拖延情况，资金到位及时率100%。</w:t>
      </w:r>
    </w:p>
    <w:p w14:paraId="3205F0CB">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此项指标满分2分，得2分。</w:t>
      </w:r>
    </w:p>
    <w:p w14:paraId="221762F9">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（二）管理类指标情况分析</w:t>
      </w:r>
    </w:p>
    <w:p w14:paraId="1C56C003">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管理类指标，主要包括业务管理、财务管理相关内容，共有4个三级指标，6个四级指标，指标分值25分。</w:t>
      </w:r>
    </w:p>
    <w:p w14:paraId="46CAF1A8">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1、业务管理制度健全性</w:t>
      </w:r>
    </w:p>
    <w:p w14:paraId="7E05B050">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区卫健委各委属单位负责职责范围内的卫生健康工作，对专项工作制定实施方案，严格按照实施方案进行，实施方案对工作目标、工作任务、经费预算等做了详尽要求，管理制度合法、合规、相对健全。如区疾病预防控制中心制定了《2020年重庆市南岸区慢性病及其危险因素监测方案》、《重庆市南岸区2020年艾滋病丙肝性病防治工作方案》等；区妇幼保健院按照《南岸区高危孕产妇预警管理、救治和转诊工作实施方案（修订版）》 等执行。</w:t>
      </w:r>
    </w:p>
    <w:p w14:paraId="1A4C248F">
      <w:pPr>
        <w:pStyle w:val="8"/>
        <w:shd w:val="clear" w:color="auto" w:fill="FFFFFF"/>
        <w:spacing w:before="0" w:beforeAutospacing="0" w:after="0" w:afterAutospacing="0" w:line="600" w:lineRule="exact"/>
        <w:jc w:val="both"/>
        <w:rPr>
          <w:rFonts w:ascii="方正仿宋_GBK" w:eastAsia="方正仿宋_GBK"/>
        </w:rPr>
      </w:pPr>
      <w:r>
        <w:rPr>
          <w:rFonts w:hint="eastAsia" w:ascii="方正仿宋_GBK" w:eastAsia="方正仿宋_GBK"/>
        </w:rPr>
        <w:t>此项指标满分5分，得5分。</w:t>
      </w:r>
    </w:p>
    <w:p w14:paraId="29FDA0F8">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2、业务制度执行有效性</w:t>
      </w:r>
    </w:p>
    <w:p w14:paraId="39EC81B1">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项目实施符合方案要求或相关制度，通过查阅凭证、合同及相关归档资料，并进行调研访谈，项目合同书、验收报告、技术鉴定等资料齐全并及时归档，项目实施的人员条件、场地设备、信息支撑等落实到位，制度得到良好执行。</w:t>
      </w:r>
    </w:p>
    <w:p w14:paraId="02C33B3A">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此项指标满分5分，得5分。</w:t>
      </w:r>
    </w:p>
    <w:p w14:paraId="13DE5068">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3、财务管理制度健全性</w:t>
      </w:r>
    </w:p>
    <w:p w14:paraId="50D2B07D">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区卫健委制订了《资金管理办法》（南卫计发〔2018〕470号）和《专项资金管理暂行办法（试行）》（南卫计发〔2018〕489号），从制度上加强资金监管，规范预算执行管理，确保补助资金专款专用，坚持“专项管理、资金管理和业务管理三位一体”的原则。项目实施单位设有项目辅助账，对各项目资金进行独立核算，专款专用，无支出依据不合规、虚列项目支出的情况；且区卫健委制订了《财务定期巡查制度》（南卫计发〔2018〕292号），定期对各委属单位进行巡查，并督促其落实整改措施。财务管理制度相对健全。</w:t>
      </w:r>
    </w:p>
    <w:p w14:paraId="37374D1C">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此项指标满分5分，得5分。</w:t>
      </w:r>
    </w:p>
    <w:p w14:paraId="6FDA06A9">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4、资金使用合规性</w:t>
      </w:r>
    </w:p>
    <w:p w14:paraId="303D6D5D">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资金使用合规性从资金执行率、项目实施手续、项目资金支付方面进行分析。</w:t>
      </w:r>
    </w:p>
    <w:p w14:paraId="7C3C6AA8">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①医疗服务能力提升建设项目到位资金1,521.80万元，实际使用资金1,049.32万元，资金执行率较低，仅68.95%，扣6分。</w:t>
      </w:r>
    </w:p>
    <w:p w14:paraId="28B0555F">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②通过查阅被抽样单位的支出明细及凭证，凭证票据及佐证资料充分、合规、完整。</w:t>
      </w:r>
    </w:p>
    <w:p w14:paraId="7F05976F">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③资金支付有完整的审批程序，符合项目预算或合同规定的用途。</w:t>
      </w:r>
    </w:p>
    <w:p w14:paraId="306402A0">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此项指标满分10分，得4分。</w:t>
      </w:r>
    </w:p>
    <w:p w14:paraId="500A6BBC">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（三）产出类指标情况分析</w:t>
      </w:r>
    </w:p>
    <w:p w14:paraId="02FE1830">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产出类指标，主要包括产出数量、产出成本相关内容，共有2个三级指标，7个四级指标，指标分值29分。</w:t>
      </w:r>
    </w:p>
    <w:p w14:paraId="16930F6B">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1、产出数量</w:t>
      </w:r>
    </w:p>
    <w:p w14:paraId="00F20B8D">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①完成了重庆市第五人民医院重点专科检验科立项，市级重点专科心内科评估验收，完成率100%。加大了对临床重点专科建设的支持，提升了科室整体实力，</w:t>
      </w:r>
      <w:r>
        <w:rPr>
          <w:rFonts w:hint="eastAsia" w:ascii="方正仿宋_GBK" w:eastAsia="方正仿宋_GBK"/>
          <w:lang w:eastAsia="zh-CN"/>
        </w:rPr>
        <w:t>更好地为</w:t>
      </w:r>
      <w:r>
        <w:rPr>
          <w:rFonts w:hint="eastAsia" w:ascii="方正仿宋_GBK" w:eastAsia="方正仿宋_GBK"/>
        </w:rPr>
        <w:t>人民群众日益增长的医疗需求服务。</w:t>
      </w:r>
    </w:p>
    <w:p w14:paraId="69178A09">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②完成区级科研项目立项19个，完成率95%，扣2分。立项项目分别为重庆医科大学附属第二医院江南分院2个；重庆市东南医院2个；重庆市第五人民医院3个；南岸区精神卫生中心1个；南岸区妇幼保健院1个；重庆爱尔麦格眼科医院2个；重庆市职业病防治院3个；重庆市南岸区疾病预防控制中心3个；重庆市南岸区鸡冠石镇卫生院1个；重庆市南岸区人民医院1个。科研课题项目的立项为建立高素质医学团队打下了坚实的人才基础，提升了医疗工作人员的科研能力。</w:t>
      </w:r>
    </w:p>
    <w:p w14:paraId="0D20BCB0">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③完成全科医生转岗培训9人，完成率100%。分别为重庆市第五人民医院2人、南岸区中医院4人、重庆邮电大学医院1人等。</w:t>
      </w:r>
    </w:p>
    <w:p w14:paraId="153E42D5">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④完成全区在编人员接受中医住院医师规范化培训，实际培训人数8人，完成率100%。</w:t>
      </w:r>
    </w:p>
    <w:p w14:paraId="04744173">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⑤全区在编人员接受中医住院医师规范化培训5次，完成率100%。</w:t>
      </w:r>
    </w:p>
    <w:p w14:paraId="66D4BD52">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⑥在村（社区）建立心理咨询室或社会工作室30个，完成率100%。</w:t>
      </w:r>
    </w:p>
    <w:p w14:paraId="0BE5FE34">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此项指标满分24分，得22分。</w:t>
      </w:r>
    </w:p>
    <w:p w14:paraId="3CF674C0">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2、产出成本</w:t>
      </w:r>
    </w:p>
    <w:p w14:paraId="4DA2A628">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区卫健委成立南岸区医疗、护理、院感、药事、检验、影像、中医等共七个医疗专业质量管理中心，其中南岸区中医医疗质量管理中心挂靠在区中医院，负责全区中医临床、中医病案、中医院感、中医护理、中药药事等专业的质量管理、指导和患者医疗安全保障。医疗、护理、院感、药事、检验、影响等6个质量中心，每个质量中心拨付经费3万元，中医质量管理中心内设5个小组，每个小组1万元。提高了南岸区医疗、护理、院感、药事、检验、影像、中医的质量管理与控制工作，健全了医疗质量管理体系，加强了医疗质量管理能力。</w:t>
      </w:r>
    </w:p>
    <w:p w14:paraId="32FE8709">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此项指标满分5分，得5分。</w:t>
      </w:r>
    </w:p>
    <w:p w14:paraId="11FEE016">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（四）效益类指标分析</w:t>
      </w:r>
    </w:p>
    <w:p w14:paraId="42D84F38">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效益类指标，主要包括社会效益、可持续影响、社会公众或服务对象满意度相关内容，共有3个三级指标，10个四级指标，指标分值36分。</w:t>
      </w:r>
    </w:p>
    <w:p w14:paraId="581672A7">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1.社会效益。</w:t>
      </w:r>
    </w:p>
    <w:p w14:paraId="581C88FE">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①新增民营医院重庆康达医院，完成执业登记营业。重庆康达医院的设立对整体提高南岸四至七公里的医疗服务水平、满足辖区居民看病就医需求有良好的带动作用。此项满分3分，得3分。</w:t>
      </w:r>
    </w:p>
    <w:p w14:paraId="4C1E8879">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②区卫健委及其下属单位以提升基层医疗机构服务能力为核心，完善重点学科建设，提升人才梯队和卫生科技水平，不断提高基层医院的整体服务能力，对提升全区各级各类医疗机构医疗质量和医疗服务水平较为显著，但通过调查问卷了解到，社会公众仍然认为“看病难”问题严峻，主要集中为“候诊时间长、优质医疗集中在发达城市、医护人员态度差”等问题。此项满分3分，扣1分。</w:t>
      </w:r>
    </w:p>
    <w:p w14:paraId="64D22929">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③区精神卫生中心建立了南岸区心理服务中心，通过向看守所、学校开展讲座以及在社区、广场等进行心理知识普及活动进行宣传，普及了城市、农村普通人群心理健康核心知识知晓度。经南岸区心理服务中心对南岸区居民进行问卷调查统计，心理健康核心知识知晓率达40.36%，未达预期知晓率50%。此项满分3分，扣1分。</w:t>
      </w:r>
    </w:p>
    <w:p w14:paraId="31EC545A">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④提升辖区群众对中医药服务的知晓率。2020年区卫健委在宏声广场举办了大型中医中药中国行系列宣传活动，通过中医药宣传资料和中医药健康教育处方发放、中医药健康咨询、中医药健康管理、中医药互动体验、中医专家义诊、中医养生操表演等现场活动推广中医药文化宣传，发放宣传资料2000多册，专家义诊人次800多人，提升了医务工作者和人民群众对中医药的关注。重庆市第八十四中学校和南岸区文峰小学校通过开展中医药文化长廊打造、中药材种植、中医药专家进校园指导、中小学生中医药知识读本采购等工作，将中医药文化带入校园学习、深入学生家庭。此项满分3分，得3分。</w:t>
      </w:r>
    </w:p>
    <w:p w14:paraId="2CA30D82">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⑤提升受援医院诊疗水平和医疗质量，促使优质资源下沉。2020年区卫健委持续深入推进对口帮扶工作，从开展医疗帮扶、加强疾病预防控制和应急技术指导和培训、加强监督执法和检测培训指导三个方面入手，对石柱县受援单位开展技术指导；接收石柱县卫生健康委员会选派的2名医务人员赴重庆市第五人民医院和南岸区中医院进修培训；拨付19.8万元帮扶资金至石柱县对口帮扶。此项满分3分，扣1分。</w:t>
      </w:r>
    </w:p>
    <w:p w14:paraId="32D26F5F">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⑥推进医疗保障系统行风建设，改善服务作风，增强群众获得感。区卫健委以问题导向，加强个案警示教育，针对重庆奥妃整形美容门诊部被投诉“套路贷”问题，召开全区医疗美容机构警示教育会；加强违规行为排查，开展全区医疗机构和医务人员违规参与推销活动排查工作；加强医疗质量监督，根据区医保局问题移交会同区卫生监督综合执法支队出动12人次对3家医疗机构开展检查，进一步核实移交的问题，并适时采取相应措施，督促各医疗机构加强医疗质量管理；加强医疗广告审批和义诊备案，医疗广告审批4家，义诊备案3家3次。通过调查问卷了解到社会公众认为医疗卫生方面存在医护人员服务态度不好、医生不称职等现象。因此，此项满分3分，扣1分。</w:t>
      </w:r>
    </w:p>
    <w:p w14:paraId="4990F43B">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此项指标满分18分，得14分。</w:t>
      </w:r>
    </w:p>
    <w:p w14:paraId="6285594B">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2、可持续影响。</w:t>
      </w:r>
    </w:p>
    <w:p w14:paraId="5478C180">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①提高严重精神障碍患者病情服务率，降低严重精神障碍患者肇事肇祸风险。2019年度南岸区严重精神障碍患者在册人数3503人，服药率为74.96%；2020年度南岸区严重精神障碍患者在册人数3532人，服药率为84.26%，服药率有了较大提升。患者是否规律服药与严重精神障碍患者肇事肇祸案（事）件息息相关，通过提高服药率保持了患者的病情稳定，降低疾病复发及肇事肇祸风险。</w:t>
      </w:r>
    </w:p>
    <w:p w14:paraId="08A268F7">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②提升群众对中医药的认同感，使中医药服务更深入人心；推进中医人才培养，促进中医药专业技术人员执业规范。区卫健委通过加强中医文化科普宣传、对中医住院医师进行规范化培训、建立中医质量管理中心等方式，促进民众对中医中药的消费认知，提升医疗工作者的中医药服务能力和水平，</w:t>
      </w:r>
      <w:r>
        <w:rPr>
          <w:rFonts w:hint="eastAsia" w:ascii="方正仿宋_GBK" w:eastAsia="方正仿宋_GBK"/>
          <w:lang w:eastAsia="zh-CN"/>
        </w:rPr>
        <w:t>更好地为</w:t>
      </w:r>
      <w:r>
        <w:rPr>
          <w:rFonts w:hint="eastAsia" w:ascii="方正仿宋_GBK" w:eastAsia="方正仿宋_GBK"/>
        </w:rPr>
        <w:t>群众提供优质的中医药服务。</w:t>
      </w:r>
    </w:p>
    <w:p w14:paraId="50E2ACC0">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此项指标满分8分，得8分。</w:t>
      </w:r>
    </w:p>
    <w:p w14:paraId="2185383A">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3.社会公众或服务对象满意度。</w:t>
      </w:r>
    </w:p>
    <w:p w14:paraId="3BDA7266">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①社会公众：通过向社会公众发放调查问卷了解，社会公众对医疗服务能力提升补助资金项目满意度一般，其中满意度高占比3.77%，满意度较高占比35.85%，满意度一般占比56.60%，不满意占比3.78%。此项满分5分，得1.83分。</w:t>
      </w:r>
    </w:p>
    <w:p w14:paraId="34C10CE0">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②医疗工作人员：通过向医疗工作人员发放调查问卷了解，医疗工作人员对医疗服务能力提升补助资金项目满意度较高，其中满意度高占比34.7%，满意度较高占比48%，一般占比17.3%。此项满分5分，得3.35分。</w:t>
      </w:r>
    </w:p>
    <w:p w14:paraId="0BF34F6E">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此项满分10分，得5.18分。</w:t>
      </w:r>
    </w:p>
    <w:p w14:paraId="3F3FC675">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七、绩效评价结论</w:t>
      </w:r>
    </w:p>
    <w:p w14:paraId="3080FFE1">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（一）评价结果判定</w:t>
      </w:r>
    </w:p>
    <w:p w14:paraId="57CD4C39">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在整个对财政专项资金绩效进行评价的过程中：投入(A)占10%、管理 (B)占25%、产出（C）占29%、效益（D）占36%。每类指标及其子指标分值已经在附表1中给出了具体明细，各子指标项得分汇总后可得项目最终绩效评价分数(S)。其通用公式为：</w:t>
      </w:r>
    </w:p>
    <w:p w14:paraId="6AF71ED3">
      <w:pPr>
        <w:pStyle w:val="8"/>
        <w:shd w:val="clear" w:color="auto" w:fill="FFFFFF"/>
        <w:spacing w:before="0" w:beforeAutospacing="0" w:after="0" w:afterAutospacing="0" w:line="600" w:lineRule="exact"/>
        <w:ind w:firstLine="480" w:firstLineChars="200"/>
        <w:jc w:val="both"/>
        <w:rPr>
          <w:rFonts w:ascii="方正仿宋_GBK" w:eastAsia="方正仿宋_GBK"/>
        </w:rPr>
      </w:pPr>
      <m:oMathPara>
        <m:oMath>
          <m:r>
            <m:rPr/>
            <w:rPr>
              <w:rFonts w:ascii="Cambria Math" w:hAnsi="Cambria Math" w:eastAsia="仿宋_GB2312"/>
              <w:szCs w:val="21"/>
            </w:rPr>
            <m:t>S=</m:t>
          </m:r>
          <m:nary>
            <m:naryPr>
              <m:chr m:val="∑"/>
              <m:grow m:val="1"/>
              <m:limLoc m:val="undOvr"/>
              <m:ctrlPr>
                <w:rPr>
                  <w:rFonts w:ascii="Cambria Math" w:hAnsi="Cambria Math" w:eastAsia="仿宋_GB2312"/>
                  <w:i/>
                  <w:szCs w:val="21"/>
                </w:rPr>
              </m:ctrlPr>
            </m:naryPr>
            <m:sub>
              <m:r>
                <m:rPr/>
                <w:rPr>
                  <w:rFonts w:ascii="Cambria Math" w:hAnsi="Cambria Math" w:eastAsia="仿宋_GB2312"/>
                  <w:szCs w:val="21"/>
                </w:rPr>
                <m:t>i=1</m:t>
              </m:r>
              <m:ctrlPr>
                <w:rPr>
                  <w:rFonts w:ascii="Cambria Math" w:hAnsi="Cambria Math" w:eastAsia="仿宋_GB2312"/>
                  <w:i/>
                  <w:szCs w:val="21"/>
                </w:rPr>
              </m:ctrlPr>
            </m:sub>
            <m:sup>
              <m:r>
                <m:rPr/>
                <w:rPr>
                  <w:rFonts w:ascii="Cambria Math" w:hAnsi="Cambria Math" w:eastAsia="仿宋_GB2312"/>
                  <w:szCs w:val="21"/>
                </w:rPr>
                <m:t>n</m:t>
              </m:r>
              <m:ctrlPr>
                <w:rPr>
                  <w:rFonts w:ascii="Cambria Math" w:hAnsi="Cambria Math" w:eastAsia="仿宋_GB2312"/>
                  <w:i/>
                  <w:szCs w:val="21"/>
                </w:rPr>
              </m:ctrlPr>
            </m:sup>
            <m:e>
              <m:sSub>
                <m:sSubPr>
                  <m:ctrlPr>
                    <w:rPr>
                      <w:rFonts w:ascii="Cambria Math" w:hAnsi="Cambria Math" w:eastAsia="仿宋_GB2312"/>
                      <w:i/>
                      <w:szCs w:val="21"/>
                    </w:rPr>
                  </m:ctrlPr>
                </m:sSubPr>
                <m:e>
                  <m:r>
                    <m:rPr/>
                    <w:rPr>
                      <w:rFonts w:ascii="Cambria Math" w:hAnsi="Cambria Math" w:eastAsia="仿宋_GB2312"/>
                      <w:szCs w:val="21"/>
                    </w:rPr>
                    <m:t>A</m:t>
                  </m:r>
                  <m:ctrlPr>
                    <w:rPr>
                      <w:rFonts w:ascii="Cambria Math" w:hAnsi="Cambria Math" w:eastAsia="仿宋_GB2312"/>
                      <w:i/>
                      <w:szCs w:val="21"/>
                    </w:rPr>
                  </m:ctrlPr>
                </m:e>
                <m:sub>
                  <m:r>
                    <m:rPr/>
                    <w:rPr>
                      <w:rFonts w:ascii="Cambria Math" w:hAnsi="Cambria Math" w:eastAsia="仿宋_GB2312"/>
                      <w:szCs w:val="21"/>
                    </w:rPr>
                    <m:t>i</m:t>
                  </m:r>
                  <m:ctrlPr>
                    <w:rPr>
                      <w:rFonts w:ascii="Cambria Math" w:hAnsi="Cambria Math" w:eastAsia="仿宋_GB2312"/>
                      <w:i/>
                      <w:szCs w:val="21"/>
                    </w:rPr>
                  </m:ctrlPr>
                </m:sub>
              </m:sSub>
              <m:ctrlPr>
                <w:rPr>
                  <w:rFonts w:ascii="Cambria Math" w:hAnsi="Cambria Math" w:eastAsia="仿宋_GB2312"/>
                  <w:i/>
                  <w:szCs w:val="21"/>
                </w:rPr>
              </m:ctrlPr>
            </m:e>
          </m:nary>
          <m:r>
            <m:rPr/>
            <w:rPr>
              <w:rFonts w:ascii="Cambria Math" w:hAnsi="Cambria Math" w:eastAsia="仿宋_GB2312"/>
              <w:szCs w:val="21"/>
            </w:rPr>
            <m:t>+</m:t>
          </m:r>
          <m:nary>
            <m:naryPr>
              <m:chr m:val="∑"/>
              <m:grow m:val="1"/>
              <m:limLoc m:val="undOvr"/>
              <m:ctrlPr>
                <w:rPr>
                  <w:rFonts w:ascii="Cambria Math" w:hAnsi="Cambria Math" w:eastAsia="仿宋_GB2312"/>
                  <w:i/>
                  <w:szCs w:val="21"/>
                </w:rPr>
              </m:ctrlPr>
            </m:naryPr>
            <m:sub>
              <m:r>
                <m:rPr/>
                <w:rPr>
                  <w:rFonts w:ascii="Cambria Math" w:hAnsi="Cambria Math" w:eastAsia="仿宋_GB2312"/>
                  <w:szCs w:val="21"/>
                </w:rPr>
                <m:t>i=1</m:t>
              </m:r>
              <m:ctrlPr>
                <w:rPr>
                  <w:rFonts w:ascii="Cambria Math" w:hAnsi="Cambria Math" w:eastAsia="仿宋_GB2312"/>
                  <w:i/>
                  <w:szCs w:val="21"/>
                </w:rPr>
              </m:ctrlPr>
            </m:sub>
            <m:sup>
              <m:r>
                <m:rPr/>
                <w:rPr>
                  <w:rFonts w:ascii="Cambria Math" w:hAnsi="Cambria Math" w:eastAsia="仿宋_GB2312"/>
                  <w:szCs w:val="21"/>
                </w:rPr>
                <m:t>n</m:t>
              </m:r>
              <m:ctrlPr>
                <w:rPr>
                  <w:rFonts w:ascii="Cambria Math" w:hAnsi="Cambria Math" w:eastAsia="仿宋_GB2312"/>
                  <w:i/>
                  <w:szCs w:val="21"/>
                </w:rPr>
              </m:ctrlPr>
            </m:sup>
            <m:e>
              <m:sSub>
                <m:sSubPr>
                  <m:ctrlPr>
                    <w:rPr>
                      <w:rFonts w:ascii="Cambria Math" w:hAnsi="Cambria Math" w:eastAsia="仿宋_GB2312"/>
                      <w:i/>
                      <w:szCs w:val="21"/>
                    </w:rPr>
                  </m:ctrlPr>
                </m:sSubPr>
                <m:e>
                  <m:r>
                    <m:rPr/>
                    <w:rPr>
                      <w:rFonts w:ascii="Cambria Math" w:hAnsi="Cambria Math" w:eastAsia="仿宋_GB2312"/>
                      <w:szCs w:val="21"/>
                    </w:rPr>
                    <m:t>B</m:t>
                  </m:r>
                  <m:ctrlPr>
                    <w:rPr>
                      <w:rFonts w:ascii="Cambria Math" w:hAnsi="Cambria Math" w:eastAsia="仿宋_GB2312"/>
                      <w:i/>
                      <w:szCs w:val="21"/>
                    </w:rPr>
                  </m:ctrlPr>
                </m:e>
                <m:sub>
                  <m:r>
                    <m:rPr/>
                    <w:rPr>
                      <w:rFonts w:ascii="Cambria Math" w:hAnsi="Cambria Math" w:eastAsia="仿宋_GB2312"/>
                      <w:szCs w:val="21"/>
                    </w:rPr>
                    <m:t>i</m:t>
                  </m:r>
                  <m:ctrlPr>
                    <w:rPr>
                      <w:rFonts w:ascii="Cambria Math" w:hAnsi="Cambria Math" w:eastAsia="仿宋_GB2312"/>
                      <w:i/>
                      <w:szCs w:val="21"/>
                    </w:rPr>
                  </m:ctrlPr>
                </m:sub>
              </m:sSub>
              <m:ctrlPr>
                <w:rPr>
                  <w:rFonts w:ascii="Cambria Math" w:hAnsi="Cambria Math" w:eastAsia="仿宋_GB2312"/>
                  <w:i/>
                  <w:szCs w:val="21"/>
                </w:rPr>
              </m:ctrlPr>
            </m:e>
          </m:nary>
          <m:r>
            <m:rPr/>
            <w:rPr>
              <w:rFonts w:ascii="Cambria Math" w:hAnsi="Cambria Math" w:eastAsia="仿宋_GB2312"/>
              <w:szCs w:val="21"/>
            </w:rPr>
            <m:t>+</m:t>
          </m:r>
          <m:nary>
            <m:naryPr>
              <m:chr m:val="∑"/>
              <m:grow m:val="1"/>
              <m:limLoc m:val="undOvr"/>
              <m:ctrlPr>
                <w:rPr>
                  <w:rFonts w:ascii="Cambria Math" w:hAnsi="Cambria Math" w:eastAsia="仿宋_GB2312"/>
                  <w:i/>
                  <w:szCs w:val="21"/>
                </w:rPr>
              </m:ctrlPr>
            </m:naryPr>
            <m:sub>
              <m:acc>
                <m:accPr>
                  <m:chr m:val="̇"/>
                  <m:ctrlPr>
                    <w:rPr>
                      <w:rFonts w:ascii="Cambria Math" w:hAnsi="Cambria Math" w:eastAsia="仿宋_GB2312"/>
                      <w:i/>
                      <w:szCs w:val="21"/>
                    </w:rPr>
                  </m:ctrlPr>
                </m:accPr>
                <m:e>
                  <m:r>
                    <m:rPr/>
                    <w:rPr>
                      <w:rFonts w:ascii="Cambria Math" w:hAnsi="Cambria Math" w:eastAsia="仿宋_GB2312"/>
                      <w:szCs w:val="21"/>
                    </w:rPr>
                    <m:t>i</m:t>
                  </m:r>
                  <m:ctrlPr>
                    <w:rPr>
                      <w:rFonts w:ascii="Cambria Math" w:hAnsi="Cambria Math" w:eastAsia="仿宋_GB2312"/>
                      <w:i/>
                      <w:szCs w:val="21"/>
                    </w:rPr>
                  </m:ctrlPr>
                </m:e>
              </m:acc>
              <m:r>
                <m:rPr/>
                <w:rPr>
                  <w:rFonts w:ascii="Cambria Math" w:hAnsi="Cambria Math" w:eastAsia="仿宋_GB2312"/>
                  <w:szCs w:val="21"/>
                </w:rPr>
                <m:t>=1</m:t>
              </m:r>
              <m:ctrlPr>
                <w:rPr>
                  <w:rFonts w:ascii="Cambria Math" w:hAnsi="Cambria Math" w:eastAsia="仿宋_GB2312"/>
                  <w:i/>
                  <w:szCs w:val="21"/>
                </w:rPr>
              </m:ctrlPr>
            </m:sub>
            <m:sup>
              <m:r>
                <m:rPr/>
                <w:rPr>
                  <w:rFonts w:ascii="Cambria Math" w:hAnsi="Cambria Math" w:eastAsia="仿宋_GB2312"/>
                  <w:szCs w:val="21"/>
                </w:rPr>
                <m:t>n</m:t>
              </m:r>
              <m:ctrlPr>
                <w:rPr>
                  <w:rFonts w:ascii="Cambria Math" w:hAnsi="Cambria Math" w:eastAsia="仿宋_GB2312"/>
                  <w:i/>
                  <w:szCs w:val="21"/>
                </w:rPr>
              </m:ctrlPr>
            </m:sup>
            <m:e>
              <m:sSub>
                <m:sSubPr>
                  <m:ctrlPr>
                    <w:rPr>
                      <w:rFonts w:ascii="Cambria Math" w:hAnsi="Cambria Math" w:eastAsia="仿宋_GB2312"/>
                      <w:i/>
                      <w:szCs w:val="21"/>
                    </w:rPr>
                  </m:ctrlPr>
                </m:sSubPr>
                <m:e>
                  <m:r>
                    <m:rPr/>
                    <w:rPr>
                      <w:rFonts w:ascii="Cambria Math" w:hAnsi="Cambria Math" w:eastAsia="仿宋_GB2312"/>
                      <w:szCs w:val="21"/>
                    </w:rPr>
                    <m:t>C</m:t>
                  </m:r>
                  <m:ctrlPr>
                    <w:rPr>
                      <w:rFonts w:ascii="Cambria Math" w:hAnsi="Cambria Math" w:eastAsia="仿宋_GB2312"/>
                      <w:i/>
                      <w:szCs w:val="21"/>
                    </w:rPr>
                  </m:ctrlPr>
                </m:e>
                <m:sub>
                  <m:r>
                    <m:rPr/>
                    <w:rPr>
                      <w:rFonts w:ascii="Cambria Math" w:hAnsi="Cambria Math" w:eastAsia="仿宋_GB2312"/>
                      <w:szCs w:val="21"/>
                    </w:rPr>
                    <m:t>i</m:t>
                  </m:r>
                  <m:ctrlPr>
                    <w:rPr>
                      <w:rFonts w:ascii="Cambria Math" w:hAnsi="Cambria Math" w:eastAsia="仿宋_GB2312"/>
                      <w:i/>
                      <w:szCs w:val="21"/>
                    </w:rPr>
                  </m:ctrlPr>
                </m:sub>
              </m:sSub>
              <m:ctrlPr>
                <w:rPr>
                  <w:rFonts w:ascii="Cambria Math" w:hAnsi="Cambria Math" w:eastAsia="仿宋_GB2312"/>
                  <w:i/>
                  <w:szCs w:val="21"/>
                </w:rPr>
              </m:ctrlPr>
            </m:e>
          </m:nary>
          <m:r>
            <m:rPr/>
            <w:rPr>
              <w:rFonts w:ascii="Cambria Math" w:hAnsi="Cambria Math" w:eastAsia="仿宋_GB2312"/>
              <w:szCs w:val="21"/>
            </w:rPr>
            <m:t>+</m:t>
          </m:r>
          <m:nary>
            <m:naryPr>
              <m:chr m:val="∑"/>
              <m:grow m:val="1"/>
              <m:limLoc m:val="undOvr"/>
              <m:ctrlPr>
                <w:rPr>
                  <w:rFonts w:ascii="Cambria Math" w:hAnsi="Cambria Math" w:eastAsia="仿宋_GB2312"/>
                  <w:i/>
                  <w:szCs w:val="21"/>
                </w:rPr>
              </m:ctrlPr>
            </m:naryPr>
            <m:sub>
              <m:r>
                <m:rPr/>
                <w:rPr>
                  <w:rFonts w:ascii="Cambria Math" w:hAnsi="Cambria Math" w:eastAsia="仿宋_GB2312"/>
                  <w:szCs w:val="21"/>
                </w:rPr>
                <m:t>i=1</m:t>
              </m:r>
              <m:ctrlPr>
                <w:rPr>
                  <w:rFonts w:ascii="Cambria Math" w:hAnsi="Cambria Math" w:eastAsia="仿宋_GB2312"/>
                  <w:i/>
                  <w:szCs w:val="21"/>
                </w:rPr>
              </m:ctrlPr>
            </m:sub>
            <m:sup>
              <m:r>
                <m:rPr/>
                <w:rPr>
                  <w:rFonts w:ascii="Cambria Math" w:hAnsi="Cambria Math" w:eastAsia="仿宋_GB2312"/>
                  <w:szCs w:val="21"/>
                </w:rPr>
                <m:t>n</m:t>
              </m:r>
              <m:ctrlPr>
                <w:rPr>
                  <w:rFonts w:ascii="Cambria Math" w:hAnsi="Cambria Math" w:eastAsia="仿宋_GB2312"/>
                  <w:i/>
                  <w:szCs w:val="21"/>
                </w:rPr>
              </m:ctrlPr>
            </m:sup>
            <m:e>
              <m:sSub>
                <m:sSubPr>
                  <m:ctrlPr>
                    <w:rPr>
                      <w:rFonts w:ascii="Cambria Math" w:hAnsi="Cambria Math" w:eastAsia="仿宋_GB2312"/>
                      <w:i/>
                      <w:szCs w:val="21"/>
                    </w:rPr>
                  </m:ctrlPr>
                </m:sSubPr>
                <m:e>
                  <m:r>
                    <m:rPr/>
                    <w:rPr>
                      <w:rFonts w:ascii="Cambria Math" w:hAnsi="Cambria Math" w:eastAsia="仿宋_GB2312"/>
                      <w:szCs w:val="21"/>
                    </w:rPr>
                    <m:t>D</m:t>
                  </m:r>
                  <m:ctrlPr>
                    <w:rPr>
                      <w:rFonts w:ascii="Cambria Math" w:hAnsi="Cambria Math" w:eastAsia="仿宋_GB2312"/>
                      <w:i/>
                      <w:szCs w:val="21"/>
                    </w:rPr>
                  </m:ctrlPr>
                </m:e>
                <m:sub>
                  <m:r>
                    <m:rPr/>
                    <w:rPr>
                      <w:rFonts w:ascii="Cambria Math" w:hAnsi="Cambria Math" w:eastAsia="仿宋_GB2312"/>
                      <w:szCs w:val="21"/>
                    </w:rPr>
                    <m:t>i</m:t>
                  </m:r>
                  <m:ctrlPr>
                    <w:rPr>
                      <w:rFonts w:ascii="Cambria Math" w:hAnsi="Cambria Math" w:eastAsia="仿宋_GB2312"/>
                      <w:i/>
                      <w:szCs w:val="21"/>
                    </w:rPr>
                  </m:ctrlPr>
                </m:sub>
              </m:sSub>
              <m:ctrlPr>
                <w:rPr>
                  <w:rFonts w:ascii="Cambria Math" w:hAnsi="Cambria Math" w:eastAsia="仿宋_GB2312"/>
                  <w:i/>
                  <w:szCs w:val="21"/>
                </w:rPr>
              </m:ctrlPr>
            </m:e>
          </m:nary>
        </m:oMath>
      </m:oMathPara>
    </w:p>
    <w:p w14:paraId="359A5502">
      <w:pPr>
        <w:pStyle w:val="8"/>
        <w:shd w:val="clear" w:color="auto" w:fill="FFFFFF"/>
        <w:spacing w:before="0" w:beforeAutospacing="0" w:after="0" w:afterAutospacing="0" w:line="600" w:lineRule="exact"/>
        <w:ind w:firstLine="480" w:firstLineChars="200"/>
        <w:jc w:val="both"/>
        <w:rPr>
          <w:rFonts w:ascii="仿宋_GB2312" w:eastAsia="仿宋_GB2312"/>
        </w:rPr>
      </w:pPr>
      <w:r>
        <w:rPr>
          <w:rFonts w:hint="eastAsia" w:ascii="仿宋_GB2312" w:eastAsia="仿宋_GB2312"/>
        </w:rPr>
        <w:drawing>
          <wp:anchor distT="0" distB="0" distL="114300" distR="114300" simplePos="0" relativeHeight="251659264" behindDoc="1" locked="0" layoutInCell="1" allowOverlap="1">
            <wp:simplePos x="0" y="0"/>
            <wp:positionH relativeFrom="column">
              <wp:posOffset>375920</wp:posOffset>
            </wp:positionH>
            <wp:positionV relativeFrom="paragraph">
              <wp:posOffset>189230</wp:posOffset>
            </wp:positionV>
            <wp:extent cx="466725" cy="495300"/>
            <wp:effectExtent l="0" t="0" r="9525" b="0"/>
            <wp:wrapTight wrapText="bothSides">
              <wp:wrapPolygon>
                <wp:start x="0" y="0"/>
                <wp:lineTo x="0" y="20769"/>
                <wp:lineTo x="20454" y="20769"/>
                <wp:lineTo x="20454" y="0"/>
                <wp:lineTo x="0" y="0"/>
              </wp:wrapPolygon>
            </wp:wrapTight>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stretch>
                      <a:fillRect/>
                    </a:stretch>
                  </pic:blipFill>
                  <pic:spPr>
                    <a:xfrm>
                      <a:off x="0" y="0"/>
                      <a:ext cx="466725" cy="495300"/>
                    </a:xfrm>
                    <a:prstGeom prst="rect">
                      <a:avLst/>
                    </a:prstGeom>
                    <a:noFill/>
                    <a:ln w="9525">
                      <a:noFill/>
                    </a:ln>
                  </pic:spPr>
                </pic:pic>
              </a:graphicData>
            </a:graphic>
          </wp:anchor>
        </w:drawing>
      </w:r>
    </w:p>
    <w:p w14:paraId="622596C4">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为对X指标项各子指标得分加总。(X=A、B、C、D)</w:t>
      </w:r>
    </w:p>
    <w:p w14:paraId="205BD04E">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通过评价小组的评估测算，可最终得出财政资金申请项目绩效评价总分，进而根据总分的高低确定被评价项目最后所达到的等级，如下表所示：</w:t>
      </w:r>
    </w:p>
    <w:p w14:paraId="2815E257">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财政资金绩效评价结果判定</w:t>
      </w:r>
    </w:p>
    <w:tbl>
      <w:tblPr>
        <w:tblStyle w:val="9"/>
        <w:tblW w:w="9072" w:type="dxa"/>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1695"/>
        <w:gridCol w:w="1917"/>
        <w:gridCol w:w="1754"/>
        <w:gridCol w:w="1755"/>
        <w:gridCol w:w="1951"/>
      </w:tblGrid>
      <w:tr w14:paraId="39523E7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blHeader/>
        </w:trPr>
        <w:tc>
          <w:tcPr>
            <w:tcW w:w="1695" w:type="dxa"/>
            <w:shd w:val="clear" w:color="auto" w:fill="auto"/>
            <w:vAlign w:val="center"/>
          </w:tcPr>
          <w:p w14:paraId="6423F580">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评价总分</w:t>
            </w:r>
          </w:p>
        </w:tc>
        <w:tc>
          <w:tcPr>
            <w:tcW w:w="1917" w:type="dxa"/>
            <w:shd w:val="clear" w:color="auto" w:fill="auto"/>
            <w:vAlign w:val="center"/>
          </w:tcPr>
          <w:p w14:paraId="6A5B1103">
            <w:pPr>
              <w:spacing w:line="280" w:lineRule="exact"/>
              <w:jc w:val="center"/>
              <w:textAlignment w:val="center"/>
              <w:rPr>
                <w:rFonts w:eastAsia="仿宋_GB2312" w:cs="仿宋_GB2312"/>
                <w:color w:val="000000"/>
                <w:szCs w:val="21"/>
                <w:lang w:bidi="ar"/>
              </w:rPr>
            </w:pPr>
            <w:r>
              <w:rPr>
                <w:rFonts w:hint="eastAsia" w:eastAsia="仿宋_GB2312"/>
                <w:color w:val="000000"/>
                <w:szCs w:val="21"/>
                <w:lang w:bidi="ar"/>
              </w:rPr>
              <w:t>90</w:t>
            </w:r>
            <w:r>
              <w:rPr>
                <w:rFonts w:hint="eastAsia" w:eastAsia="仿宋_GB2312" w:cs="仿宋_GB2312"/>
                <w:color w:val="000000"/>
                <w:szCs w:val="21"/>
                <w:lang w:bidi="ar"/>
              </w:rPr>
              <w:t>分及以上</w:t>
            </w:r>
          </w:p>
        </w:tc>
        <w:tc>
          <w:tcPr>
            <w:tcW w:w="1754" w:type="dxa"/>
            <w:shd w:val="clear" w:color="auto" w:fill="auto"/>
            <w:vAlign w:val="center"/>
          </w:tcPr>
          <w:p w14:paraId="11586B56">
            <w:pPr>
              <w:spacing w:line="280" w:lineRule="exact"/>
              <w:jc w:val="center"/>
              <w:textAlignment w:val="center"/>
              <w:rPr>
                <w:rFonts w:eastAsia="仿宋_GB2312" w:cs="仿宋_GB2312"/>
                <w:color w:val="000000"/>
                <w:szCs w:val="21"/>
                <w:lang w:bidi="ar"/>
              </w:rPr>
            </w:pPr>
            <w:r>
              <w:rPr>
                <w:rFonts w:hint="eastAsia" w:eastAsia="仿宋_GB2312"/>
                <w:color w:val="000000"/>
                <w:szCs w:val="21"/>
                <w:lang w:bidi="ar"/>
              </w:rPr>
              <w:t>80—90</w:t>
            </w:r>
            <w:r>
              <w:rPr>
                <w:rFonts w:hint="eastAsia" w:eastAsia="仿宋_GB2312" w:cs="仿宋_GB2312"/>
                <w:color w:val="000000"/>
                <w:szCs w:val="21"/>
                <w:lang w:bidi="ar"/>
              </w:rPr>
              <w:t>分</w:t>
            </w:r>
          </w:p>
        </w:tc>
        <w:tc>
          <w:tcPr>
            <w:tcW w:w="1755" w:type="dxa"/>
            <w:shd w:val="clear" w:color="auto" w:fill="auto"/>
            <w:vAlign w:val="center"/>
          </w:tcPr>
          <w:p w14:paraId="591ADECF">
            <w:pPr>
              <w:spacing w:line="280" w:lineRule="exact"/>
              <w:jc w:val="center"/>
              <w:textAlignment w:val="center"/>
              <w:rPr>
                <w:rFonts w:eastAsia="仿宋_GB2312" w:cs="仿宋_GB2312"/>
                <w:color w:val="000000"/>
                <w:szCs w:val="21"/>
                <w:lang w:bidi="ar"/>
              </w:rPr>
            </w:pPr>
            <w:r>
              <w:rPr>
                <w:rFonts w:hint="eastAsia" w:eastAsia="仿宋_GB2312"/>
                <w:color w:val="000000"/>
                <w:szCs w:val="21"/>
                <w:lang w:bidi="ar"/>
              </w:rPr>
              <w:t>60—80</w:t>
            </w:r>
            <w:r>
              <w:rPr>
                <w:rFonts w:hint="eastAsia" w:eastAsia="仿宋_GB2312" w:cs="仿宋_GB2312"/>
                <w:color w:val="000000"/>
                <w:szCs w:val="21"/>
                <w:lang w:bidi="ar"/>
              </w:rPr>
              <w:t>分</w:t>
            </w:r>
          </w:p>
        </w:tc>
        <w:tc>
          <w:tcPr>
            <w:tcW w:w="1951" w:type="dxa"/>
            <w:shd w:val="clear" w:color="auto" w:fill="auto"/>
            <w:vAlign w:val="center"/>
          </w:tcPr>
          <w:p w14:paraId="641678BB">
            <w:pPr>
              <w:spacing w:line="280" w:lineRule="exact"/>
              <w:jc w:val="center"/>
              <w:textAlignment w:val="center"/>
              <w:rPr>
                <w:rFonts w:eastAsia="仿宋_GB2312" w:cs="仿宋_GB2312"/>
                <w:color w:val="000000"/>
                <w:szCs w:val="21"/>
                <w:lang w:bidi="ar"/>
              </w:rPr>
            </w:pPr>
            <w:r>
              <w:rPr>
                <w:rFonts w:hint="eastAsia" w:eastAsia="仿宋_GB2312"/>
                <w:color w:val="000000"/>
                <w:szCs w:val="21"/>
                <w:lang w:bidi="ar"/>
              </w:rPr>
              <w:t>60</w:t>
            </w:r>
            <w:r>
              <w:rPr>
                <w:rFonts w:hint="eastAsia" w:eastAsia="仿宋_GB2312" w:cs="仿宋_GB2312"/>
                <w:color w:val="000000"/>
                <w:szCs w:val="21"/>
                <w:lang w:bidi="ar"/>
              </w:rPr>
              <w:t>分以下</w:t>
            </w:r>
          </w:p>
        </w:tc>
      </w:tr>
      <w:tr w14:paraId="6084AC51">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695" w:type="dxa"/>
            <w:shd w:val="clear" w:color="auto" w:fill="auto"/>
            <w:vAlign w:val="center"/>
          </w:tcPr>
          <w:p w14:paraId="6E347DF8">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评价等级</w:t>
            </w:r>
          </w:p>
        </w:tc>
        <w:tc>
          <w:tcPr>
            <w:tcW w:w="1917" w:type="dxa"/>
            <w:shd w:val="clear" w:color="auto" w:fill="auto"/>
            <w:vAlign w:val="center"/>
          </w:tcPr>
          <w:p w14:paraId="1CB0EF5D">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优</w:t>
            </w:r>
          </w:p>
        </w:tc>
        <w:tc>
          <w:tcPr>
            <w:tcW w:w="1754" w:type="dxa"/>
            <w:shd w:val="clear" w:color="auto" w:fill="auto"/>
            <w:vAlign w:val="center"/>
          </w:tcPr>
          <w:p w14:paraId="1436586D">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良</w:t>
            </w:r>
          </w:p>
        </w:tc>
        <w:tc>
          <w:tcPr>
            <w:tcW w:w="1755" w:type="dxa"/>
            <w:shd w:val="clear" w:color="auto" w:fill="auto"/>
            <w:vAlign w:val="center"/>
          </w:tcPr>
          <w:p w14:paraId="3A292B6F">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中</w:t>
            </w:r>
          </w:p>
        </w:tc>
        <w:tc>
          <w:tcPr>
            <w:tcW w:w="1951" w:type="dxa"/>
            <w:shd w:val="clear" w:color="auto" w:fill="auto"/>
            <w:vAlign w:val="center"/>
          </w:tcPr>
          <w:p w14:paraId="0F1439C9">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差</w:t>
            </w:r>
          </w:p>
        </w:tc>
      </w:tr>
    </w:tbl>
    <w:p w14:paraId="146C23E5">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（二）绩效评价结论</w:t>
      </w:r>
    </w:p>
    <w:p w14:paraId="5AFD6611">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根据对各子项目的评价分析，回答关键评价问题，整体项目的绩效评分为82.18分，按照评价级别设置标准，认定2020年度1,536.00万元的医疗服务能力提升建设专项资金绩效评价结论为“良”。项目绩效评价等级如下表：</w:t>
      </w:r>
    </w:p>
    <w:tbl>
      <w:tblPr>
        <w:tblStyle w:val="9"/>
        <w:tblW w:w="9072" w:type="dxa"/>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3024"/>
        <w:gridCol w:w="3024"/>
        <w:gridCol w:w="3024"/>
      </w:tblGrid>
      <w:tr w14:paraId="30A6FC3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blHeader/>
        </w:trPr>
        <w:tc>
          <w:tcPr>
            <w:tcW w:w="3024" w:type="dxa"/>
            <w:shd w:val="clear" w:color="auto" w:fill="auto"/>
            <w:vAlign w:val="center"/>
          </w:tcPr>
          <w:p w14:paraId="5AA2ACF8">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评价指标</w:t>
            </w:r>
          </w:p>
        </w:tc>
        <w:tc>
          <w:tcPr>
            <w:tcW w:w="3024" w:type="dxa"/>
            <w:shd w:val="clear" w:color="auto" w:fill="auto"/>
            <w:vAlign w:val="center"/>
          </w:tcPr>
          <w:p w14:paraId="067A0CC3">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指标分值</w:t>
            </w:r>
          </w:p>
        </w:tc>
        <w:tc>
          <w:tcPr>
            <w:tcW w:w="3024" w:type="dxa"/>
            <w:shd w:val="clear" w:color="auto" w:fill="auto"/>
            <w:vAlign w:val="center"/>
          </w:tcPr>
          <w:p w14:paraId="399E4587">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评价分值</w:t>
            </w:r>
          </w:p>
        </w:tc>
      </w:tr>
      <w:tr w14:paraId="25F3467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24" w:type="dxa"/>
            <w:shd w:val="clear" w:color="auto" w:fill="auto"/>
            <w:vAlign w:val="center"/>
          </w:tcPr>
          <w:p w14:paraId="06012DDA">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1.投入</w:t>
            </w:r>
          </w:p>
        </w:tc>
        <w:tc>
          <w:tcPr>
            <w:tcW w:w="3024" w:type="dxa"/>
            <w:shd w:val="clear" w:color="auto" w:fill="auto"/>
            <w:vAlign w:val="center"/>
          </w:tcPr>
          <w:p w14:paraId="57734D22">
            <w:pPr>
              <w:spacing w:line="280" w:lineRule="exact"/>
              <w:jc w:val="center"/>
              <w:textAlignment w:val="center"/>
              <w:rPr>
                <w:rFonts w:eastAsia="仿宋_GB2312"/>
                <w:color w:val="000000"/>
                <w:szCs w:val="21"/>
                <w:lang w:bidi="ar"/>
              </w:rPr>
            </w:pPr>
            <w:r>
              <w:rPr>
                <w:rFonts w:eastAsia="仿宋_GB2312"/>
                <w:color w:val="000000"/>
                <w:szCs w:val="21"/>
                <w:lang w:bidi="ar"/>
              </w:rPr>
              <w:t>10</w:t>
            </w:r>
            <w:r>
              <w:rPr>
                <w:rFonts w:hint="eastAsia" w:eastAsia="仿宋_GB2312"/>
                <w:color w:val="000000"/>
                <w:szCs w:val="21"/>
                <w:lang w:bidi="ar"/>
              </w:rPr>
              <w:t>.00</w:t>
            </w:r>
          </w:p>
        </w:tc>
        <w:tc>
          <w:tcPr>
            <w:tcW w:w="3024" w:type="dxa"/>
            <w:shd w:val="clear" w:color="auto" w:fill="auto"/>
            <w:vAlign w:val="center"/>
          </w:tcPr>
          <w:p w14:paraId="5EC2EF88">
            <w:pPr>
              <w:spacing w:line="280" w:lineRule="exact"/>
              <w:jc w:val="center"/>
              <w:textAlignment w:val="center"/>
              <w:rPr>
                <w:rFonts w:eastAsia="仿宋_GB2312"/>
                <w:color w:val="000000"/>
                <w:szCs w:val="21"/>
                <w:lang w:bidi="ar"/>
              </w:rPr>
            </w:pPr>
            <w:r>
              <w:rPr>
                <w:rFonts w:eastAsia="仿宋_GB2312"/>
              </w:rPr>
              <w:t>9.00</w:t>
            </w:r>
          </w:p>
        </w:tc>
      </w:tr>
      <w:tr w14:paraId="3A9530B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24" w:type="dxa"/>
            <w:shd w:val="clear" w:color="auto" w:fill="auto"/>
            <w:vAlign w:val="center"/>
          </w:tcPr>
          <w:p w14:paraId="5150F38E">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2.管理</w:t>
            </w:r>
          </w:p>
        </w:tc>
        <w:tc>
          <w:tcPr>
            <w:tcW w:w="3024" w:type="dxa"/>
            <w:shd w:val="clear" w:color="auto" w:fill="auto"/>
            <w:vAlign w:val="center"/>
          </w:tcPr>
          <w:p w14:paraId="5653F868">
            <w:pPr>
              <w:spacing w:line="280" w:lineRule="exact"/>
              <w:jc w:val="center"/>
              <w:textAlignment w:val="center"/>
              <w:rPr>
                <w:rFonts w:eastAsia="仿宋_GB2312"/>
                <w:color w:val="000000"/>
                <w:szCs w:val="21"/>
                <w:lang w:bidi="ar"/>
              </w:rPr>
            </w:pPr>
            <w:r>
              <w:rPr>
                <w:rFonts w:eastAsia="仿宋_GB2312"/>
                <w:color w:val="000000"/>
                <w:szCs w:val="21"/>
                <w:lang w:bidi="ar"/>
              </w:rPr>
              <w:t>25</w:t>
            </w:r>
            <w:r>
              <w:rPr>
                <w:rFonts w:hint="eastAsia" w:eastAsia="仿宋_GB2312"/>
                <w:color w:val="000000"/>
                <w:szCs w:val="21"/>
                <w:lang w:bidi="ar"/>
              </w:rPr>
              <w:t>.00</w:t>
            </w:r>
          </w:p>
        </w:tc>
        <w:tc>
          <w:tcPr>
            <w:tcW w:w="3024" w:type="dxa"/>
            <w:shd w:val="clear" w:color="auto" w:fill="auto"/>
            <w:vAlign w:val="center"/>
          </w:tcPr>
          <w:p w14:paraId="04D5A111">
            <w:pPr>
              <w:spacing w:line="280" w:lineRule="exact"/>
              <w:jc w:val="center"/>
              <w:textAlignment w:val="center"/>
              <w:rPr>
                <w:rFonts w:eastAsia="仿宋_GB2312"/>
                <w:color w:val="000000"/>
                <w:szCs w:val="21"/>
                <w:lang w:bidi="ar"/>
              </w:rPr>
            </w:pPr>
            <w:r>
              <w:rPr>
                <w:rFonts w:eastAsia="仿宋_GB2312"/>
              </w:rPr>
              <w:t>19.00</w:t>
            </w:r>
          </w:p>
        </w:tc>
      </w:tr>
      <w:tr w14:paraId="6A70FB0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24" w:type="dxa"/>
            <w:shd w:val="clear" w:color="auto" w:fill="auto"/>
            <w:vAlign w:val="center"/>
          </w:tcPr>
          <w:p w14:paraId="08E1C702">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3.产出</w:t>
            </w:r>
          </w:p>
        </w:tc>
        <w:tc>
          <w:tcPr>
            <w:tcW w:w="3024" w:type="dxa"/>
            <w:shd w:val="clear" w:color="auto" w:fill="auto"/>
            <w:vAlign w:val="center"/>
          </w:tcPr>
          <w:p w14:paraId="78DC4617">
            <w:pPr>
              <w:spacing w:line="280" w:lineRule="exact"/>
              <w:jc w:val="center"/>
              <w:textAlignment w:val="center"/>
              <w:rPr>
                <w:rFonts w:eastAsia="仿宋_GB2312"/>
                <w:color w:val="000000"/>
                <w:szCs w:val="21"/>
                <w:lang w:bidi="ar"/>
              </w:rPr>
            </w:pPr>
            <w:r>
              <w:rPr>
                <w:rFonts w:eastAsia="仿宋_GB2312"/>
                <w:color w:val="000000"/>
                <w:szCs w:val="21"/>
                <w:lang w:bidi="ar"/>
              </w:rPr>
              <w:t>29</w:t>
            </w:r>
            <w:r>
              <w:rPr>
                <w:rFonts w:hint="eastAsia" w:eastAsia="仿宋_GB2312"/>
                <w:color w:val="000000"/>
                <w:szCs w:val="21"/>
                <w:lang w:bidi="ar"/>
              </w:rPr>
              <w:t>.00</w:t>
            </w:r>
          </w:p>
        </w:tc>
        <w:tc>
          <w:tcPr>
            <w:tcW w:w="3024" w:type="dxa"/>
            <w:shd w:val="clear" w:color="auto" w:fill="auto"/>
            <w:vAlign w:val="center"/>
          </w:tcPr>
          <w:p w14:paraId="63A08287">
            <w:pPr>
              <w:spacing w:line="280" w:lineRule="exact"/>
              <w:jc w:val="center"/>
              <w:textAlignment w:val="center"/>
              <w:rPr>
                <w:rFonts w:eastAsia="仿宋_GB2312"/>
                <w:color w:val="000000"/>
                <w:szCs w:val="21"/>
                <w:lang w:bidi="ar"/>
              </w:rPr>
            </w:pPr>
            <w:r>
              <w:rPr>
                <w:rFonts w:eastAsia="仿宋_GB2312"/>
              </w:rPr>
              <w:t>27.00</w:t>
            </w:r>
          </w:p>
        </w:tc>
      </w:tr>
      <w:tr w14:paraId="6C9B98EB">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24" w:type="dxa"/>
            <w:shd w:val="clear" w:color="auto" w:fill="auto"/>
            <w:vAlign w:val="center"/>
          </w:tcPr>
          <w:p w14:paraId="38B8AE0C">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4.效益</w:t>
            </w:r>
          </w:p>
        </w:tc>
        <w:tc>
          <w:tcPr>
            <w:tcW w:w="3024" w:type="dxa"/>
            <w:shd w:val="clear" w:color="auto" w:fill="auto"/>
            <w:vAlign w:val="center"/>
          </w:tcPr>
          <w:p w14:paraId="5D9BA9E9">
            <w:pPr>
              <w:spacing w:line="280" w:lineRule="exact"/>
              <w:jc w:val="center"/>
              <w:textAlignment w:val="center"/>
              <w:rPr>
                <w:rFonts w:eastAsia="仿宋_GB2312"/>
                <w:color w:val="000000"/>
                <w:szCs w:val="21"/>
                <w:lang w:bidi="ar"/>
              </w:rPr>
            </w:pPr>
            <w:r>
              <w:rPr>
                <w:rFonts w:eastAsia="仿宋_GB2312"/>
                <w:color w:val="000000"/>
                <w:szCs w:val="21"/>
                <w:lang w:bidi="ar"/>
              </w:rPr>
              <w:t>36</w:t>
            </w:r>
            <w:r>
              <w:rPr>
                <w:rFonts w:hint="eastAsia" w:eastAsia="仿宋_GB2312"/>
                <w:color w:val="000000"/>
                <w:szCs w:val="21"/>
                <w:lang w:bidi="ar"/>
              </w:rPr>
              <w:t>.00</w:t>
            </w:r>
          </w:p>
        </w:tc>
        <w:tc>
          <w:tcPr>
            <w:tcW w:w="3024" w:type="dxa"/>
            <w:shd w:val="clear" w:color="auto" w:fill="auto"/>
            <w:vAlign w:val="center"/>
          </w:tcPr>
          <w:p w14:paraId="7D02AA5C">
            <w:pPr>
              <w:spacing w:line="280" w:lineRule="exact"/>
              <w:jc w:val="center"/>
              <w:textAlignment w:val="center"/>
              <w:rPr>
                <w:rFonts w:eastAsia="仿宋_GB2312"/>
                <w:color w:val="000000"/>
                <w:szCs w:val="21"/>
                <w:lang w:bidi="ar"/>
              </w:rPr>
            </w:pPr>
            <w:r>
              <w:rPr>
                <w:rFonts w:eastAsia="仿宋_GB2312"/>
              </w:rPr>
              <w:t>27.18</w:t>
            </w:r>
          </w:p>
        </w:tc>
      </w:tr>
      <w:tr w14:paraId="6A5FAAD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24" w:type="dxa"/>
            <w:shd w:val="clear" w:color="auto" w:fill="auto"/>
            <w:vAlign w:val="center"/>
          </w:tcPr>
          <w:p w14:paraId="731CF164">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综合绩效</w:t>
            </w:r>
          </w:p>
        </w:tc>
        <w:tc>
          <w:tcPr>
            <w:tcW w:w="3024" w:type="dxa"/>
            <w:shd w:val="clear" w:color="auto" w:fill="auto"/>
            <w:vAlign w:val="center"/>
          </w:tcPr>
          <w:p w14:paraId="251BFA05">
            <w:pPr>
              <w:spacing w:line="280" w:lineRule="exact"/>
              <w:jc w:val="center"/>
              <w:textAlignment w:val="center"/>
              <w:rPr>
                <w:rFonts w:eastAsia="仿宋_GB2312"/>
                <w:color w:val="000000"/>
                <w:szCs w:val="21"/>
                <w:lang w:bidi="ar"/>
              </w:rPr>
            </w:pPr>
            <w:r>
              <w:rPr>
                <w:rFonts w:hint="eastAsia" w:eastAsia="仿宋_GB2312"/>
                <w:color w:val="000000"/>
                <w:szCs w:val="21"/>
                <w:lang w:bidi="ar"/>
              </w:rPr>
              <w:t>100.00</w:t>
            </w:r>
          </w:p>
        </w:tc>
        <w:tc>
          <w:tcPr>
            <w:tcW w:w="3024" w:type="dxa"/>
            <w:shd w:val="clear" w:color="auto" w:fill="auto"/>
            <w:vAlign w:val="center"/>
          </w:tcPr>
          <w:p w14:paraId="30454563">
            <w:pPr>
              <w:spacing w:line="280" w:lineRule="exact"/>
              <w:jc w:val="center"/>
              <w:textAlignment w:val="center"/>
              <w:rPr>
                <w:rFonts w:eastAsia="仿宋_GB2312"/>
                <w:color w:val="000000"/>
                <w:szCs w:val="21"/>
                <w:lang w:bidi="ar"/>
              </w:rPr>
            </w:pPr>
            <w:r>
              <w:rPr>
                <w:rFonts w:eastAsia="仿宋_GB2312"/>
              </w:rPr>
              <w:t>82.18</w:t>
            </w:r>
          </w:p>
        </w:tc>
      </w:tr>
      <w:tr w14:paraId="3C189E1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24" w:type="dxa"/>
            <w:shd w:val="clear" w:color="auto" w:fill="auto"/>
            <w:vAlign w:val="center"/>
          </w:tcPr>
          <w:p w14:paraId="42E8A9C7">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评价等级</w:t>
            </w:r>
          </w:p>
        </w:tc>
        <w:tc>
          <w:tcPr>
            <w:tcW w:w="6048" w:type="dxa"/>
            <w:gridSpan w:val="2"/>
            <w:shd w:val="clear" w:color="auto" w:fill="auto"/>
            <w:vAlign w:val="center"/>
          </w:tcPr>
          <w:p w14:paraId="246672E6">
            <w:pPr>
              <w:spacing w:line="280" w:lineRule="exact"/>
              <w:jc w:val="center"/>
              <w:textAlignment w:val="center"/>
              <w:rPr>
                <w:rFonts w:eastAsia="仿宋_GB2312" w:cs="仿宋_GB2312"/>
                <w:color w:val="000000"/>
                <w:szCs w:val="21"/>
                <w:lang w:bidi="ar"/>
              </w:rPr>
            </w:pPr>
            <w:r>
              <w:rPr>
                <w:rFonts w:hint="eastAsia" w:eastAsia="仿宋_GB2312" w:cs="仿宋_GB2312"/>
                <w:color w:val="000000"/>
                <w:szCs w:val="21"/>
                <w:lang w:bidi="ar"/>
              </w:rPr>
              <w:t>良</w:t>
            </w:r>
          </w:p>
        </w:tc>
      </w:tr>
    </w:tbl>
    <w:p w14:paraId="6A5FD1A8">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八、绩效评价结果应用建议</w:t>
      </w:r>
    </w:p>
    <w:p w14:paraId="67B55B84">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项目绩效评价结果应用，既是开展绩效评价工作的基本前提，又是加强财政支出管理、增强资金绩效理念、合理配置公共资源、优化财政支出结构、强化资金管理水平、提高资金使用效益的重要手段。为使绩效评价结果得到合理应用，应将此次绩效评价结果作为以后年度建设资金分配的重要依据。</w:t>
      </w:r>
    </w:p>
    <w:p w14:paraId="41E6A4E6">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绩效评价是对效果的评价，评价结果直接反映项目实施的效益。绩效评价结果分为四个等级，总分在90分以上（含90分）为优；80—89分（含80分）为良；60—79分（含60分）为中；60分以下为差。。建议对于评价优的项目应当加大资金支持，以期待更好的公共效益；对于评价结论中以上的项目应当继续给与资金支持；对于评价结论差的项目，应当减少资金或者取消资金支持。</w:t>
      </w:r>
    </w:p>
    <w:p w14:paraId="2093730E">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九、存在主要问题、典型事例</w:t>
      </w:r>
    </w:p>
    <w:p w14:paraId="6EEA5EFD">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1、评价指标设置不完善。</w:t>
      </w:r>
    </w:p>
    <w:p w14:paraId="0A192140">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如行风建设、对口帮扶精准扶贫方面未设置绩效指标。指标体系的缺失导致评价缺乏依据和标准，不利于评价具体工作的开展情况。</w:t>
      </w:r>
    </w:p>
    <w:p w14:paraId="67C71083">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2、资金执行率较低，导致预算资金闲置。</w:t>
      </w:r>
    </w:p>
    <w:p w14:paraId="64D77F7C">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重庆市第五人民医院预算到位资金457.00万，实际使用资金246.63万元，资金执行率53.97%；区精神卫生中心预算到位资金430.50万元，实际使用资金206.56万元，资金执行率47.98%。</w:t>
      </w:r>
    </w:p>
    <w:p w14:paraId="42F3F8FB">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十、原因分析及改进措施</w:t>
      </w:r>
    </w:p>
    <w:p w14:paraId="440B742A">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资金执行率较低方面</w:t>
      </w:r>
    </w:p>
    <w:p w14:paraId="7608E123">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1）重庆市第五人民医院结余资金主要包括助理医师规范化培训、住院医师规范化培训及质量管理中心等项目资金。助理医师规范化培训、住院医师规范化培训资金使用时间为2020年12月-2021年8月，助理医师（19级、20级）规培学员生活补助以及基地建设经费和（18级、19级、20级）住院医师规培学员生活补助以及基地建设经费，是按照月份依次发放补助资金，故导致培训资金结余较大。</w:t>
      </w:r>
    </w:p>
    <w:p w14:paraId="64071DD5">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2）重庆市南岸区精神卫生中心于2020年8月收到专项转移支付资金（心理服务体系建设）250.50万元，收到资金后安排南岸区心理服务中心改建工程，该项目按照工程进度付款，截至2020年底仅支付完改建工程尾款，还未进行设备等采购，导致资金结余较大。</w:t>
      </w:r>
    </w:p>
    <w:p w14:paraId="7B0B91AE">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十一、其他需说明的问题</w:t>
      </w:r>
    </w:p>
    <w:p w14:paraId="17E6E50D">
      <w:pPr>
        <w:pStyle w:val="8"/>
        <w:shd w:val="clear" w:color="auto" w:fill="FFFFFF"/>
        <w:spacing w:before="0" w:beforeAutospacing="0" w:after="0" w:afterAutospacing="0" w:line="600" w:lineRule="exact"/>
        <w:ind w:firstLine="480" w:firstLineChars="200"/>
        <w:jc w:val="both"/>
        <w:rPr>
          <w:rFonts w:ascii="方正仿宋_GBK" w:eastAsia="方正仿宋_GBK"/>
        </w:rPr>
      </w:pPr>
      <w:r>
        <w:rPr>
          <w:rFonts w:hint="eastAsia" w:ascii="方正仿宋_GBK" w:eastAsia="方正仿宋_GBK"/>
        </w:rPr>
        <w:t>被评价单位对本次绩效评价的初步结果反馈为资金执行率低系由于客观原因导致，因以实际情况调整扣分项。</w:t>
      </w:r>
    </w:p>
    <w:p w14:paraId="09AB0053">
      <w:pPr>
        <w:pStyle w:val="8"/>
        <w:shd w:val="clear" w:color="auto" w:fill="FFFFFF"/>
        <w:spacing w:before="0" w:beforeAutospacing="0" w:after="0" w:afterAutospacing="0" w:line="600" w:lineRule="exact"/>
        <w:jc w:val="both"/>
        <w:rPr>
          <w:rFonts w:ascii="方正仿宋_GBK" w:eastAsia="方正仿宋_GBK"/>
        </w:rPr>
      </w:pPr>
    </w:p>
    <w:p w14:paraId="74BCFF1A">
      <w:pPr>
        <w:pStyle w:val="8"/>
        <w:shd w:val="clear" w:color="auto" w:fill="FFFFFF"/>
        <w:spacing w:before="0" w:beforeAutospacing="0" w:after="0" w:afterAutospacing="0" w:line="600" w:lineRule="exact"/>
        <w:jc w:val="both"/>
        <w:rPr>
          <w:rFonts w:ascii="方正仿宋_GBK" w:eastAsia="方正仿宋_GBK"/>
        </w:rPr>
      </w:pPr>
    </w:p>
    <w:p w14:paraId="643876D1">
      <w:pPr>
        <w:pStyle w:val="8"/>
        <w:shd w:val="clear" w:color="auto" w:fill="FFFFFF"/>
        <w:spacing w:before="0" w:beforeAutospacing="0" w:after="0" w:afterAutospacing="0" w:line="600" w:lineRule="exact"/>
        <w:ind w:firstLine="3614" w:firstLineChars="1500"/>
        <w:jc w:val="both"/>
        <w:rPr>
          <w:rFonts w:ascii="仿宋_GB2312" w:eastAsia="仿宋_GB2312"/>
          <w:b/>
        </w:rPr>
      </w:pPr>
      <w:r>
        <w:rPr>
          <w:rFonts w:ascii="仿宋_GB2312" w:eastAsia="仿宋_GB2312"/>
          <w:b/>
        </w:rPr>
        <w:t>重庆普华会计师事务所有限责任公司</w:t>
      </w:r>
    </w:p>
    <w:p w14:paraId="6346A865">
      <w:pPr>
        <w:pStyle w:val="8"/>
        <w:shd w:val="clear" w:color="auto" w:fill="FFFFFF"/>
        <w:spacing w:before="0" w:beforeAutospacing="0" w:after="0" w:afterAutospacing="0" w:line="600" w:lineRule="exact"/>
        <w:ind w:firstLine="4578" w:firstLineChars="1900"/>
        <w:jc w:val="both"/>
        <w:rPr>
          <w:rFonts w:ascii="仿宋_GB2312" w:eastAsia="仿宋_GB2312"/>
          <w:b/>
        </w:rPr>
      </w:pPr>
      <w:r>
        <w:rPr>
          <w:rFonts w:eastAsia="仿宋_GB2312"/>
          <w:b/>
          <w:color w:val="000000"/>
        </w:rPr>
        <w:t>二</w:t>
      </w:r>
      <w:r>
        <w:rPr>
          <w:rFonts w:eastAsia="仿宋"/>
          <w:b/>
          <w:color w:val="000000"/>
        </w:rPr>
        <w:t>〇</w:t>
      </w:r>
      <w:r>
        <w:rPr>
          <w:rFonts w:eastAsia="仿宋_GB2312"/>
          <w:b/>
          <w:color w:val="000000"/>
        </w:rPr>
        <w:t>二</w:t>
      </w:r>
      <w:r>
        <w:rPr>
          <w:rFonts w:hint="eastAsia" w:eastAsia="仿宋_GB2312"/>
          <w:b/>
          <w:color w:val="000000"/>
        </w:rPr>
        <w:t>一</w:t>
      </w:r>
      <w:r>
        <w:rPr>
          <w:rFonts w:ascii="仿宋_GB2312" w:eastAsia="仿宋_GB2312"/>
          <w:b/>
        </w:rPr>
        <w:t>年</w:t>
      </w:r>
      <w:r>
        <w:rPr>
          <w:rFonts w:hint="eastAsia" w:ascii="仿宋_GB2312" w:eastAsia="仿宋_GB2312"/>
          <w:b/>
        </w:rPr>
        <w:t>七</w:t>
      </w:r>
      <w:r>
        <w:rPr>
          <w:rFonts w:ascii="仿宋_GB2312" w:eastAsia="仿宋_GB2312"/>
          <w:b/>
        </w:rPr>
        <w:t>月</w:t>
      </w:r>
      <w:r>
        <w:rPr>
          <w:rFonts w:hint="eastAsia" w:ascii="仿宋_GB2312" w:eastAsia="仿宋_GB2312"/>
          <w:b/>
        </w:rPr>
        <w:t>九</w:t>
      </w:r>
      <w:r>
        <w:rPr>
          <w:rFonts w:ascii="仿宋_GB2312" w:eastAsia="仿宋_GB2312"/>
          <w:b/>
        </w:rPr>
        <w:t>日</w:t>
      </w:r>
    </w:p>
    <w:p w14:paraId="5D9C91D1">
      <w:pPr>
        <w:pStyle w:val="8"/>
        <w:shd w:val="clear" w:color="auto" w:fill="FFFFFF"/>
        <w:spacing w:before="0" w:beforeAutospacing="0" w:after="0" w:afterAutospacing="0" w:line="600" w:lineRule="exact"/>
        <w:ind w:firstLine="640" w:firstLineChars="200"/>
        <w:jc w:val="both"/>
        <w:rPr>
          <w:rFonts w:ascii="方正仿宋_GBK" w:eastAsia="方正仿宋_GBK"/>
          <w:sz w:val="32"/>
          <w:szCs w:val="32"/>
        </w:rPr>
      </w:pPr>
    </w:p>
    <w:sectPr>
      <w:footerReference r:id="rId3" w:type="default"/>
      <w:pgSz w:w="11907" w:h="16840"/>
      <w:pgMar w:top="2098" w:right="1701" w:bottom="1985"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 w:name="等线 Light">
    <w:panose1 w:val="02010600030101010101"/>
    <w:charset w:val="86"/>
    <w:family w:val="roman"/>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32487"/>
      <w:docPartObj>
        <w:docPartGallery w:val="autotext"/>
      </w:docPartObj>
    </w:sdtPr>
    <w:sdtContent>
      <w:p w14:paraId="64EB7572">
        <w:pPr>
          <w:pStyle w:val="6"/>
          <w:jc w:val="center"/>
        </w:pPr>
      </w:p>
      <w:p w14:paraId="53DE540B">
        <w:pPr>
          <w:pStyle w:val="6"/>
          <w:jc w:val="cente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22</w:t>
        </w:r>
        <w:r>
          <w:rPr>
            <w:rFonts w:ascii="Times New Roman" w:hAnsi="Times New Roman" w:cs="Times New Roman"/>
            <w:sz w:val="21"/>
            <w:szCs w:val="21"/>
          </w:rPr>
          <w:fldChar w:fldCharType="end"/>
        </w:r>
      </w:p>
    </w:sdtContent>
  </w:sdt>
  <w:p w14:paraId="63E42492">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95FD90"/>
    <w:multiLevelType w:val="singleLevel"/>
    <w:tmpl w:val="6195FD90"/>
    <w:lvl w:ilvl="0" w:tentative="0">
      <w:start w:val="2"/>
      <w:numFmt w:val="decimal"/>
      <w:suff w:val="nothing"/>
      <w:lvlText w:val="（%1）"/>
      <w:lvlJc w:val="left"/>
    </w:lvl>
  </w:abstractNum>
  <w:abstractNum w:abstractNumId="1">
    <w:nsid w:val="6195FFA4"/>
    <w:multiLevelType w:val="singleLevel"/>
    <w:tmpl w:val="6195FFA4"/>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doNotCompress"/>
  <w:compat>
    <w:useFELayout/>
    <w:compatSetting w:name="compatibilityMode" w:uri="http://schemas.microsoft.com/office/word" w:val="12"/>
  </w:compat>
  <w:docVars>
    <w:docVar w:name="commondata" w:val="eyJoZGlkIjoiZTk1ZDI4OWE0ZTFmYjZhMGE4OWVjYzAzM2IyMTk4MzgifQ=="/>
  </w:docVars>
  <w:rsids>
    <w:rsidRoot w:val="009A41FA"/>
    <w:rsid w:val="00014CF1"/>
    <w:rsid w:val="000345C8"/>
    <w:rsid w:val="000358A0"/>
    <w:rsid w:val="000478A4"/>
    <w:rsid w:val="00065022"/>
    <w:rsid w:val="000669AE"/>
    <w:rsid w:val="000710AF"/>
    <w:rsid w:val="000836C9"/>
    <w:rsid w:val="00094F3A"/>
    <w:rsid w:val="000C5BB6"/>
    <w:rsid w:val="000C79E9"/>
    <w:rsid w:val="000D000D"/>
    <w:rsid w:val="000F1F0B"/>
    <w:rsid w:val="001116BC"/>
    <w:rsid w:val="00114AE6"/>
    <w:rsid w:val="00115962"/>
    <w:rsid w:val="00133191"/>
    <w:rsid w:val="001361F9"/>
    <w:rsid w:val="0014566F"/>
    <w:rsid w:val="00171D25"/>
    <w:rsid w:val="001909FE"/>
    <w:rsid w:val="00207F45"/>
    <w:rsid w:val="00220C51"/>
    <w:rsid w:val="00221A09"/>
    <w:rsid w:val="00231970"/>
    <w:rsid w:val="002418CF"/>
    <w:rsid w:val="00245388"/>
    <w:rsid w:val="002752FD"/>
    <w:rsid w:val="002927DA"/>
    <w:rsid w:val="00295CC9"/>
    <w:rsid w:val="002B3A6E"/>
    <w:rsid w:val="002D5161"/>
    <w:rsid w:val="002F033B"/>
    <w:rsid w:val="0030438F"/>
    <w:rsid w:val="00316F52"/>
    <w:rsid w:val="00317DE3"/>
    <w:rsid w:val="00323DC8"/>
    <w:rsid w:val="00326588"/>
    <w:rsid w:val="003269CF"/>
    <w:rsid w:val="0033242C"/>
    <w:rsid w:val="00342743"/>
    <w:rsid w:val="003463D8"/>
    <w:rsid w:val="003D2D05"/>
    <w:rsid w:val="00420E29"/>
    <w:rsid w:val="0042647E"/>
    <w:rsid w:val="00456FDC"/>
    <w:rsid w:val="004626F2"/>
    <w:rsid w:val="004654E0"/>
    <w:rsid w:val="00474417"/>
    <w:rsid w:val="004B5279"/>
    <w:rsid w:val="004F258E"/>
    <w:rsid w:val="00514B9B"/>
    <w:rsid w:val="005200C8"/>
    <w:rsid w:val="00520C94"/>
    <w:rsid w:val="00530385"/>
    <w:rsid w:val="00566FE2"/>
    <w:rsid w:val="005934A5"/>
    <w:rsid w:val="005B3E6A"/>
    <w:rsid w:val="005D0BDF"/>
    <w:rsid w:val="005F30A4"/>
    <w:rsid w:val="0063459A"/>
    <w:rsid w:val="00681E53"/>
    <w:rsid w:val="006A4D0D"/>
    <w:rsid w:val="006B3A67"/>
    <w:rsid w:val="006B613E"/>
    <w:rsid w:val="006F08AE"/>
    <w:rsid w:val="006F5EC3"/>
    <w:rsid w:val="0072348E"/>
    <w:rsid w:val="007750BA"/>
    <w:rsid w:val="007813B9"/>
    <w:rsid w:val="007E2F75"/>
    <w:rsid w:val="007E49D0"/>
    <w:rsid w:val="00806266"/>
    <w:rsid w:val="0082257C"/>
    <w:rsid w:val="008545F3"/>
    <w:rsid w:val="00861321"/>
    <w:rsid w:val="0087676C"/>
    <w:rsid w:val="0089022E"/>
    <w:rsid w:val="00892E9D"/>
    <w:rsid w:val="00897530"/>
    <w:rsid w:val="008C50FF"/>
    <w:rsid w:val="008D5318"/>
    <w:rsid w:val="008E1EA3"/>
    <w:rsid w:val="008E768E"/>
    <w:rsid w:val="00927A3D"/>
    <w:rsid w:val="0099272D"/>
    <w:rsid w:val="009964F3"/>
    <w:rsid w:val="009A0442"/>
    <w:rsid w:val="009A41FA"/>
    <w:rsid w:val="009C3045"/>
    <w:rsid w:val="009D65BE"/>
    <w:rsid w:val="009E3795"/>
    <w:rsid w:val="00A03AB8"/>
    <w:rsid w:val="00A205BC"/>
    <w:rsid w:val="00A22957"/>
    <w:rsid w:val="00A35E55"/>
    <w:rsid w:val="00A549C9"/>
    <w:rsid w:val="00A752AA"/>
    <w:rsid w:val="00AA6F8D"/>
    <w:rsid w:val="00B01881"/>
    <w:rsid w:val="00B2299D"/>
    <w:rsid w:val="00B25B16"/>
    <w:rsid w:val="00B61C9F"/>
    <w:rsid w:val="00B64211"/>
    <w:rsid w:val="00BB4D42"/>
    <w:rsid w:val="00BD14C0"/>
    <w:rsid w:val="00C05B4F"/>
    <w:rsid w:val="00C0729B"/>
    <w:rsid w:val="00C135A7"/>
    <w:rsid w:val="00C17D20"/>
    <w:rsid w:val="00C54A01"/>
    <w:rsid w:val="00C82402"/>
    <w:rsid w:val="00C82AF4"/>
    <w:rsid w:val="00C947A8"/>
    <w:rsid w:val="00CB5D05"/>
    <w:rsid w:val="00CF5963"/>
    <w:rsid w:val="00D018A4"/>
    <w:rsid w:val="00D042A5"/>
    <w:rsid w:val="00D137A7"/>
    <w:rsid w:val="00D33E16"/>
    <w:rsid w:val="00D34D03"/>
    <w:rsid w:val="00D45068"/>
    <w:rsid w:val="00D604E9"/>
    <w:rsid w:val="00D7210C"/>
    <w:rsid w:val="00D73116"/>
    <w:rsid w:val="00DA2C93"/>
    <w:rsid w:val="00DB054E"/>
    <w:rsid w:val="00DB61A4"/>
    <w:rsid w:val="00DC506B"/>
    <w:rsid w:val="00DD5F60"/>
    <w:rsid w:val="00DF3781"/>
    <w:rsid w:val="00E001F6"/>
    <w:rsid w:val="00E07898"/>
    <w:rsid w:val="00E16974"/>
    <w:rsid w:val="00E26CBD"/>
    <w:rsid w:val="00E52C18"/>
    <w:rsid w:val="00E62D24"/>
    <w:rsid w:val="00E818A5"/>
    <w:rsid w:val="00EB3367"/>
    <w:rsid w:val="00EE0A8F"/>
    <w:rsid w:val="00F04DE9"/>
    <w:rsid w:val="00F0765F"/>
    <w:rsid w:val="00F234DE"/>
    <w:rsid w:val="00F24EFB"/>
    <w:rsid w:val="00F364CA"/>
    <w:rsid w:val="00F56608"/>
    <w:rsid w:val="00F80CAA"/>
    <w:rsid w:val="00F812BC"/>
    <w:rsid w:val="00F91C84"/>
    <w:rsid w:val="00FA6F46"/>
    <w:rsid w:val="00FE37E1"/>
    <w:rsid w:val="420B4C3B"/>
    <w:rsid w:val="78880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4"/>
    <w:unhideWhenUsed/>
    <w:qFormat/>
    <w:uiPriority w:val="99"/>
    <w:rPr>
      <w:sz w:val="18"/>
      <w:szCs w:val="18"/>
    </w:rPr>
  </w:style>
  <w:style w:type="paragraph" w:styleId="5">
    <w:name w:val="Balloon Text"/>
    <w:basedOn w:val="1"/>
    <w:link w:val="19"/>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spacing w:before="100" w:beforeAutospacing="1" w:after="100" w:afterAutospacing="1"/>
    </w:pPr>
  </w:style>
  <w:style w:type="character" w:styleId="11">
    <w:name w:val="Strong"/>
    <w:basedOn w:val="10"/>
    <w:qFormat/>
    <w:uiPriority w:val="22"/>
    <w:rPr>
      <w:b/>
      <w:bCs/>
    </w:rPr>
  </w:style>
  <w:style w:type="character" w:customStyle="1" w:styleId="12">
    <w:name w:val="页眉 Char"/>
    <w:basedOn w:val="10"/>
    <w:link w:val="7"/>
    <w:qFormat/>
    <w:locked/>
    <w:uiPriority w:val="99"/>
    <w:rPr>
      <w:rFonts w:hint="eastAsia" w:ascii="宋体" w:hAnsi="宋体" w:eastAsia="宋体" w:cs="宋体"/>
      <w:sz w:val="18"/>
      <w:szCs w:val="18"/>
    </w:rPr>
  </w:style>
  <w:style w:type="character" w:customStyle="1" w:styleId="13">
    <w:name w:val="页脚 Char"/>
    <w:basedOn w:val="10"/>
    <w:link w:val="6"/>
    <w:qFormat/>
    <w:locked/>
    <w:uiPriority w:val="99"/>
    <w:rPr>
      <w:rFonts w:hint="eastAsia" w:ascii="宋体" w:hAnsi="宋体" w:eastAsia="宋体" w:cs="宋体"/>
      <w:sz w:val="18"/>
      <w:szCs w:val="18"/>
    </w:rPr>
  </w:style>
  <w:style w:type="character" w:customStyle="1" w:styleId="14">
    <w:name w:val="文档结构图 Char"/>
    <w:basedOn w:val="10"/>
    <w:link w:val="4"/>
    <w:semiHidden/>
    <w:qFormat/>
    <w:locked/>
    <w:uiPriority w:val="99"/>
    <w:rPr>
      <w:rFonts w:hint="eastAsia" w:ascii="宋体" w:hAnsi="宋体" w:eastAsia="宋体" w:cs="宋体"/>
      <w:sz w:val="18"/>
      <w:szCs w:val="18"/>
    </w:rPr>
  </w:style>
  <w:style w:type="paragraph" w:styleId="15">
    <w:name w:val="List Paragraph"/>
    <w:basedOn w:val="1"/>
    <w:qFormat/>
    <w:uiPriority w:val="34"/>
    <w:pPr>
      <w:widowControl w:val="0"/>
      <w:ind w:firstLine="420" w:firstLineChars="200"/>
      <w:jc w:val="both"/>
    </w:pPr>
    <w:rPr>
      <w:rFonts w:ascii="Calibri" w:hAnsi="Calibri" w:cs="Times New Roman"/>
      <w:kern w:val="2"/>
      <w:sz w:val="21"/>
      <w:szCs w:val="22"/>
    </w:rPr>
  </w:style>
  <w:style w:type="paragraph" w:customStyle="1" w:styleId="16">
    <w:name w:val="msonormal"/>
    <w:basedOn w:val="1"/>
    <w:semiHidden/>
    <w:qFormat/>
    <w:uiPriority w:val="99"/>
    <w:pPr>
      <w:spacing w:before="100" w:beforeAutospacing="1" w:after="100" w:afterAutospacing="1"/>
    </w:pPr>
  </w:style>
  <w:style w:type="character" w:customStyle="1" w:styleId="17">
    <w:name w:val="标题 1 Char"/>
    <w:basedOn w:val="10"/>
    <w:link w:val="2"/>
    <w:qFormat/>
    <w:uiPriority w:val="9"/>
    <w:rPr>
      <w:rFonts w:ascii="宋体" w:hAnsi="宋体" w:eastAsia="宋体" w:cs="宋体"/>
      <w:b/>
      <w:bCs/>
      <w:kern w:val="44"/>
      <w:sz w:val="44"/>
      <w:szCs w:val="44"/>
    </w:rPr>
  </w:style>
  <w:style w:type="character" w:customStyle="1" w:styleId="18">
    <w:name w:val="标题 2 Char"/>
    <w:basedOn w:val="10"/>
    <w:link w:val="3"/>
    <w:qFormat/>
    <w:uiPriority w:val="9"/>
    <w:rPr>
      <w:rFonts w:asciiTheme="majorHAnsi" w:hAnsiTheme="majorHAnsi" w:eastAsiaTheme="majorEastAsia" w:cstheme="majorBidi"/>
      <w:b/>
      <w:bCs/>
      <w:sz w:val="32"/>
      <w:szCs w:val="32"/>
    </w:rPr>
  </w:style>
  <w:style w:type="character" w:customStyle="1" w:styleId="19">
    <w:name w:val="批注框文本 Char"/>
    <w:basedOn w:val="10"/>
    <w:link w:val="5"/>
    <w:semiHidden/>
    <w:qFormat/>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E06C7-C755-4711-8288-98D8972F5672}">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56</Pages>
  <Words>7999</Words>
  <Characters>9238</Characters>
  <Lines>213</Lines>
  <Paragraphs>60</Paragraphs>
  <TotalTime>680</TotalTime>
  <ScaleCrop>false</ScaleCrop>
  <LinksUpToDate>false</LinksUpToDate>
  <CharactersWithSpaces>9393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Administrator</cp:lastModifiedBy>
  <cp:lastPrinted>2021-08-31T06:34:00Z</cp:lastPrinted>
  <dcterms:modified xsi:type="dcterms:W3CDTF">2025-01-17T02:27:27Z</dcterms:modified>
  <dc:title>公开报告模板</dc:title>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8A36B3C9B2934C448CE95A416293D811_12</vt:lpwstr>
  </property>
  <property fmtid="{D5CDD505-2E9C-101B-9397-08002B2CF9AE}" pid="4" name="KSOTemplateDocerSaveRecord">
    <vt:lpwstr>eyJoZGlkIjoiMzQ3YzBlODg5NjZjMThmYTAzY2MxNjdjZWYzOWEzZjYifQ==</vt:lpwstr>
  </property>
</Properties>
</file>