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F13E4E">
      <w:pPr>
        <w:pStyle w:val="6"/>
        <w:shd w:val="clear" w:color="auto" w:fill="FFFFFF"/>
        <w:spacing w:before="0" w:beforeAutospacing="0" w:after="0" w:afterAutospacing="0" w:line="560" w:lineRule="exact"/>
        <w:ind w:firstLine="960" w:firstLineChars="300"/>
        <w:jc w:val="both"/>
        <w:outlineLvl w:val="0"/>
        <w:rPr>
          <w:rFonts w:ascii="方正仿宋_GBK" w:eastAsia="方正仿宋_GBK"/>
          <w:sz w:val="32"/>
          <w:szCs w:val="32"/>
        </w:rPr>
      </w:pPr>
      <w:bookmarkStart w:id="1" w:name="_GoBack"/>
      <w:bookmarkEnd w:id="1"/>
    </w:p>
    <w:p w14:paraId="48F06E30">
      <w:pPr>
        <w:pStyle w:val="6"/>
        <w:shd w:val="clear" w:color="auto" w:fill="FFFFFF"/>
        <w:spacing w:before="0" w:beforeAutospacing="0" w:after="0" w:afterAutospacing="0" w:line="560" w:lineRule="exact"/>
        <w:ind w:firstLine="1320" w:firstLineChars="300"/>
        <w:jc w:val="both"/>
        <w:outlineLvl w:val="0"/>
        <w:rPr>
          <w:rFonts w:ascii="方正小标宋_GBK" w:eastAsia="方正小标宋_GBK"/>
          <w:sz w:val="44"/>
          <w:szCs w:val="44"/>
        </w:rPr>
      </w:pPr>
      <w:r>
        <w:rPr>
          <w:rFonts w:hint="eastAsia" w:ascii="方正小标宋_GBK" w:eastAsia="方正小标宋_GBK"/>
          <w:sz w:val="44"/>
          <w:szCs w:val="44"/>
        </w:rPr>
        <w:t>重庆市南岸区卫生健康委员会</w:t>
      </w:r>
    </w:p>
    <w:p w14:paraId="0CF35814">
      <w:pPr>
        <w:pStyle w:val="6"/>
        <w:shd w:val="clear" w:color="auto" w:fill="FFFFFF"/>
        <w:spacing w:before="0" w:beforeAutospacing="0" w:after="0" w:afterAutospacing="0" w:line="560" w:lineRule="exact"/>
        <w:ind w:firstLine="1540" w:firstLineChars="350"/>
        <w:jc w:val="both"/>
        <w:outlineLvl w:val="0"/>
        <w:rPr>
          <w:rFonts w:ascii="方正小标宋_GBK" w:eastAsia="方正小标宋_GBK"/>
          <w:sz w:val="44"/>
          <w:szCs w:val="44"/>
        </w:rPr>
      </w:pPr>
      <w:r>
        <w:rPr>
          <w:rFonts w:hint="eastAsia" w:ascii="方正小标宋_GBK" w:eastAsia="方正小标宋_GBK"/>
          <w:sz w:val="44"/>
          <w:szCs w:val="44"/>
        </w:rPr>
        <w:t>2020年度部门决算情况说明</w:t>
      </w:r>
    </w:p>
    <w:p w14:paraId="28E32EAA">
      <w:pPr>
        <w:pStyle w:val="6"/>
        <w:shd w:val="clear" w:color="auto" w:fill="FFFFFF"/>
        <w:spacing w:before="0" w:beforeAutospacing="0" w:after="0" w:afterAutospacing="0" w:line="560" w:lineRule="exact"/>
        <w:ind w:firstLine="1540" w:firstLineChars="350"/>
        <w:jc w:val="both"/>
        <w:outlineLvl w:val="0"/>
        <w:rPr>
          <w:rFonts w:ascii="方正小标宋_GBK" w:eastAsia="方正小标宋_GBK"/>
          <w:sz w:val="44"/>
          <w:szCs w:val="44"/>
        </w:rPr>
      </w:pPr>
    </w:p>
    <w:p w14:paraId="2AD369E7">
      <w:pPr>
        <w:pStyle w:val="6"/>
        <w:shd w:val="clear" w:color="auto" w:fill="FFFFFF"/>
        <w:spacing w:before="0" w:beforeAutospacing="0" w:after="0" w:afterAutospacing="0" w:line="560" w:lineRule="exact"/>
        <w:ind w:firstLine="640" w:firstLineChars="200"/>
        <w:jc w:val="both"/>
        <w:outlineLvl w:val="0"/>
        <w:rPr>
          <w:rStyle w:val="9"/>
          <w:rFonts w:ascii="方正黑体_GBK" w:eastAsia="方正黑体_GBK"/>
          <w:b w:val="0"/>
          <w:sz w:val="32"/>
          <w:szCs w:val="32"/>
        </w:rPr>
      </w:pPr>
      <w:r>
        <w:rPr>
          <w:rStyle w:val="9"/>
          <w:rFonts w:hint="eastAsia" w:ascii="方正黑体_GBK" w:eastAsia="方正黑体_GBK"/>
          <w:b w:val="0"/>
          <w:sz w:val="32"/>
          <w:szCs w:val="32"/>
        </w:rPr>
        <w:t>一、部门基本情况</w:t>
      </w:r>
    </w:p>
    <w:p w14:paraId="1CAB95BE">
      <w:pPr>
        <w:adjustRightInd w:val="0"/>
        <w:snapToGrid w:val="0"/>
        <w:spacing w:line="600" w:lineRule="exact"/>
        <w:ind w:firstLine="643" w:firstLineChars="200"/>
        <w:rPr>
          <w:rFonts w:ascii="Calibri" w:hAnsi="Calibri" w:eastAsia="方正仿宋_GBK" w:cs="Arial"/>
          <w:color w:val="000000"/>
          <w:sz w:val="32"/>
          <w:szCs w:val="32"/>
        </w:rPr>
      </w:pPr>
      <w:r>
        <w:rPr>
          <w:rFonts w:hint="eastAsia" w:ascii="方正仿宋_GBK" w:eastAsia="方正仿宋_GBK"/>
          <w:b/>
          <w:sz w:val="32"/>
          <w:szCs w:val="32"/>
        </w:rPr>
        <w:t>（一）职能职责。</w:t>
      </w:r>
      <w:r>
        <w:rPr>
          <w:rFonts w:hint="eastAsia" w:ascii="Calibri" w:hAnsi="Calibri" w:eastAsia="方正仿宋_GBK" w:cs="Arial"/>
          <w:color w:val="000000"/>
          <w:sz w:val="32"/>
          <w:szCs w:val="32"/>
        </w:rPr>
        <w:t>重庆市南岸区卫生健康委员会的主要职责是：</w:t>
      </w:r>
    </w:p>
    <w:p w14:paraId="0C34345A">
      <w:pPr>
        <w:adjustRightInd w:val="0"/>
        <w:snapToGrid w:val="0"/>
        <w:spacing w:line="600" w:lineRule="exact"/>
        <w:ind w:firstLine="640" w:firstLineChars="200"/>
        <w:rPr>
          <w:rFonts w:ascii="Calibri" w:hAnsi="Calibri" w:eastAsia="方正仿宋_GBK" w:cs="Arial"/>
          <w:color w:val="000000"/>
          <w:sz w:val="32"/>
          <w:szCs w:val="32"/>
        </w:rPr>
      </w:pPr>
      <w:r>
        <w:rPr>
          <w:rFonts w:hint="eastAsia" w:ascii="Calibri" w:hAnsi="Calibri" w:eastAsia="方正仿宋_GBK" w:cs="Arial"/>
          <w:color w:val="000000"/>
          <w:sz w:val="32"/>
          <w:szCs w:val="32"/>
        </w:rPr>
        <w:t>1.贯彻落实党中央和市委、区委关于卫生健康工作的方针政策、决策部署和工作安排，在履行职责过程中坚持和加强党对卫生健康工作的集中统一领导。</w:t>
      </w:r>
    </w:p>
    <w:p w14:paraId="451AD843">
      <w:pPr>
        <w:adjustRightInd w:val="0"/>
        <w:snapToGrid w:val="0"/>
        <w:spacing w:line="600" w:lineRule="exact"/>
        <w:ind w:firstLine="640" w:firstLineChars="200"/>
        <w:rPr>
          <w:rFonts w:ascii="Calibri" w:hAnsi="Calibri" w:eastAsia="方正仿宋_GBK" w:cs="Arial"/>
          <w:color w:val="000000"/>
          <w:sz w:val="32"/>
          <w:szCs w:val="32"/>
        </w:rPr>
      </w:pPr>
      <w:r>
        <w:rPr>
          <w:rFonts w:hint="eastAsia" w:ascii="Calibri" w:hAnsi="Calibri" w:eastAsia="方正仿宋_GBK" w:cs="Arial"/>
          <w:color w:val="000000"/>
          <w:sz w:val="32"/>
          <w:szCs w:val="32"/>
        </w:rPr>
        <w:t>2.贯彻落实国民健康地方性政策和卫生健康事业发展的地方性法规和政府规章、地方标准。统筹规划全区卫生健康资源配置，编制全区卫生健康规划并组织实施。制定并组织实施推进全区卫生健康基本公共服务均等化、普惠化、便捷化和公共资源向基层延伸等政策措施。负责辖区卫生健康领域综合执法，具体执法交由执法队伍承担，并以部门的名义统一执法。</w:t>
      </w:r>
    </w:p>
    <w:p w14:paraId="202F21E6">
      <w:pPr>
        <w:adjustRightInd w:val="0"/>
        <w:snapToGrid w:val="0"/>
        <w:spacing w:line="600" w:lineRule="exact"/>
        <w:ind w:firstLine="640" w:firstLineChars="200"/>
        <w:rPr>
          <w:rFonts w:ascii="Calibri" w:hAnsi="Calibri" w:eastAsia="方正仿宋_GBK" w:cs="Arial"/>
          <w:color w:val="000000"/>
          <w:sz w:val="32"/>
          <w:szCs w:val="32"/>
        </w:rPr>
      </w:pPr>
      <w:r>
        <w:rPr>
          <w:rFonts w:hint="eastAsia" w:ascii="Calibri" w:hAnsi="Calibri" w:eastAsia="方正仿宋_GBK" w:cs="Arial"/>
          <w:color w:val="000000"/>
          <w:sz w:val="32"/>
          <w:szCs w:val="32"/>
        </w:rPr>
        <w:t>3.协调推进全区深化医药卫生体制改革，研究提出深化医药卫生体制改革具体政策、措施的建议。组织深化公立医院综合改革，推进管办分离，健全现代医院管理制度，制定并组织实施推动全区卫生健康公共服务提供主体多元化、提供方式多样化的政策措施，配合相关部门提出完善医疗服务和药品价格政策的建议。</w:t>
      </w:r>
    </w:p>
    <w:p w14:paraId="7722BEF9">
      <w:pPr>
        <w:adjustRightInd w:val="0"/>
        <w:snapToGrid w:val="0"/>
        <w:spacing w:line="600" w:lineRule="exact"/>
        <w:ind w:firstLine="640" w:firstLineChars="200"/>
        <w:rPr>
          <w:rFonts w:ascii="Calibri" w:hAnsi="Calibri" w:eastAsia="方正仿宋_GBK" w:cs="Arial"/>
          <w:color w:val="000000"/>
          <w:sz w:val="32"/>
          <w:szCs w:val="32"/>
        </w:rPr>
      </w:pPr>
      <w:r>
        <w:rPr>
          <w:rFonts w:hint="eastAsia" w:ascii="Calibri" w:hAnsi="Calibri" w:eastAsia="方正仿宋_GBK" w:cs="Arial"/>
          <w:color w:val="000000"/>
          <w:sz w:val="32"/>
          <w:szCs w:val="32"/>
        </w:rPr>
        <w:t>4.制定并组织落实全区疾病预防控制规划、免疫规划以及严重危害人民健康的公共卫生问题的干预措施，根据国家检疫传染病和监测传染病目录开展相关工作。负责全区卫生应急工作，组织指导全区突发公共卫生事件的预防控制和各类突发公共事件的医疗卫生救援。</w:t>
      </w:r>
    </w:p>
    <w:p w14:paraId="2FF63C7A">
      <w:pPr>
        <w:adjustRightInd w:val="0"/>
        <w:snapToGrid w:val="0"/>
        <w:spacing w:line="600" w:lineRule="exact"/>
        <w:ind w:firstLine="640" w:firstLineChars="200"/>
        <w:rPr>
          <w:rFonts w:ascii="Calibri" w:hAnsi="Calibri" w:eastAsia="方正仿宋_GBK" w:cs="Arial"/>
          <w:color w:val="000000"/>
          <w:sz w:val="32"/>
          <w:szCs w:val="32"/>
        </w:rPr>
      </w:pPr>
      <w:r>
        <w:rPr>
          <w:rFonts w:hint="eastAsia" w:ascii="Calibri" w:hAnsi="Calibri" w:eastAsia="方正仿宋_GBK" w:cs="Arial"/>
          <w:color w:val="000000"/>
          <w:sz w:val="32"/>
          <w:szCs w:val="32"/>
        </w:rPr>
        <w:t>5.组织拟订并协调落实应对人口老龄化政策措施，负责推进全区老年健康服务体系建设和医养结合工作。承担南岸区老龄工作委员会的日常工作。</w:t>
      </w:r>
    </w:p>
    <w:p w14:paraId="2D260AF5">
      <w:pPr>
        <w:adjustRightInd w:val="0"/>
        <w:snapToGrid w:val="0"/>
        <w:spacing w:line="600" w:lineRule="exact"/>
        <w:ind w:firstLine="640" w:firstLineChars="200"/>
        <w:rPr>
          <w:rFonts w:ascii="Calibri" w:hAnsi="Calibri" w:eastAsia="方正仿宋_GBK" w:cs="Arial"/>
          <w:color w:val="000000"/>
          <w:sz w:val="32"/>
          <w:szCs w:val="32"/>
        </w:rPr>
      </w:pPr>
      <w:r>
        <w:rPr>
          <w:rFonts w:hint="eastAsia" w:ascii="Calibri" w:hAnsi="Calibri" w:eastAsia="方正仿宋_GBK" w:cs="Arial"/>
          <w:color w:val="000000"/>
          <w:sz w:val="32"/>
          <w:szCs w:val="32"/>
        </w:rPr>
        <w:t>6.落实国家药物政策和国家基本药物制度，开展药品使用监测、临床综合评价和短缺药品预警，执行国家基本药物目录。组织实施食品安全风险监测评估，依法推进落实食品安全地方标准，负责食源性疾病及与食品安全事故有关的流行病学调查。</w:t>
      </w:r>
    </w:p>
    <w:p w14:paraId="4B4A550C">
      <w:pPr>
        <w:adjustRightInd w:val="0"/>
        <w:snapToGrid w:val="0"/>
        <w:spacing w:line="600" w:lineRule="exact"/>
        <w:ind w:firstLine="640" w:firstLineChars="200"/>
        <w:rPr>
          <w:rFonts w:ascii="Calibri" w:hAnsi="Calibri" w:eastAsia="方正仿宋_GBK" w:cs="Arial"/>
          <w:color w:val="000000"/>
          <w:sz w:val="32"/>
          <w:szCs w:val="32"/>
        </w:rPr>
      </w:pPr>
      <w:r>
        <w:rPr>
          <w:rFonts w:hint="eastAsia" w:ascii="Calibri" w:hAnsi="Calibri" w:eastAsia="方正仿宋_GBK" w:cs="Arial"/>
          <w:color w:val="000000"/>
          <w:sz w:val="32"/>
          <w:szCs w:val="32"/>
        </w:rPr>
        <w:t>7.负责职责范围内的职业卫生、放射卫生、环境卫生、学校卫生、公共场所卫生、饮用水卫生等公共卫生的监督管理，负责传染病防治监督，健全全区卫生健康综合监督体系。负责卫生健康机构安全监督管理。根据《烟草控制框架公约》做好相关工作。</w:t>
      </w:r>
    </w:p>
    <w:p w14:paraId="4A216E05">
      <w:pPr>
        <w:adjustRightInd w:val="0"/>
        <w:snapToGrid w:val="0"/>
        <w:spacing w:line="600" w:lineRule="exact"/>
        <w:ind w:firstLine="640" w:firstLineChars="200"/>
        <w:rPr>
          <w:rFonts w:ascii="Calibri" w:hAnsi="Calibri" w:eastAsia="方正仿宋_GBK" w:cs="Arial"/>
          <w:color w:val="000000"/>
          <w:sz w:val="32"/>
          <w:szCs w:val="32"/>
        </w:rPr>
      </w:pPr>
      <w:r>
        <w:rPr>
          <w:rFonts w:hint="eastAsia" w:ascii="Calibri" w:hAnsi="Calibri" w:eastAsia="方正仿宋_GBK" w:cs="Arial"/>
          <w:color w:val="000000"/>
          <w:sz w:val="32"/>
          <w:szCs w:val="32"/>
        </w:rPr>
        <w:t>8.贯彻执行医疗机构、医疗服务行业管理办法并监督实施，建立医疗服务评价和监督管理体系。会同有关部门贯彻执行国家卫生健康专业技术人员资格标准。贯彻执行医疗服务规范和卫生健康专业技术人员执业规则、服务规范。</w:t>
      </w:r>
    </w:p>
    <w:p w14:paraId="53D2C225">
      <w:pPr>
        <w:adjustRightInd w:val="0"/>
        <w:snapToGrid w:val="0"/>
        <w:spacing w:line="600" w:lineRule="exact"/>
        <w:ind w:firstLine="640" w:firstLineChars="200"/>
        <w:rPr>
          <w:rFonts w:ascii="Calibri" w:hAnsi="Calibri" w:eastAsia="方正仿宋_GBK" w:cs="Arial"/>
          <w:color w:val="000000"/>
          <w:sz w:val="32"/>
          <w:szCs w:val="32"/>
        </w:rPr>
      </w:pPr>
      <w:r>
        <w:rPr>
          <w:rFonts w:hint="eastAsia" w:ascii="Calibri" w:hAnsi="Calibri" w:eastAsia="方正仿宋_GBK" w:cs="Arial"/>
          <w:color w:val="000000"/>
          <w:sz w:val="32"/>
          <w:szCs w:val="32"/>
        </w:rPr>
        <w:t>9.负责计划生育管理和服务工作，开展人口监测预警，研究提出人口与家庭发展相关政策建议，落实计划生育政策。</w:t>
      </w:r>
    </w:p>
    <w:p w14:paraId="6608B0DA">
      <w:pPr>
        <w:adjustRightInd w:val="0"/>
        <w:snapToGrid w:val="0"/>
        <w:spacing w:line="600" w:lineRule="exact"/>
        <w:ind w:firstLine="640" w:firstLineChars="200"/>
        <w:rPr>
          <w:rFonts w:ascii="Calibri" w:hAnsi="Calibri" w:eastAsia="方正仿宋_GBK" w:cs="Arial"/>
          <w:color w:val="000000"/>
          <w:sz w:val="32"/>
          <w:szCs w:val="32"/>
        </w:rPr>
      </w:pPr>
      <w:r>
        <w:rPr>
          <w:rFonts w:hint="eastAsia" w:ascii="Calibri" w:hAnsi="Calibri" w:eastAsia="方正仿宋_GBK" w:cs="Arial"/>
          <w:color w:val="000000"/>
          <w:sz w:val="32"/>
          <w:szCs w:val="32"/>
        </w:rPr>
        <w:t>10.负责机关、直属单位和行业社会组织党建工作。推进医疗卫生、妇幼健康服务体系和全科医生队伍建设，推进卫生健康科技创新发展，承担健康扶贫工程相关工作。</w:t>
      </w:r>
    </w:p>
    <w:p w14:paraId="2BE9BA09">
      <w:pPr>
        <w:adjustRightInd w:val="0"/>
        <w:snapToGrid w:val="0"/>
        <w:spacing w:line="600" w:lineRule="exact"/>
        <w:ind w:firstLine="640" w:firstLineChars="200"/>
        <w:rPr>
          <w:rFonts w:ascii="Calibri" w:hAnsi="Calibri" w:eastAsia="方正仿宋_GBK" w:cs="Arial"/>
          <w:color w:val="000000"/>
          <w:sz w:val="32"/>
          <w:szCs w:val="32"/>
        </w:rPr>
      </w:pPr>
      <w:r>
        <w:rPr>
          <w:rFonts w:hint="eastAsia" w:ascii="Calibri" w:hAnsi="Calibri" w:eastAsia="方正仿宋_GBK" w:cs="Arial"/>
          <w:color w:val="000000"/>
          <w:sz w:val="32"/>
          <w:szCs w:val="32"/>
        </w:rPr>
        <w:t>11.负责区级保健对象和高层次人才的医疗保健工作。</w:t>
      </w:r>
      <w:r>
        <w:rPr>
          <w:rFonts w:ascii="Calibri" w:hAnsi="Calibri" w:eastAsia="方正仿宋_GBK" w:cs="Arial"/>
          <w:color w:val="000000"/>
          <w:sz w:val="32"/>
          <w:szCs w:val="32"/>
        </w:rPr>
        <w:t xml:space="preserve"> </w:t>
      </w:r>
      <w:r>
        <w:rPr>
          <w:rFonts w:hint="eastAsia" w:ascii="Calibri" w:hAnsi="Calibri" w:eastAsia="方正仿宋_GBK" w:cs="Arial"/>
          <w:color w:val="000000"/>
          <w:sz w:val="32"/>
          <w:szCs w:val="32"/>
        </w:rPr>
        <w:t>负责在全区召开的国际性、国家和市、区重要会议、重大活动的卫生保障工作。承担区委、区政府指定的有关保健医疗方面的工作任务及相关事项。</w:t>
      </w:r>
    </w:p>
    <w:p w14:paraId="6F08A905">
      <w:pPr>
        <w:adjustRightInd w:val="0"/>
        <w:snapToGrid w:val="0"/>
        <w:spacing w:line="600" w:lineRule="exact"/>
        <w:ind w:firstLine="640" w:firstLineChars="200"/>
        <w:rPr>
          <w:rFonts w:ascii="Calibri" w:hAnsi="Calibri" w:eastAsia="方正仿宋_GBK" w:cs="Arial"/>
          <w:color w:val="000000"/>
          <w:sz w:val="32"/>
          <w:szCs w:val="32"/>
        </w:rPr>
      </w:pPr>
      <w:r>
        <w:rPr>
          <w:rFonts w:hint="eastAsia" w:ascii="Calibri" w:hAnsi="Calibri" w:eastAsia="方正仿宋_GBK" w:cs="Arial"/>
          <w:color w:val="000000"/>
          <w:sz w:val="32"/>
          <w:szCs w:val="32"/>
        </w:rPr>
        <w:t>12.拟订中医药中长期发展规划，并纳入全区卫生健康事业发展总体规划和战略目标。</w:t>
      </w:r>
    </w:p>
    <w:p w14:paraId="61138666">
      <w:pPr>
        <w:adjustRightInd w:val="0"/>
        <w:snapToGrid w:val="0"/>
        <w:spacing w:line="600" w:lineRule="exact"/>
        <w:ind w:firstLine="640" w:firstLineChars="200"/>
        <w:rPr>
          <w:rFonts w:ascii="Calibri" w:hAnsi="Calibri" w:eastAsia="方正仿宋_GBK" w:cs="Arial"/>
          <w:color w:val="000000"/>
          <w:sz w:val="32"/>
          <w:szCs w:val="32"/>
        </w:rPr>
      </w:pPr>
      <w:r>
        <w:rPr>
          <w:rFonts w:hint="eastAsia" w:ascii="Calibri" w:hAnsi="Calibri" w:eastAsia="方正仿宋_GBK" w:cs="Arial"/>
          <w:color w:val="000000"/>
          <w:sz w:val="32"/>
          <w:szCs w:val="32"/>
        </w:rPr>
        <w:t>13.代管重庆市南岸区红十字会及重庆市南岸区计划生育协会机关。</w:t>
      </w:r>
    </w:p>
    <w:p w14:paraId="440F9E6F">
      <w:pPr>
        <w:adjustRightInd w:val="0"/>
        <w:snapToGrid w:val="0"/>
        <w:spacing w:line="600" w:lineRule="exact"/>
        <w:ind w:firstLine="640" w:firstLineChars="200"/>
        <w:rPr>
          <w:rFonts w:ascii="Calibri" w:hAnsi="Calibri" w:eastAsia="方正仿宋_GBK" w:cs="Arial"/>
          <w:color w:val="000000"/>
          <w:sz w:val="32"/>
          <w:szCs w:val="32"/>
        </w:rPr>
      </w:pPr>
      <w:r>
        <w:rPr>
          <w:rFonts w:hint="eastAsia" w:ascii="Calibri" w:hAnsi="Calibri" w:eastAsia="方正仿宋_GBK" w:cs="Arial"/>
          <w:color w:val="000000"/>
          <w:sz w:val="32"/>
          <w:szCs w:val="32"/>
        </w:rPr>
        <w:t>14.完成区委和区政府交办的其他任务。</w:t>
      </w:r>
    </w:p>
    <w:p w14:paraId="0A8303A3">
      <w:pPr>
        <w:adjustRightInd w:val="0"/>
        <w:snapToGrid w:val="0"/>
        <w:spacing w:line="600" w:lineRule="exact"/>
        <w:ind w:firstLine="640" w:firstLineChars="200"/>
        <w:rPr>
          <w:rFonts w:ascii="Calibri" w:hAnsi="Calibri" w:eastAsia="方正仿宋_GBK" w:cs="Arial"/>
          <w:color w:val="000000"/>
          <w:sz w:val="32"/>
          <w:szCs w:val="32"/>
        </w:rPr>
      </w:pPr>
      <w:r>
        <w:rPr>
          <w:rFonts w:hint="eastAsia" w:ascii="Calibri" w:hAnsi="Calibri" w:eastAsia="方正仿宋_GBK" w:cs="Arial"/>
          <w:color w:val="000000"/>
          <w:sz w:val="32"/>
          <w:szCs w:val="32"/>
        </w:rPr>
        <w:t>15.职能转变。重庆市南岸区卫生健康委员会应当牢固树立大卫生、大健康理念，推动实施健康中国战略南岸实践，以改革创新为动力，以促健康、转模式、强基层、重保障为着力点，把以治病为中心转变到以人民健康为中心，为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生活困难群众倾斜。三是更加注重提高服务质量和水平，推进卫生健康基本公共服务均等化、普惠化、便捷化。四是协调推进深化医药卫生体制改革，加大公立医院改革力度，推进管办分离，推动卫生健康公共服务提供主体多元化、提供方式多样化。</w:t>
      </w:r>
    </w:p>
    <w:p w14:paraId="41DAD780">
      <w:pPr>
        <w:ind w:firstLine="643" w:firstLineChars="200"/>
        <w:rPr>
          <w:rFonts w:ascii="方正仿宋_GBK" w:hAnsi="方正仿宋_GBK" w:eastAsia="方正仿宋_GBK" w:cs="方正仿宋_GBK"/>
          <w:sz w:val="32"/>
          <w:szCs w:val="32"/>
        </w:rPr>
      </w:pPr>
      <w:r>
        <w:rPr>
          <w:rFonts w:hint="eastAsia" w:ascii="方正仿宋_GBK" w:eastAsia="方正仿宋_GBK"/>
          <w:b/>
          <w:sz w:val="32"/>
          <w:szCs w:val="32"/>
        </w:rPr>
        <w:t>（二）机构设置。</w:t>
      </w:r>
      <w:r>
        <w:rPr>
          <w:rFonts w:hint="eastAsia" w:ascii="方正仿宋_GBK" w:hAnsi="方正仿宋_GBK" w:eastAsia="方正仿宋_GBK" w:cs="方正仿宋_GBK"/>
          <w:sz w:val="32"/>
          <w:szCs w:val="32"/>
        </w:rPr>
        <w:t>内设7个机构。分别为：</w:t>
      </w:r>
      <w:r>
        <w:rPr>
          <w:rFonts w:hint="eastAsia" w:ascii="方正仿宋_GBK" w:hAnsi="Calibri" w:eastAsia="方正仿宋_GBK" w:cs="Arial"/>
          <w:color w:val="000000"/>
          <w:sz w:val="32"/>
          <w:szCs w:val="32"/>
        </w:rPr>
        <w:t>办公室（纪检组织科）</w:t>
      </w:r>
      <w:r>
        <w:rPr>
          <w:rFonts w:hint="eastAsia" w:ascii="方正仿宋_GBK" w:hAnsi="方正仿宋_GBK" w:eastAsia="方正仿宋_GBK" w:cs="方正仿宋_GBK"/>
          <w:sz w:val="32"/>
          <w:szCs w:val="32"/>
        </w:rPr>
        <w:t>、</w:t>
      </w:r>
      <w:r>
        <w:rPr>
          <w:rFonts w:hint="eastAsia" w:ascii="方正仿宋_GBK" w:hAnsi="Calibri" w:eastAsia="方正仿宋_GBK" w:cs="Arial"/>
          <w:color w:val="000000"/>
          <w:sz w:val="32"/>
          <w:szCs w:val="32"/>
        </w:rPr>
        <w:t>规划财务科（信息科）</w:t>
      </w:r>
      <w:r>
        <w:rPr>
          <w:rFonts w:hint="eastAsia" w:ascii="方正仿宋_GBK" w:hAnsi="方正仿宋_GBK" w:eastAsia="方正仿宋_GBK" w:cs="方正仿宋_GBK"/>
          <w:sz w:val="32"/>
          <w:szCs w:val="32"/>
        </w:rPr>
        <w:t>、</w:t>
      </w:r>
      <w:r>
        <w:rPr>
          <w:rFonts w:hint="eastAsia" w:ascii="方正仿宋_GBK" w:hAnsi="Calibri" w:eastAsia="方正仿宋_GBK" w:cs="Arial"/>
          <w:color w:val="000000"/>
          <w:sz w:val="32"/>
          <w:szCs w:val="32"/>
        </w:rPr>
        <w:t>政策法规科（行政审批科）</w:t>
      </w:r>
      <w:r>
        <w:rPr>
          <w:rFonts w:hint="eastAsia" w:ascii="方正仿宋_GBK" w:hAnsi="方正仿宋_GBK" w:eastAsia="方正仿宋_GBK" w:cs="方正仿宋_GBK"/>
          <w:sz w:val="32"/>
          <w:szCs w:val="32"/>
        </w:rPr>
        <w:t>、</w:t>
      </w:r>
      <w:r>
        <w:rPr>
          <w:rFonts w:hint="eastAsia" w:ascii="方正仿宋_GBK" w:hAnsi="Calibri" w:eastAsia="方正仿宋_GBK" w:cs="Arial"/>
          <w:color w:val="000000"/>
          <w:sz w:val="32"/>
          <w:szCs w:val="32"/>
        </w:rPr>
        <w:t>基层卫生健康科</w:t>
      </w:r>
      <w:r>
        <w:rPr>
          <w:rFonts w:hint="eastAsia" w:ascii="方正仿宋_GBK" w:hAnsi="方正仿宋_GBK" w:eastAsia="方正仿宋_GBK" w:cs="方正仿宋_GBK"/>
          <w:sz w:val="32"/>
          <w:szCs w:val="32"/>
        </w:rPr>
        <w:t>、</w:t>
      </w:r>
      <w:r>
        <w:rPr>
          <w:rFonts w:hint="eastAsia" w:ascii="方正仿宋_GBK" w:hAnsi="Calibri" w:eastAsia="方正仿宋_GBK" w:cs="Arial"/>
          <w:color w:val="000000"/>
          <w:sz w:val="32"/>
          <w:szCs w:val="32"/>
        </w:rPr>
        <w:t>医政科（医改办）</w:t>
      </w:r>
      <w:r>
        <w:rPr>
          <w:rFonts w:hint="eastAsia" w:ascii="方正仿宋_GBK" w:hAnsi="方正仿宋_GBK" w:eastAsia="方正仿宋_GBK" w:cs="方正仿宋_GBK"/>
          <w:sz w:val="32"/>
          <w:szCs w:val="32"/>
        </w:rPr>
        <w:t>、</w:t>
      </w:r>
      <w:r>
        <w:rPr>
          <w:rFonts w:hint="eastAsia" w:ascii="方正仿宋_GBK" w:hAnsi="Calibri" w:eastAsia="方正仿宋_GBK" w:cs="Arial"/>
          <w:color w:val="000000"/>
          <w:sz w:val="32"/>
          <w:szCs w:val="32"/>
        </w:rPr>
        <w:t>公共卫生科（卫生应急办、重庆市南岸区爱国卫生运动委员会办公室）</w:t>
      </w:r>
      <w:r>
        <w:rPr>
          <w:rFonts w:hint="eastAsia" w:ascii="方正仿宋_GBK" w:hAnsi="方正仿宋_GBK" w:eastAsia="方正仿宋_GBK" w:cs="方正仿宋_GBK"/>
          <w:sz w:val="32"/>
          <w:szCs w:val="32"/>
        </w:rPr>
        <w:t>、</w:t>
      </w:r>
      <w:r>
        <w:rPr>
          <w:rFonts w:hint="eastAsia" w:ascii="方正仿宋_GBK" w:hAnsi="Calibri" w:eastAsia="方正仿宋_GBK" w:cs="Arial"/>
          <w:color w:val="000000"/>
          <w:sz w:val="32"/>
          <w:szCs w:val="32"/>
        </w:rPr>
        <w:t>人口与家庭发展科</w:t>
      </w:r>
      <w:r>
        <w:rPr>
          <w:rFonts w:hint="eastAsia" w:ascii="方正仿宋_GBK" w:hAnsi="方正仿宋_GBK" w:eastAsia="方正仿宋_GBK" w:cs="方正仿宋_GBK"/>
          <w:sz w:val="32"/>
          <w:szCs w:val="32"/>
        </w:rPr>
        <w:t>。南岸区卫生健康委员会管理17家基层医疗卫生服务机构，其中综合性医院2家，精神卫生中心1家，社区卫生服务中心4家，乡镇卫生院5家，公共卫生医疗机构4家，基层医疗卫生服务管理中心1家。南岸区卫生系统共有在编人员1603人，聘用人员2093人。</w:t>
      </w:r>
    </w:p>
    <w:p w14:paraId="47147FB6">
      <w:pPr>
        <w:ind w:firstLine="643" w:firstLineChars="200"/>
        <w:rPr>
          <w:rFonts w:ascii="方正仿宋_GBK" w:hAnsi="方正仿宋_GBK" w:eastAsia="方正仿宋_GBK" w:cs="方正仿宋_GBK"/>
          <w:sz w:val="32"/>
          <w:szCs w:val="32"/>
        </w:rPr>
      </w:pPr>
      <w:r>
        <w:rPr>
          <w:rFonts w:hint="eastAsia" w:ascii="方正仿宋_GBK" w:eastAsia="方正仿宋_GBK"/>
          <w:b/>
          <w:sz w:val="32"/>
          <w:szCs w:val="32"/>
        </w:rPr>
        <w:t>（三）单位构成。</w:t>
      </w:r>
      <w:r>
        <w:rPr>
          <w:rFonts w:hint="eastAsia" w:ascii="方正仿宋_GBK" w:hAnsi="方正仿宋_GBK" w:eastAsia="方正仿宋_GBK" w:cs="方正仿宋_GBK"/>
          <w:sz w:val="32"/>
          <w:szCs w:val="32"/>
        </w:rPr>
        <w:t>从预算单位构成看，纳入本部门2020年度决算编制的二级预算单位主要包括：</w:t>
      </w:r>
    </w:p>
    <w:p w14:paraId="3CACF581">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1、重庆市第五人民医院</w:t>
      </w:r>
    </w:p>
    <w:p w14:paraId="2111BD4C">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2、南岸区人民医院</w:t>
      </w:r>
    </w:p>
    <w:p w14:paraId="6B3A683E">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w:t>
      </w:r>
      <w:r>
        <w:rPr>
          <w:rFonts w:hint="eastAsia" w:eastAsia="方正仿宋_GBK"/>
          <w:sz w:val="32"/>
          <w:szCs w:val="32"/>
        </w:rPr>
        <w:t>南岸区</w:t>
      </w:r>
      <w:r>
        <w:rPr>
          <w:rFonts w:hint="eastAsia" w:ascii="方正仿宋_GBK" w:hAnsi="方正仿宋_GBK" w:eastAsia="方正仿宋_GBK" w:cs="方正仿宋_GBK"/>
          <w:sz w:val="32"/>
          <w:szCs w:val="32"/>
        </w:rPr>
        <w:t>基层医疗卫生服务管理中心</w:t>
      </w:r>
    </w:p>
    <w:p w14:paraId="589AE36B">
      <w:pPr>
        <w:ind w:firstLine="640" w:firstLineChars="200"/>
        <w:rPr>
          <w:rFonts w:eastAsia="方正仿宋_GBK"/>
          <w:sz w:val="32"/>
          <w:szCs w:val="32"/>
        </w:rPr>
      </w:pPr>
      <w:r>
        <w:rPr>
          <w:rFonts w:hint="eastAsia" w:ascii="方正仿宋_GBK" w:hAnsi="方正仿宋_GBK" w:eastAsia="方正仿宋_GBK" w:cs="方正仿宋_GBK"/>
          <w:sz w:val="32"/>
          <w:szCs w:val="32"/>
        </w:rPr>
        <w:t>4、</w:t>
      </w:r>
      <w:r>
        <w:rPr>
          <w:rFonts w:hint="eastAsia" w:eastAsia="方正仿宋_GBK"/>
          <w:sz w:val="32"/>
          <w:szCs w:val="32"/>
        </w:rPr>
        <w:t>南岸区卫生健康综合行政执法支队</w:t>
      </w:r>
    </w:p>
    <w:p w14:paraId="29B0D72D">
      <w:pPr>
        <w:ind w:firstLine="640" w:firstLineChars="200"/>
        <w:rPr>
          <w:rFonts w:eastAsia="方正仿宋_GBK"/>
          <w:sz w:val="32"/>
          <w:szCs w:val="32"/>
        </w:rPr>
      </w:pPr>
      <w:r>
        <w:rPr>
          <w:rFonts w:hint="eastAsia" w:ascii="方正仿宋_GBK" w:hAnsi="方正仿宋_GBK" w:eastAsia="方正仿宋_GBK" w:cs="方正仿宋_GBK"/>
          <w:sz w:val="32"/>
          <w:szCs w:val="32"/>
        </w:rPr>
        <w:t>5、</w:t>
      </w:r>
      <w:r>
        <w:rPr>
          <w:rFonts w:hint="eastAsia" w:eastAsia="方正仿宋_GBK"/>
          <w:sz w:val="32"/>
          <w:szCs w:val="32"/>
        </w:rPr>
        <w:t>南岸区疾病预防控制中心</w:t>
      </w:r>
    </w:p>
    <w:p w14:paraId="0137EF97">
      <w:pPr>
        <w:ind w:firstLine="640" w:firstLineChars="200"/>
        <w:rPr>
          <w:rFonts w:eastAsia="方正仿宋_GBK"/>
          <w:sz w:val="32"/>
          <w:szCs w:val="32"/>
        </w:rPr>
      </w:pPr>
      <w:r>
        <w:rPr>
          <w:rFonts w:hint="eastAsia" w:ascii="方正仿宋_GBK" w:hAnsi="方正仿宋_GBK" w:eastAsia="方正仿宋_GBK" w:cs="方正仿宋_GBK"/>
          <w:sz w:val="32"/>
          <w:szCs w:val="32"/>
        </w:rPr>
        <w:t>6、</w:t>
      </w:r>
      <w:r>
        <w:rPr>
          <w:rFonts w:hint="eastAsia" w:eastAsia="方正仿宋_GBK"/>
          <w:sz w:val="32"/>
          <w:szCs w:val="32"/>
        </w:rPr>
        <w:t>南岸区妇幼保健计划生育服务中心</w:t>
      </w:r>
    </w:p>
    <w:p w14:paraId="0B62A0B6">
      <w:pPr>
        <w:ind w:firstLine="640" w:firstLineChars="200"/>
        <w:rPr>
          <w:rFonts w:eastAsia="方正仿宋_GBK"/>
          <w:sz w:val="32"/>
          <w:szCs w:val="32"/>
        </w:rPr>
      </w:pPr>
      <w:r>
        <w:rPr>
          <w:rFonts w:hint="eastAsia" w:ascii="方正仿宋_GBK" w:hAnsi="方正仿宋_GBK" w:eastAsia="方正仿宋_GBK" w:cs="方正仿宋_GBK"/>
          <w:sz w:val="32"/>
          <w:szCs w:val="32"/>
        </w:rPr>
        <w:t>7、</w:t>
      </w:r>
      <w:r>
        <w:rPr>
          <w:rFonts w:hint="eastAsia" w:eastAsia="方正仿宋_GBK"/>
          <w:sz w:val="32"/>
          <w:szCs w:val="32"/>
        </w:rPr>
        <w:t>南岸区南坪街道社区卫生服务中心</w:t>
      </w:r>
    </w:p>
    <w:p w14:paraId="234751C2">
      <w:pPr>
        <w:ind w:firstLine="640" w:firstLineChars="200"/>
        <w:rPr>
          <w:rFonts w:eastAsia="方正仿宋_GBK"/>
          <w:sz w:val="32"/>
          <w:szCs w:val="32"/>
        </w:rPr>
      </w:pPr>
      <w:r>
        <w:rPr>
          <w:rFonts w:hint="eastAsia" w:ascii="方正仿宋_GBK" w:hAnsi="方正仿宋_GBK" w:eastAsia="方正仿宋_GBK" w:cs="方正仿宋_GBK"/>
          <w:sz w:val="32"/>
          <w:szCs w:val="32"/>
        </w:rPr>
        <w:t>8、</w:t>
      </w:r>
      <w:r>
        <w:rPr>
          <w:rFonts w:hint="eastAsia" w:eastAsia="方正仿宋_GBK"/>
          <w:sz w:val="32"/>
          <w:szCs w:val="32"/>
        </w:rPr>
        <w:t>南岸区弹子石街道社区卫生服务中心</w:t>
      </w:r>
    </w:p>
    <w:p w14:paraId="54456958">
      <w:pPr>
        <w:ind w:firstLine="640" w:firstLineChars="200"/>
        <w:rPr>
          <w:rFonts w:eastAsia="方正仿宋_GBK"/>
          <w:sz w:val="32"/>
          <w:szCs w:val="32"/>
        </w:rPr>
      </w:pPr>
      <w:r>
        <w:rPr>
          <w:rFonts w:hint="eastAsia" w:ascii="方正仿宋_GBK" w:hAnsi="方正仿宋_GBK" w:eastAsia="方正仿宋_GBK" w:cs="方正仿宋_GBK"/>
          <w:sz w:val="32"/>
          <w:szCs w:val="32"/>
        </w:rPr>
        <w:t>9、</w:t>
      </w:r>
      <w:r>
        <w:rPr>
          <w:rFonts w:hint="eastAsia" w:eastAsia="方正仿宋_GBK"/>
          <w:sz w:val="32"/>
          <w:szCs w:val="32"/>
        </w:rPr>
        <w:t>南岸区龙门浩街道社区卫生服务中心</w:t>
      </w:r>
    </w:p>
    <w:p w14:paraId="1AAEFBBB">
      <w:pPr>
        <w:ind w:firstLine="640" w:firstLineChars="200"/>
        <w:rPr>
          <w:rFonts w:eastAsia="方正仿宋_GBK"/>
          <w:sz w:val="32"/>
          <w:szCs w:val="32"/>
        </w:rPr>
      </w:pPr>
      <w:r>
        <w:rPr>
          <w:rFonts w:hint="eastAsia" w:ascii="方正仿宋_GBK" w:hAnsi="方正仿宋_GBK" w:eastAsia="方正仿宋_GBK" w:cs="方正仿宋_GBK"/>
          <w:sz w:val="32"/>
          <w:szCs w:val="32"/>
        </w:rPr>
        <w:t>10、</w:t>
      </w:r>
      <w:r>
        <w:rPr>
          <w:rFonts w:hint="eastAsia" w:eastAsia="方正仿宋_GBK"/>
          <w:sz w:val="32"/>
          <w:szCs w:val="32"/>
        </w:rPr>
        <w:t>南岸区南山街道社区卫生服务中心</w:t>
      </w:r>
    </w:p>
    <w:p w14:paraId="230A3709">
      <w:pPr>
        <w:ind w:firstLine="640" w:firstLineChars="200"/>
        <w:rPr>
          <w:rFonts w:eastAsia="方正仿宋_GBK"/>
          <w:sz w:val="32"/>
          <w:szCs w:val="32"/>
        </w:rPr>
      </w:pPr>
      <w:r>
        <w:rPr>
          <w:rFonts w:hint="eastAsia" w:ascii="方正仿宋_GBK" w:hAnsi="方正仿宋_GBK" w:eastAsia="方正仿宋_GBK" w:cs="方正仿宋_GBK"/>
          <w:sz w:val="32"/>
          <w:szCs w:val="32"/>
        </w:rPr>
        <w:t>11、</w:t>
      </w:r>
      <w:r>
        <w:rPr>
          <w:rFonts w:hint="eastAsia" w:eastAsia="方正仿宋_GBK"/>
          <w:sz w:val="32"/>
          <w:szCs w:val="32"/>
        </w:rPr>
        <w:t>南岸区铜元局街道社区卫生服务中心</w:t>
      </w:r>
    </w:p>
    <w:p w14:paraId="2E9EDA4F">
      <w:pPr>
        <w:ind w:firstLine="640" w:firstLineChars="200"/>
        <w:rPr>
          <w:rFonts w:eastAsia="方正仿宋_GBK"/>
          <w:sz w:val="32"/>
          <w:szCs w:val="32"/>
        </w:rPr>
      </w:pPr>
      <w:r>
        <w:rPr>
          <w:rFonts w:hint="eastAsia" w:ascii="方正仿宋_GBK" w:hAnsi="方正仿宋_GBK" w:eastAsia="方正仿宋_GBK" w:cs="方正仿宋_GBK"/>
          <w:sz w:val="32"/>
          <w:szCs w:val="32"/>
        </w:rPr>
        <w:t>12、</w:t>
      </w:r>
      <w:r>
        <w:rPr>
          <w:rFonts w:hint="eastAsia" w:eastAsia="方正仿宋_GBK"/>
          <w:sz w:val="32"/>
          <w:szCs w:val="32"/>
        </w:rPr>
        <w:t>南岸区长生桥镇卫生院</w:t>
      </w:r>
    </w:p>
    <w:p w14:paraId="75ED7C14">
      <w:pPr>
        <w:ind w:firstLine="640" w:firstLineChars="200"/>
        <w:rPr>
          <w:rFonts w:eastAsia="方正仿宋_GBK"/>
          <w:sz w:val="32"/>
          <w:szCs w:val="32"/>
        </w:rPr>
      </w:pPr>
      <w:r>
        <w:rPr>
          <w:rFonts w:hint="eastAsia" w:ascii="方正仿宋_GBK" w:hAnsi="方正仿宋_GBK" w:eastAsia="方正仿宋_GBK" w:cs="方正仿宋_GBK"/>
          <w:sz w:val="32"/>
          <w:szCs w:val="32"/>
        </w:rPr>
        <w:t>13、</w:t>
      </w:r>
      <w:r>
        <w:rPr>
          <w:rFonts w:hint="eastAsia" w:eastAsia="方正仿宋_GBK"/>
          <w:sz w:val="32"/>
          <w:szCs w:val="32"/>
        </w:rPr>
        <w:t>南岸区迎龙镇卫生院</w:t>
      </w:r>
    </w:p>
    <w:p w14:paraId="66F64EE0">
      <w:pPr>
        <w:ind w:firstLine="640" w:firstLineChars="200"/>
        <w:rPr>
          <w:rFonts w:eastAsia="方正仿宋_GBK"/>
          <w:sz w:val="32"/>
          <w:szCs w:val="32"/>
        </w:rPr>
      </w:pPr>
      <w:r>
        <w:rPr>
          <w:rFonts w:hint="eastAsia" w:ascii="方正仿宋_GBK" w:hAnsi="方正仿宋_GBK" w:eastAsia="方正仿宋_GBK" w:cs="方正仿宋_GBK"/>
          <w:sz w:val="32"/>
          <w:szCs w:val="32"/>
        </w:rPr>
        <w:t>14、</w:t>
      </w:r>
      <w:r>
        <w:rPr>
          <w:rFonts w:hint="eastAsia" w:eastAsia="方正仿宋_GBK"/>
          <w:sz w:val="32"/>
          <w:szCs w:val="32"/>
        </w:rPr>
        <w:t>南岸区广阳镇卫生院</w:t>
      </w:r>
    </w:p>
    <w:p w14:paraId="035F8594">
      <w:pPr>
        <w:ind w:firstLine="640" w:firstLineChars="200"/>
        <w:rPr>
          <w:rFonts w:eastAsia="方正仿宋_GBK"/>
          <w:sz w:val="32"/>
          <w:szCs w:val="32"/>
        </w:rPr>
      </w:pPr>
      <w:r>
        <w:rPr>
          <w:rFonts w:hint="eastAsia" w:ascii="方正仿宋_GBK" w:hAnsi="方正仿宋_GBK" w:eastAsia="方正仿宋_GBK" w:cs="方正仿宋_GBK"/>
          <w:sz w:val="32"/>
          <w:szCs w:val="32"/>
        </w:rPr>
        <w:t>15、</w:t>
      </w:r>
      <w:r>
        <w:rPr>
          <w:rFonts w:hint="eastAsia" w:eastAsia="方正仿宋_GBK"/>
          <w:sz w:val="32"/>
          <w:szCs w:val="32"/>
        </w:rPr>
        <w:t>南岸区峡口镇卫生院</w:t>
      </w:r>
    </w:p>
    <w:p w14:paraId="4A49A8C5">
      <w:pPr>
        <w:ind w:firstLine="640" w:firstLineChars="200"/>
        <w:rPr>
          <w:rFonts w:eastAsia="方正仿宋_GBK"/>
          <w:sz w:val="32"/>
          <w:szCs w:val="32"/>
        </w:rPr>
      </w:pPr>
      <w:r>
        <w:rPr>
          <w:rFonts w:hint="eastAsia" w:ascii="方正仿宋_GBK" w:hAnsi="方正仿宋_GBK" w:eastAsia="方正仿宋_GBK" w:cs="方正仿宋_GBK"/>
          <w:sz w:val="32"/>
          <w:szCs w:val="32"/>
        </w:rPr>
        <w:t>16、</w:t>
      </w:r>
      <w:r>
        <w:rPr>
          <w:rFonts w:hint="eastAsia" w:eastAsia="方正仿宋_GBK"/>
          <w:sz w:val="32"/>
          <w:szCs w:val="32"/>
        </w:rPr>
        <w:t>南岸区鸡冠石镇卫生院</w:t>
      </w:r>
    </w:p>
    <w:p w14:paraId="144BCDAB">
      <w:pPr>
        <w:ind w:firstLine="640" w:firstLineChars="200"/>
        <w:rPr>
          <w:rFonts w:eastAsia="方正仿宋_GBK"/>
          <w:sz w:val="32"/>
          <w:szCs w:val="32"/>
        </w:rPr>
      </w:pPr>
      <w:r>
        <w:rPr>
          <w:rFonts w:hint="eastAsia" w:eastAsia="方正仿宋_GBK"/>
          <w:sz w:val="32"/>
          <w:szCs w:val="32"/>
        </w:rPr>
        <w:t>17、南岸区精神卫生中心</w:t>
      </w:r>
    </w:p>
    <w:p w14:paraId="2B39C99F">
      <w:pPr>
        <w:pStyle w:val="6"/>
        <w:shd w:val="clear" w:color="auto" w:fill="FFFFFF"/>
        <w:spacing w:before="0" w:beforeAutospacing="0" w:after="0" w:afterAutospacing="0" w:line="560" w:lineRule="exact"/>
        <w:ind w:firstLine="640" w:firstLineChars="200"/>
        <w:jc w:val="both"/>
        <w:outlineLvl w:val="1"/>
        <w:rPr>
          <w:rStyle w:val="9"/>
          <w:rFonts w:ascii="方正黑体_GBK" w:eastAsia="方正黑体_GBK"/>
          <w:b w:val="0"/>
        </w:rPr>
      </w:pPr>
      <w:r>
        <w:rPr>
          <w:rStyle w:val="9"/>
          <w:rFonts w:hint="eastAsia" w:ascii="方正黑体_GBK" w:eastAsia="方正黑体_GBK"/>
          <w:b w:val="0"/>
          <w:sz w:val="32"/>
          <w:szCs w:val="32"/>
        </w:rPr>
        <w:t>二、部门决算情况说明</w:t>
      </w:r>
    </w:p>
    <w:p w14:paraId="4C6D232C">
      <w:pPr>
        <w:pStyle w:val="6"/>
        <w:shd w:val="clear" w:color="auto" w:fill="FFFFFF"/>
        <w:spacing w:before="0" w:beforeAutospacing="0" w:after="0" w:afterAutospacing="0" w:line="560" w:lineRule="exact"/>
        <w:ind w:firstLine="643" w:firstLineChars="200"/>
        <w:jc w:val="both"/>
        <w:outlineLvl w:val="0"/>
        <w:rPr>
          <w:rFonts w:ascii="方正仿宋_GBK" w:eastAsia="方正仿宋_GBK"/>
          <w:sz w:val="32"/>
          <w:szCs w:val="32"/>
        </w:rPr>
      </w:pPr>
      <w:r>
        <w:rPr>
          <w:rStyle w:val="9"/>
          <w:rFonts w:hint="eastAsia" w:ascii="方正仿宋_GBK" w:eastAsia="方正仿宋_GBK"/>
          <w:sz w:val="32"/>
          <w:szCs w:val="32"/>
        </w:rPr>
        <w:t>（一）收入支出决算总体情况说明</w:t>
      </w:r>
    </w:p>
    <w:p w14:paraId="52B44E64">
      <w:pPr>
        <w:ind w:firstLine="643" w:firstLineChars="200"/>
        <w:rPr>
          <w:rFonts w:ascii="方正仿宋_GBK" w:eastAsia="方正仿宋_GBK"/>
          <w:sz w:val="32"/>
          <w:szCs w:val="32"/>
        </w:rPr>
      </w:pPr>
      <w:r>
        <w:rPr>
          <w:rFonts w:hint="eastAsia" w:ascii="方正仿宋_GBK" w:eastAsia="方正仿宋_GBK"/>
          <w:b/>
          <w:sz w:val="32"/>
          <w:szCs w:val="32"/>
        </w:rPr>
        <w:t>1.总体情况。</w:t>
      </w:r>
      <w:r>
        <w:rPr>
          <w:rFonts w:hint="eastAsia" w:ascii="方正仿宋_GBK" w:hAnsi="方正仿宋_GBK" w:eastAsia="方正仿宋_GBK" w:cs="方正仿宋_GBK"/>
          <w:sz w:val="32"/>
          <w:szCs w:val="32"/>
          <w:shd w:val="clear" w:color="auto" w:fill="FFFFFF"/>
        </w:rPr>
        <w:t>本部门2020年度收入总计</w:t>
      </w:r>
      <w:r>
        <w:rPr>
          <w:rFonts w:ascii="方正仿宋_GBK" w:hAnsi="方正仿宋_GBK" w:eastAsia="方正仿宋_GBK" w:cs="方正仿宋_GBK"/>
          <w:sz w:val="32"/>
          <w:szCs w:val="32"/>
          <w:shd w:val="clear" w:color="auto" w:fill="FFFFFF"/>
        </w:rPr>
        <w:t>242037.88</w:t>
      </w:r>
      <w:r>
        <w:rPr>
          <w:rFonts w:hint="eastAsia" w:ascii="方正仿宋_GBK" w:hAnsi="方正仿宋_GBK" w:eastAsia="方正仿宋_GBK" w:cs="方正仿宋_GBK"/>
          <w:sz w:val="32"/>
          <w:szCs w:val="32"/>
          <w:shd w:val="clear" w:color="auto" w:fill="FFFFFF"/>
        </w:rPr>
        <w:t>万元，支出总计</w:t>
      </w:r>
      <w:r>
        <w:rPr>
          <w:rFonts w:ascii="方正仿宋_GBK" w:hAnsi="方正仿宋_GBK" w:eastAsia="方正仿宋_GBK" w:cs="方正仿宋_GBK"/>
          <w:sz w:val="32"/>
          <w:szCs w:val="32"/>
          <w:shd w:val="clear" w:color="auto" w:fill="FFFFFF"/>
        </w:rPr>
        <w:t>242037.88</w:t>
      </w:r>
      <w:r>
        <w:rPr>
          <w:rFonts w:hint="eastAsia" w:ascii="方正仿宋_GBK" w:hAnsi="方正仿宋_GBK" w:eastAsia="方正仿宋_GBK" w:cs="方正仿宋_GBK"/>
          <w:sz w:val="32"/>
          <w:szCs w:val="32"/>
          <w:shd w:val="clear" w:color="auto" w:fill="FFFFFF"/>
        </w:rPr>
        <w:t>万元。收支较上年决算数增加92129.98万元，增长61.46%，主要原因是今年受疫情影响，新增了</w:t>
      </w:r>
      <w:r>
        <w:rPr>
          <w:rFonts w:ascii="方正仿宋_GBK" w:hAnsi="方正仿宋_GBK" w:eastAsia="方正仿宋_GBK" w:cs="方正仿宋_GBK"/>
          <w:sz w:val="32"/>
          <w:szCs w:val="32"/>
          <w:shd w:val="clear" w:color="auto" w:fill="FFFFFF"/>
        </w:rPr>
        <w:t>特别抗疫</w:t>
      </w:r>
      <w:r>
        <w:rPr>
          <w:rFonts w:hint="eastAsia" w:ascii="方正仿宋_GBK" w:hAnsi="方正仿宋_GBK" w:eastAsia="方正仿宋_GBK" w:cs="方正仿宋_GBK"/>
          <w:sz w:val="32"/>
          <w:szCs w:val="32"/>
          <w:shd w:val="clear" w:color="auto" w:fill="FFFFFF"/>
        </w:rPr>
        <w:t>国债、</w:t>
      </w:r>
      <w:r>
        <w:rPr>
          <w:rFonts w:ascii="方正仿宋_GBK" w:hAnsi="方正仿宋_GBK" w:eastAsia="方正仿宋_GBK" w:cs="方正仿宋_GBK"/>
          <w:sz w:val="32"/>
          <w:szCs w:val="32"/>
          <w:shd w:val="clear" w:color="auto" w:fill="FFFFFF"/>
        </w:rPr>
        <w:t>应急保障体系建设</w:t>
      </w:r>
      <w:r>
        <w:rPr>
          <w:rFonts w:hint="eastAsia" w:ascii="方正仿宋_GBK" w:hAnsi="方正仿宋_GBK" w:eastAsia="方正仿宋_GBK" w:cs="方正仿宋_GBK"/>
          <w:sz w:val="32"/>
          <w:szCs w:val="32"/>
          <w:shd w:val="clear" w:color="auto" w:fill="FFFFFF"/>
        </w:rPr>
        <w:t>资金、</w:t>
      </w:r>
      <w:r>
        <w:rPr>
          <w:rFonts w:ascii="方正仿宋_GBK" w:hAnsi="方正仿宋_GBK" w:eastAsia="方正仿宋_GBK" w:cs="方正仿宋_GBK"/>
          <w:sz w:val="32"/>
          <w:szCs w:val="32"/>
          <w:shd w:val="clear" w:color="auto" w:fill="FFFFFF"/>
        </w:rPr>
        <w:t>核酸检测等抗疫支出</w:t>
      </w:r>
      <w:r>
        <w:rPr>
          <w:rFonts w:hint="eastAsia" w:ascii="方正仿宋_GBK" w:hAnsi="方正仿宋_GBK" w:eastAsia="方正仿宋_GBK" w:cs="方正仿宋_GBK"/>
          <w:sz w:val="32"/>
          <w:szCs w:val="32"/>
          <w:shd w:val="clear" w:color="auto" w:fill="FFFFFF"/>
        </w:rPr>
        <w:t>、</w:t>
      </w:r>
      <w:r>
        <w:rPr>
          <w:rFonts w:ascii="方正仿宋_GBK" w:hAnsi="方正仿宋_GBK" w:eastAsia="方正仿宋_GBK" w:cs="方正仿宋_GBK"/>
          <w:sz w:val="32"/>
          <w:szCs w:val="32"/>
          <w:shd w:val="clear" w:color="auto" w:fill="FFFFFF"/>
        </w:rPr>
        <w:t>新冠病毒上级补助资金</w:t>
      </w:r>
      <w:r>
        <w:rPr>
          <w:rFonts w:hint="eastAsia" w:ascii="方正仿宋_GBK" w:hAnsi="方正仿宋_GBK" w:eastAsia="方正仿宋_GBK" w:cs="方正仿宋_GBK"/>
          <w:sz w:val="32"/>
          <w:szCs w:val="32"/>
          <w:shd w:val="clear" w:color="auto" w:fill="FFFFFF"/>
        </w:rPr>
        <w:t>、政府专项债、</w:t>
      </w:r>
      <w:r>
        <w:rPr>
          <w:rFonts w:ascii="方正仿宋_GBK" w:hAnsi="方正仿宋_GBK" w:eastAsia="方正仿宋_GBK" w:cs="方正仿宋_GBK"/>
          <w:sz w:val="32"/>
          <w:szCs w:val="32"/>
          <w:shd w:val="clear" w:color="auto" w:fill="FFFFFF"/>
        </w:rPr>
        <w:t>“智慧南岸”</w:t>
      </w:r>
      <w:r>
        <w:rPr>
          <w:rFonts w:hint="eastAsia" w:ascii="方正仿宋_GBK" w:hAnsi="方正仿宋_GBK" w:eastAsia="方正仿宋_GBK" w:cs="方正仿宋_GBK"/>
          <w:sz w:val="32"/>
          <w:szCs w:val="32"/>
          <w:shd w:val="clear" w:color="auto" w:fill="FFFFFF"/>
        </w:rPr>
        <w:t>项目、</w:t>
      </w:r>
      <w:r>
        <w:rPr>
          <w:rFonts w:ascii="方正仿宋_GBK" w:hAnsi="方正仿宋_GBK" w:eastAsia="方正仿宋_GBK" w:cs="方正仿宋_GBK"/>
          <w:sz w:val="32"/>
          <w:szCs w:val="32"/>
          <w:shd w:val="clear" w:color="auto" w:fill="FFFFFF"/>
        </w:rPr>
        <w:t>基本公卫服务补助资金</w:t>
      </w:r>
      <w:r>
        <w:rPr>
          <w:rFonts w:hint="eastAsia" w:ascii="方正仿宋_GBK" w:hAnsi="方正仿宋_GBK" w:eastAsia="方正仿宋_GBK" w:cs="方正仿宋_GBK"/>
          <w:sz w:val="32"/>
          <w:szCs w:val="32"/>
          <w:shd w:val="clear" w:color="auto" w:fill="FFFFFF"/>
        </w:rPr>
        <w:t>等项目来保障卫生事业的发展。</w:t>
      </w:r>
    </w:p>
    <w:p w14:paraId="06C0A579">
      <w:pPr>
        <w:pStyle w:val="6"/>
        <w:shd w:val="clear" w:color="auto" w:fill="FFFFFF"/>
        <w:spacing w:before="0" w:beforeAutospacing="0" w:after="0" w:afterAutospacing="0" w:line="560" w:lineRule="exact"/>
        <w:ind w:firstLine="643" w:firstLineChars="200"/>
        <w:jc w:val="both"/>
        <w:rPr>
          <w:rFonts w:ascii="方正仿宋_GBK" w:eastAsia="方正仿宋_GBK"/>
          <w:color w:val="FF0000"/>
          <w:sz w:val="32"/>
          <w:szCs w:val="32"/>
        </w:rPr>
      </w:pPr>
      <w:r>
        <w:rPr>
          <w:rFonts w:hint="eastAsia" w:ascii="方正仿宋_GBK" w:eastAsia="方正仿宋_GBK"/>
          <w:b/>
          <w:sz w:val="32"/>
          <w:szCs w:val="32"/>
        </w:rPr>
        <w:t>2.收入情况。</w:t>
      </w:r>
      <w:r>
        <w:rPr>
          <w:rFonts w:hint="eastAsia" w:ascii="方正仿宋_GBK" w:eastAsia="方正仿宋_GBK"/>
          <w:sz w:val="32"/>
          <w:szCs w:val="32"/>
        </w:rPr>
        <w:t>2020年度收入合计</w:t>
      </w:r>
      <w:r>
        <w:rPr>
          <w:rFonts w:ascii="方正仿宋_GBK" w:eastAsia="方正仿宋_GBK"/>
          <w:sz w:val="32"/>
          <w:szCs w:val="32"/>
        </w:rPr>
        <w:t>231352.21</w:t>
      </w:r>
      <w:r>
        <w:rPr>
          <w:rFonts w:hint="eastAsia" w:ascii="方正仿宋_GBK" w:eastAsia="方正仿宋_GBK"/>
          <w:sz w:val="32"/>
          <w:szCs w:val="32"/>
        </w:rPr>
        <w:t>万元，较上年决算数增加94966.21万元，增长69.63%，主要原因是</w:t>
      </w:r>
      <w:r>
        <w:rPr>
          <w:rFonts w:hint="eastAsia" w:ascii="方正仿宋_GBK" w:hAnsi="方正仿宋_GBK" w:eastAsia="方正仿宋_GBK" w:cs="方正仿宋_GBK"/>
          <w:sz w:val="32"/>
          <w:szCs w:val="32"/>
          <w:shd w:val="clear" w:color="auto" w:fill="FFFFFF"/>
        </w:rPr>
        <w:t>今年受疫情影响，新增了</w:t>
      </w:r>
      <w:r>
        <w:rPr>
          <w:rFonts w:ascii="方正仿宋_GBK" w:hAnsi="方正仿宋_GBK" w:eastAsia="方正仿宋_GBK" w:cs="方正仿宋_GBK"/>
          <w:sz w:val="32"/>
          <w:szCs w:val="32"/>
          <w:shd w:val="clear" w:color="auto" w:fill="FFFFFF"/>
        </w:rPr>
        <w:t>特别抗疫</w:t>
      </w:r>
      <w:r>
        <w:rPr>
          <w:rFonts w:hint="eastAsia" w:ascii="方正仿宋_GBK" w:hAnsi="方正仿宋_GBK" w:eastAsia="方正仿宋_GBK" w:cs="方正仿宋_GBK"/>
          <w:sz w:val="32"/>
          <w:szCs w:val="32"/>
          <w:shd w:val="clear" w:color="auto" w:fill="FFFFFF"/>
        </w:rPr>
        <w:t>国债、</w:t>
      </w:r>
      <w:r>
        <w:rPr>
          <w:rFonts w:ascii="方正仿宋_GBK" w:hAnsi="方正仿宋_GBK" w:eastAsia="方正仿宋_GBK" w:cs="方正仿宋_GBK"/>
          <w:sz w:val="32"/>
          <w:szCs w:val="32"/>
          <w:shd w:val="clear" w:color="auto" w:fill="FFFFFF"/>
        </w:rPr>
        <w:t>应急保障体系建设</w:t>
      </w:r>
      <w:r>
        <w:rPr>
          <w:rFonts w:hint="eastAsia" w:ascii="方正仿宋_GBK" w:hAnsi="方正仿宋_GBK" w:eastAsia="方正仿宋_GBK" w:cs="方正仿宋_GBK"/>
          <w:sz w:val="32"/>
          <w:szCs w:val="32"/>
          <w:shd w:val="clear" w:color="auto" w:fill="FFFFFF"/>
        </w:rPr>
        <w:t>资金、</w:t>
      </w:r>
      <w:r>
        <w:rPr>
          <w:rFonts w:ascii="方正仿宋_GBK" w:hAnsi="方正仿宋_GBK" w:eastAsia="方正仿宋_GBK" w:cs="方正仿宋_GBK"/>
          <w:sz w:val="32"/>
          <w:szCs w:val="32"/>
          <w:shd w:val="clear" w:color="auto" w:fill="FFFFFF"/>
        </w:rPr>
        <w:t>核酸检测等抗疫支出</w:t>
      </w:r>
      <w:r>
        <w:rPr>
          <w:rFonts w:hint="eastAsia" w:ascii="方正仿宋_GBK" w:hAnsi="方正仿宋_GBK" w:eastAsia="方正仿宋_GBK" w:cs="方正仿宋_GBK"/>
          <w:sz w:val="32"/>
          <w:szCs w:val="32"/>
          <w:shd w:val="clear" w:color="auto" w:fill="FFFFFF"/>
        </w:rPr>
        <w:t>、</w:t>
      </w:r>
      <w:r>
        <w:rPr>
          <w:rFonts w:ascii="方正仿宋_GBK" w:hAnsi="方正仿宋_GBK" w:eastAsia="方正仿宋_GBK" w:cs="方正仿宋_GBK"/>
          <w:sz w:val="32"/>
          <w:szCs w:val="32"/>
          <w:shd w:val="clear" w:color="auto" w:fill="FFFFFF"/>
        </w:rPr>
        <w:t>新冠病毒上级补助资金</w:t>
      </w:r>
      <w:r>
        <w:rPr>
          <w:rFonts w:hint="eastAsia" w:ascii="方正仿宋_GBK" w:hAnsi="方正仿宋_GBK" w:eastAsia="方正仿宋_GBK" w:cs="方正仿宋_GBK"/>
          <w:sz w:val="32"/>
          <w:szCs w:val="32"/>
          <w:shd w:val="clear" w:color="auto" w:fill="FFFFFF"/>
        </w:rPr>
        <w:t>、政府专项债、</w:t>
      </w:r>
      <w:r>
        <w:rPr>
          <w:rFonts w:ascii="方正仿宋_GBK" w:hAnsi="方正仿宋_GBK" w:eastAsia="方正仿宋_GBK" w:cs="方正仿宋_GBK"/>
          <w:sz w:val="32"/>
          <w:szCs w:val="32"/>
          <w:shd w:val="clear" w:color="auto" w:fill="FFFFFF"/>
        </w:rPr>
        <w:t>“智慧南岸”</w:t>
      </w:r>
      <w:r>
        <w:rPr>
          <w:rFonts w:hint="eastAsia" w:ascii="方正仿宋_GBK" w:hAnsi="方正仿宋_GBK" w:eastAsia="方正仿宋_GBK" w:cs="方正仿宋_GBK"/>
          <w:sz w:val="32"/>
          <w:szCs w:val="32"/>
          <w:shd w:val="clear" w:color="auto" w:fill="FFFFFF"/>
        </w:rPr>
        <w:t>项目、</w:t>
      </w:r>
      <w:r>
        <w:rPr>
          <w:rFonts w:ascii="方正仿宋_GBK" w:hAnsi="方正仿宋_GBK" w:eastAsia="方正仿宋_GBK" w:cs="方正仿宋_GBK"/>
          <w:sz w:val="32"/>
          <w:szCs w:val="32"/>
          <w:shd w:val="clear" w:color="auto" w:fill="FFFFFF"/>
        </w:rPr>
        <w:t>基本公卫服务补助资金</w:t>
      </w:r>
      <w:r>
        <w:rPr>
          <w:rFonts w:hint="eastAsia" w:ascii="方正仿宋_GBK" w:hAnsi="方正仿宋_GBK" w:eastAsia="方正仿宋_GBK" w:cs="方正仿宋_GBK"/>
          <w:sz w:val="32"/>
          <w:szCs w:val="32"/>
          <w:shd w:val="clear" w:color="auto" w:fill="FFFFFF"/>
        </w:rPr>
        <w:t>等项目资金</w:t>
      </w:r>
      <w:r>
        <w:rPr>
          <w:rFonts w:hint="eastAsia" w:ascii="方正仿宋_GBK" w:eastAsia="方正仿宋_GBK"/>
          <w:sz w:val="32"/>
          <w:szCs w:val="32"/>
        </w:rPr>
        <w:t>，以及其他收入增多，主要原因是接受了社会的捐赠。其中：财政拨款收入</w:t>
      </w:r>
      <w:r>
        <w:rPr>
          <w:rFonts w:ascii="方正仿宋_GBK" w:eastAsia="方正仿宋_GBK"/>
          <w:sz w:val="32"/>
          <w:szCs w:val="32"/>
        </w:rPr>
        <w:t>127707.53</w:t>
      </w:r>
      <w:r>
        <w:rPr>
          <w:rFonts w:hint="eastAsia" w:ascii="方正仿宋_GBK" w:eastAsia="方正仿宋_GBK"/>
          <w:sz w:val="32"/>
          <w:szCs w:val="32"/>
        </w:rPr>
        <w:t>万元，占55.20%；事业收入</w:t>
      </w:r>
      <w:r>
        <w:rPr>
          <w:rFonts w:ascii="方正仿宋_GBK" w:eastAsia="方正仿宋_GBK"/>
          <w:sz w:val="32"/>
          <w:szCs w:val="32"/>
        </w:rPr>
        <w:t>90618.13</w:t>
      </w:r>
      <w:r>
        <w:rPr>
          <w:rFonts w:hint="eastAsia" w:ascii="方正仿宋_GBK" w:eastAsia="方正仿宋_GBK"/>
          <w:sz w:val="32"/>
          <w:szCs w:val="32"/>
        </w:rPr>
        <w:t>万元，占39.17%；经营收入</w:t>
      </w:r>
      <w:r>
        <w:rPr>
          <w:rFonts w:ascii="方正仿宋_GBK" w:eastAsia="方正仿宋_GBK"/>
          <w:sz w:val="32"/>
          <w:szCs w:val="32"/>
        </w:rPr>
        <w:t>216.86</w:t>
      </w:r>
      <w:r>
        <w:rPr>
          <w:rFonts w:hint="eastAsia" w:ascii="方正仿宋_GBK" w:eastAsia="方正仿宋_GBK"/>
          <w:sz w:val="32"/>
          <w:szCs w:val="32"/>
        </w:rPr>
        <w:t>万元，占0.09%；其他收入</w:t>
      </w:r>
      <w:r>
        <w:rPr>
          <w:rFonts w:ascii="方正仿宋_GBK" w:eastAsia="方正仿宋_GBK"/>
          <w:sz w:val="32"/>
          <w:szCs w:val="32"/>
        </w:rPr>
        <w:t>12809.</w:t>
      </w:r>
      <w:r>
        <w:rPr>
          <w:rFonts w:hint="eastAsia" w:ascii="方正仿宋_GBK" w:eastAsia="方正仿宋_GBK"/>
          <w:sz w:val="32"/>
          <w:szCs w:val="32"/>
        </w:rPr>
        <w:t>69万元，占5.54%。此外，用事业基金弥补收支差额</w:t>
      </w:r>
      <w:r>
        <w:rPr>
          <w:rFonts w:ascii="方正仿宋_GBK" w:eastAsia="方正仿宋_GBK"/>
          <w:sz w:val="32"/>
          <w:szCs w:val="32"/>
        </w:rPr>
        <w:t>1817.31</w:t>
      </w:r>
      <w:r>
        <w:rPr>
          <w:rFonts w:hint="eastAsia" w:ascii="方正仿宋_GBK" w:eastAsia="方正仿宋_GBK"/>
          <w:sz w:val="32"/>
          <w:szCs w:val="32"/>
        </w:rPr>
        <w:t>万元，年初结转和结余</w:t>
      </w:r>
      <w:r>
        <w:rPr>
          <w:rFonts w:ascii="方正仿宋_GBK" w:eastAsia="方正仿宋_GBK"/>
          <w:sz w:val="32"/>
          <w:szCs w:val="32"/>
        </w:rPr>
        <w:t>8868.36</w:t>
      </w:r>
      <w:r>
        <w:rPr>
          <w:rFonts w:hint="eastAsia" w:ascii="方正仿宋_GBK" w:eastAsia="方正仿宋_GBK"/>
          <w:sz w:val="32"/>
          <w:szCs w:val="32"/>
        </w:rPr>
        <w:t>万元。</w:t>
      </w:r>
    </w:p>
    <w:p w14:paraId="2CC20AC1">
      <w:pPr>
        <w:pStyle w:val="6"/>
        <w:shd w:val="clear" w:color="auto" w:fill="FFFFFF"/>
        <w:spacing w:before="0" w:beforeAutospacing="0" w:after="0" w:afterAutospacing="0" w:line="560" w:lineRule="exact"/>
        <w:ind w:firstLine="643" w:firstLineChars="200"/>
        <w:jc w:val="both"/>
        <w:rPr>
          <w:rFonts w:ascii="方正仿宋_GBK" w:eastAsia="方正仿宋_GBK"/>
          <w:color w:val="FF0000"/>
          <w:sz w:val="32"/>
          <w:szCs w:val="32"/>
        </w:rPr>
      </w:pPr>
      <w:r>
        <w:rPr>
          <w:rFonts w:hint="eastAsia" w:ascii="方正仿宋_GBK" w:eastAsia="方正仿宋_GBK"/>
          <w:b/>
          <w:color w:val="000000" w:themeColor="text1"/>
          <w:sz w:val="32"/>
          <w:szCs w:val="32"/>
        </w:rPr>
        <w:t>3.支出情况。</w:t>
      </w:r>
      <w:r>
        <w:rPr>
          <w:rFonts w:hint="eastAsia" w:ascii="方正仿宋_GBK" w:eastAsia="方正仿宋_GBK"/>
          <w:color w:val="000000" w:themeColor="text1"/>
          <w:sz w:val="32"/>
          <w:szCs w:val="32"/>
        </w:rPr>
        <w:t>2020年度支出合计</w:t>
      </w:r>
      <w:r>
        <w:rPr>
          <w:rFonts w:ascii="方正仿宋_GBK" w:eastAsia="方正仿宋_GBK"/>
          <w:color w:val="000000" w:themeColor="text1"/>
          <w:sz w:val="32"/>
          <w:szCs w:val="32"/>
        </w:rPr>
        <w:t>218012.97</w:t>
      </w:r>
      <w:r>
        <w:rPr>
          <w:rFonts w:hint="eastAsia" w:ascii="方正仿宋_GBK" w:eastAsia="方正仿宋_GBK"/>
          <w:color w:val="000000" w:themeColor="text1"/>
          <w:sz w:val="32"/>
          <w:szCs w:val="32"/>
        </w:rPr>
        <w:t>万元，较上年决算数增加86247.35万元，增长65.46%，主要原因是</w:t>
      </w:r>
      <w:r>
        <w:rPr>
          <w:rFonts w:hint="eastAsia" w:ascii="方正仿宋_GBK" w:hAnsi="方正仿宋_GBK" w:eastAsia="方正仿宋_GBK" w:cs="方正仿宋_GBK"/>
          <w:color w:val="000000" w:themeColor="text1"/>
          <w:sz w:val="32"/>
          <w:szCs w:val="32"/>
          <w:shd w:val="clear" w:color="auto" w:fill="FFFFFF"/>
        </w:rPr>
        <w:t>今</w:t>
      </w:r>
      <w:r>
        <w:rPr>
          <w:rFonts w:hint="eastAsia" w:ascii="方正仿宋_GBK" w:hAnsi="方正仿宋_GBK" w:eastAsia="方正仿宋_GBK" w:cs="方正仿宋_GBK"/>
          <w:sz w:val="32"/>
          <w:szCs w:val="32"/>
          <w:shd w:val="clear" w:color="auto" w:fill="FFFFFF"/>
        </w:rPr>
        <w:t>年受疫情影响，新增了</w:t>
      </w:r>
      <w:r>
        <w:rPr>
          <w:rFonts w:ascii="方正仿宋_GBK" w:hAnsi="方正仿宋_GBK" w:eastAsia="方正仿宋_GBK" w:cs="方正仿宋_GBK"/>
          <w:sz w:val="32"/>
          <w:szCs w:val="32"/>
          <w:shd w:val="clear" w:color="auto" w:fill="FFFFFF"/>
        </w:rPr>
        <w:t>特别抗疫</w:t>
      </w:r>
      <w:r>
        <w:rPr>
          <w:rFonts w:hint="eastAsia" w:ascii="方正仿宋_GBK" w:hAnsi="方正仿宋_GBK" w:eastAsia="方正仿宋_GBK" w:cs="方正仿宋_GBK"/>
          <w:sz w:val="32"/>
          <w:szCs w:val="32"/>
          <w:shd w:val="clear" w:color="auto" w:fill="FFFFFF"/>
        </w:rPr>
        <w:t>国债支出、</w:t>
      </w:r>
      <w:r>
        <w:rPr>
          <w:rFonts w:ascii="方正仿宋_GBK" w:hAnsi="方正仿宋_GBK" w:eastAsia="方正仿宋_GBK" w:cs="方正仿宋_GBK"/>
          <w:sz w:val="32"/>
          <w:szCs w:val="32"/>
          <w:shd w:val="clear" w:color="auto" w:fill="FFFFFF"/>
        </w:rPr>
        <w:t>应急保障体系建设</w:t>
      </w:r>
      <w:r>
        <w:rPr>
          <w:rFonts w:hint="eastAsia" w:ascii="方正仿宋_GBK" w:hAnsi="方正仿宋_GBK" w:eastAsia="方正仿宋_GBK" w:cs="方正仿宋_GBK"/>
          <w:sz w:val="32"/>
          <w:szCs w:val="32"/>
          <w:shd w:val="clear" w:color="auto" w:fill="FFFFFF"/>
        </w:rPr>
        <w:t>资金支出、</w:t>
      </w:r>
      <w:r>
        <w:rPr>
          <w:rFonts w:ascii="方正仿宋_GBK" w:hAnsi="方正仿宋_GBK" w:eastAsia="方正仿宋_GBK" w:cs="方正仿宋_GBK"/>
          <w:sz w:val="32"/>
          <w:szCs w:val="32"/>
          <w:shd w:val="clear" w:color="auto" w:fill="FFFFFF"/>
        </w:rPr>
        <w:t>核酸检测等抗疫支出</w:t>
      </w:r>
      <w:r>
        <w:rPr>
          <w:rFonts w:hint="eastAsia" w:ascii="方正仿宋_GBK" w:hAnsi="方正仿宋_GBK" w:eastAsia="方正仿宋_GBK" w:cs="方正仿宋_GBK"/>
          <w:sz w:val="32"/>
          <w:szCs w:val="32"/>
          <w:shd w:val="clear" w:color="auto" w:fill="FFFFFF"/>
        </w:rPr>
        <w:t>、</w:t>
      </w:r>
      <w:r>
        <w:rPr>
          <w:rFonts w:ascii="方正仿宋_GBK" w:hAnsi="方正仿宋_GBK" w:eastAsia="方正仿宋_GBK" w:cs="方正仿宋_GBK"/>
          <w:sz w:val="32"/>
          <w:szCs w:val="32"/>
          <w:shd w:val="clear" w:color="auto" w:fill="FFFFFF"/>
        </w:rPr>
        <w:t>新冠病毒上级补助资金</w:t>
      </w:r>
      <w:r>
        <w:rPr>
          <w:rFonts w:hint="eastAsia" w:ascii="方正仿宋_GBK" w:hAnsi="方正仿宋_GBK" w:eastAsia="方正仿宋_GBK" w:cs="方正仿宋_GBK"/>
          <w:sz w:val="32"/>
          <w:szCs w:val="32"/>
          <w:shd w:val="clear" w:color="auto" w:fill="FFFFFF"/>
        </w:rPr>
        <w:t>支出、政府专项债支出、</w:t>
      </w:r>
      <w:r>
        <w:rPr>
          <w:rFonts w:ascii="方正仿宋_GBK" w:hAnsi="方正仿宋_GBK" w:eastAsia="方正仿宋_GBK" w:cs="方正仿宋_GBK"/>
          <w:sz w:val="32"/>
          <w:szCs w:val="32"/>
          <w:shd w:val="clear" w:color="auto" w:fill="FFFFFF"/>
        </w:rPr>
        <w:t>“智慧南岸”</w:t>
      </w:r>
      <w:r>
        <w:rPr>
          <w:rFonts w:hint="eastAsia" w:ascii="方正仿宋_GBK" w:hAnsi="方正仿宋_GBK" w:eastAsia="方正仿宋_GBK" w:cs="方正仿宋_GBK"/>
          <w:sz w:val="32"/>
          <w:szCs w:val="32"/>
          <w:shd w:val="clear" w:color="auto" w:fill="FFFFFF"/>
        </w:rPr>
        <w:t>项目支出、</w:t>
      </w:r>
      <w:r>
        <w:rPr>
          <w:rFonts w:ascii="方正仿宋_GBK" w:hAnsi="方正仿宋_GBK" w:eastAsia="方正仿宋_GBK" w:cs="方正仿宋_GBK"/>
          <w:sz w:val="32"/>
          <w:szCs w:val="32"/>
          <w:shd w:val="clear" w:color="auto" w:fill="FFFFFF"/>
        </w:rPr>
        <w:t>基本公卫服务补助资金</w:t>
      </w:r>
      <w:r>
        <w:rPr>
          <w:rFonts w:hint="eastAsia" w:ascii="方正仿宋_GBK" w:hAnsi="方正仿宋_GBK" w:eastAsia="方正仿宋_GBK" w:cs="方正仿宋_GBK"/>
          <w:sz w:val="32"/>
          <w:szCs w:val="32"/>
          <w:shd w:val="clear" w:color="auto" w:fill="FFFFFF"/>
        </w:rPr>
        <w:t>等项目支出</w:t>
      </w:r>
      <w:r>
        <w:rPr>
          <w:rFonts w:hint="eastAsia" w:ascii="方正仿宋_GBK" w:eastAsia="方正仿宋_GBK"/>
          <w:sz w:val="32"/>
          <w:szCs w:val="32"/>
        </w:rPr>
        <w:t>。其中：基本支出</w:t>
      </w:r>
      <w:r>
        <w:rPr>
          <w:rFonts w:ascii="方正仿宋_GBK" w:eastAsia="方正仿宋_GBK"/>
          <w:sz w:val="32"/>
          <w:szCs w:val="32"/>
        </w:rPr>
        <w:t>121543.68</w:t>
      </w:r>
      <w:r>
        <w:rPr>
          <w:rFonts w:hint="eastAsia" w:ascii="方正仿宋_GBK" w:eastAsia="方正仿宋_GBK"/>
          <w:sz w:val="32"/>
          <w:szCs w:val="32"/>
        </w:rPr>
        <w:t>万元，占55.75%；项目支出</w:t>
      </w:r>
      <w:r>
        <w:rPr>
          <w:rFonts w:ascii="方正仿宋_GBK" w:eastAsia="方正仿宋_GBK"/>
          <w:sz w:val="32"/>
          <w:szCs w:val="32"/>
        </w:rPr>
        <w:t>96411.81</w:t>
      </w:r>
      <w:r>
        <w:rPr>
          <w:rFonts w:hint="eastAsia" w:ascii="方正仿宋_GBK" w:eastAsia="方正仿宋_GBK"/>
          <w:sz w:val="32"/>
          <w:szCs w:val="32"/>
        </w:rPr>
        <w:t>万元，占44.22%；经营支出</w:t>
      </w:r>
      <w:r>
        <w:rPr>
          <w:rFonts w:ascii="方正仿宋_GBK" w:eastAsia="方正仿宋_GBK"/>
          <w:sz w:val="32"/>
          <w:szCs w:val="32"/>
        </w:rPr>
        <w:t>57.48</w:t>
      </w:r>
      <w:r>
        <w:rPr>
          <w:rFonts w:hint="eastAsia" w:ascii="方正仿宋_GBK" w:eastAsia="方正仿宋_GBK"/>
          <w:sz w:val="32"/>
          <w:szCs w:val="32"/>
        </w:rPr>
        <w:t>万元，占0.03%。此外，结余分配</w:t>
      </w:r>
      <w:r>
        <w:rPr>
          <w:rFonts w:ascii="方正仿宋_GBK" w:eastAsia="方正仿宋_GBK"/>
          <w:sz w:val="32"/>
          <w:szCs w:val="32"/>
        </w:rPr>
        <w:t>3229.05</w:t>
      </w:r>
      <w:r>
        <w:rPr>
          <w:rFonts w:hint="eastAsia" w:ascii="方正仿宋_GBK" w:eastAsia="方正仿宋_GBK"/>
          <w:sz w:val="32"/>
          <w:szCs w:val="32"/>
        </w:rPr>
        <w:t>万元。</w:t>
      </w:r>
    </w:p>
    <w:p w14:paraId="75D0940F">
      <w:pPr>
        <w:pStyle w:val="6"/>
        <w:shd w:val="clear" w:color="auto" w:fill="FFFFFF"/>
        <w:spacing w:before="0" w:beforeAutospacing="0" w:after="0" w:afterAutospacing="0" w:line="560" w:lineRule="exact"/>
        <w:ind w:firstLine="643" w:firstLineChars="200"/>
        <w:jc w:val="both"/>
        <w:rPr>
          <w:rFonts w:ascii="方正仿宋_GBK" w:eastAsia="方正仿宋_GBK"/>
          <w:sz w:val="32"/>
          <w:szCs w:val="32"/>
        </w:rPr>
      </w:pPr>
      <w:r>
        <w:rPr>
          <w:rFonts w:hint="eastAsia" w:ascii="方正仿宋_GBK" w:eastAsia="方正仿宋_GBK"/>
          <w:b/>
          <w:sz w:val="32"/>
          <w:szCs w:val="32"/>
        </w:rPr>
        <w:t>4.结转结余情况。</w:t>
      </w:r>
      <w:r>
        <w:rPr>
          <w:rFonts w:hint="eastAsia" w:ascii="方正仿宋_GBK" w:eastAsia="方正仿宋_GBK"/>
          <w:sz w:val="32"/>
          <w:szCs w:val="32"/>
        </w:rPr>
        <w:t>2020年度年末结转和结余</w:t>
      </w:r>
      <w:r>
        <w:rPr>
          <w:rFonts w:ascii="方正仿宋_GBK" w:eastAsia="方正仿宋_GBK"/>
          <w:sz w:val="32"/>
          <w:szCs w:val="32"/>
        </w:rPr>
        <w:t>20795.86</w:t>
      </w:r>
      <w:r>
        <w:rPr>
          <w:rFonts w:hint="eastAsia" w:ascii="方正仿宋_GBK" w:eastAsia="方正仿宋_GBK"/>
          <w:sz w:val="32"/>
          <w:szCs w:val="32"/>
        </w:rPr>
        <w:t>万元，较上年决算数增加11972.51万元，增长134.50%，主要原因是建设工程类的专项债资金按施工进度进行使用，工程还在进行中，故有结转。</w:t>
      </w:r>
    </w:p>
    <w:p w14:paraId="258C6498">
      <w:pPr>
        <w:pStyle w:val="6"/>
        <w:shd w:val="clear" w:color="auto" w:fill="FFFFFF"/>
        <w:spacing w:before="0" w:beforeAutospacing="0" w:after="0" w:afterAutospacing="0" w:line="560" w:lineRule="exact"/>
        <w:ind w:firstLine="643" w:firstLineChars="200"/>
        <w:jc w:val="both"/>
        <w:outlineLvl w:val="0"/>
        <w:rPr>
          <w:rStyle w:val="9"/>
        </w:rPr>
      </w:pPr>
      <w:r>
        <w:rPr>
          <w:rStyle w:val="9"/>
          <w:rFonts w:hint="eastAsia" w:ascii="方正仿宋_GBK" w:eastAsia="方正仿宋_GBK"/>
          <w:sz w:val="32"/>
          <w:szCs w:val="32"/>
        </w:rPr>
        <w:t>（二）财政拨款收入支出决算总体情况说明</w:t>
      </w:r>
    </w:p>
    <w:p w14:paraId="42EE51F6">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bCs/>
          <w:sz w:val="32"/>
          <w:szCs w:val="32"/>
        </w:rPr>
        <w:t>2020年度财政拨款收入总计</w:t>
      </w:r>
      <w:r>
        <w:rPr>
          <w:rFonts w:ascii="方正仿宋_GBK" w:eastAsia="方正仿宋_GBK"/>
          <w:bCs/>
          <w:sz w:val="32"/>
          <w:szCs w:val="32"/>
        </w:rPr>
        <w:t>135825.78</w:t>
      </w:r>
      <w:r>
        <w:rPr>
          <w:rFonts w:hint="eastAsia" w:ascii="方正仿宋_GBK" w:eastAsia="方正仿宋_GBK"/>
          <w:bCs/>
          <w:sz w:val="32"/>
          <w:szCs w:val="32"/>
        </w:rPr>
        <w:t>万元，支出总计135825.78万元。收支与2019 年相比增加87149.19万元，增加179.04%。</w:t>
      </w:r>
      <w:r>
        <w:rPr>
          <w:rFonts w:hint="eastAsia" w:ascii="方正仿宋_GBK" w:eastAsia="方正仿宋_GBK"/>
          <w:sz w:val="32"/>
          <w:szCs w:val="32"/>
        </w:rPr>
        <w:t>主要原因是2020年度财政拨款较2019年增加了</w:t>
      </w:r>
      <w:r>
        <w:rPr>
          <w:rFonts w:hint="eastAsia" w:ascii="仿宋_GB2312" w:hAnsi="仿宋" w:eastAsia="仿宋_GB2312"/>
          <w:sz w:val="32"/>
          <w:szCs w:val="32"/>
        </w:rPr>
        <w:t>政府专项债、特别抗疫国债、应急保障体系建设、核酸检测等抗疫支出、新冠病毒上级补助资金、“智慧南岸”项目资金、基本公共卫生项目资金增加部分。</w:t>
      </w:r>
    </w:p>
    <w:p w14:paraId="71898811">
      <w:pPr>
        <w:pStyle w:val="6"/>
        <w:shd w:val="clear" w:color="auto" w:fill="FFFFFF"/>
        <w:spacing w:before="0" w:beforeAutospacing="0" w:after="0" w:afterAutospacing="0" w:line="560" w:lineRule="exact"/>
        <w:ind w:firstLine="643" w:firstLineChars="200"/>
        <w:jc w:val="both"/>
        <w:outlineLvl w:val="0"/>
        <w:rPr>
          <w:rStyle w:val="9"/>
        </w:rPr>
      </w:pPr>
      <w:r>
        <w:rPr>
          <w:rStyle w:val="9"/>
          <w:rFonts w:hint="eastAsia" w:ascii="方正仿宋_GBK" w:eastAsia="方正仿宋_GBK"/>
          <w:sz w:val="32"/>
          <w:szCs w:val="32"/>
        </w:rPr>
        <w:t>（三）一般公共预算财政拨款支出决算情况说明</w:t>
      </w:r>
    </w:p>
    <w:p w14:paraId="5B0051A8">
      <w:pPr>
        <w:spacing w:line="520" w:lineRule="exact"/>
        <w:ind w:firstLine="643" w:firstLineChars="200"/>
        <w:rPr>
          <w:rFonts w:ascii="方正仿宋_GBK" w:eastAsia="方正仿宋_GBK"/>
          <w:color w:val="000000" w:themeColor="text1"/>
          <w:sz w:val="32"/>
          <w:szCs w:val="32"/>
        </w:rPr>
      </w:pPr>
      <w:r>
        <w:rPr>
          <w:rFonts w:hint="eastAsia" w:ascii="方正仿宋_GBK" w:eastAsia="方正仿宋_GBK"/>
          <w:b/>
          <w:color w:val="000000" w:themeColor="text1"/>
          <w:sz w:val="32"/>
          <w:szCs w:val="32"/>
        </w:rPr>
        <w:t>1.收入情况。</w:t>
      </w:r>
      <w:r>
        <w:rPr>
          <w:rFonts w:hint="eastAsia" w:ascii="方正仿宋_GBK" w:eastAsia="方正仿宋_GBK"/>
          <w:color w:val="000000" w:themeColor="text1"/>
          <w:sz w:val="32"/>
          <w:szCs w:val="32"/>
        </w:rPr>
        <w:t>2020年度一般公共预算财政拨款收入</w:t>
      </w:r>
      <w:r>
        <w:rPr>
          <w:rFonts w:ascii="方正仿宋_GBK" w:eastAsia="方正仿宋_GBK"/>
          <w:color w:val="000000" w:themeColor="text1"/>
          <w:sz w:val="32"/>
          <w:szCs w:val="32"/>
        </w:rPr>
        <w:t>55451.53</w:t>
      </w:r>
      <w:r>
        <w:rPr>
          <w:rFonts w:hint="eastAsia" w:ascii="方正仿宋_GBK" w:eastAsia="方正仿宋_GBK"/>
          <w:color w:val="000000" w:themeColor="text1"/>
          <w:sz w:val="32"/>
          <w:szCs w:val="32"/>
        </w:rPr>
        <w:t>万元，较上年决算数增加15737.17万元，增长39.63%。主要原因是今年增加了退休健康疗养提标部分、系统住房补贴、基本公卫补助资金、</w:t>
      </w:r>
      <w:r>
        <w:rPr>
          <w:rFonts w:hint="eastAsia" w:ascii="仿宋_GB2312" w:hAnsi="仿宋" w:eastAsia="仿宋_GB2312"/>
          <w:color w:val="000000" w:themeColor="text1"/>
          <w:sz w:val="32"/>
          <w:szCs w:val="32"/>
        </w:rPr>
        <w:t>应急保障体系建设、</w:t>
      </w:r>
      <w:r>
        <w:rPr>
          <w:rFonts w:hint="eastAsia" w:ascii="方正仿宋_GBK" w:eastAsia="方正仿宋_GBK"/>
          <w:color w:val="000000" w:themeColor="text1"/>
          <w:sz w:val="32"/>
          <w:szCs w:val="32"/>
        </w:rPr>
        <w:t>核酸检测，新冠病毒抗疫补助、医疗机构疫情减收补助项目。较年初预算数增加16259.92万元，增长41.49 %。主要原因是年中追加安排抗疫特别国债及新冠病毒补助资金6247万元，系统住房补贴3500万，重大传染病等体系建设644万，医疗服务能力提升建设649万，综合管理能力700万，基本公共卫生服务补助资金4519.92万。此外，年初财政拨款结转和结余</w:t>
      </w:r>
      <w:r>
        <w:rPr>
          <w:rFonts w:ascii="方正仿宋_GBK" w:eastAsia="方正仿宋_GBK"/>
          <w:color w:val="000000" w:themeColor="text1"/>
          <w:sz w:val="32"/>
          <w:szCs w:val="32"/>
        </w:rPr>
        <w:t>8118.25</w:t>
      </w:r>
      <w:r>
        <w:rPr>
          <w:rFonts w:hint="eastAsia" w:ascii="方正仿宋_GBK" w:eastAsia="方正仿宋_GBK"/>
          <w:color w:val="000000" w:themeColor="text1"/>
          <w:sz w:val="32"/>
          <w:szCs w:val="32"/>
        </w:rPr>
        <w:t>万元。</w:t>
      </w:r>
    </w:p>
    <w:p w14:paraId="6A437785">
      <w:pPr>
        <w:spacing w:line="520" w:lineRule="exact"/>
        <w:ind w:firstLine="643" w:firstLineChars="200"/>
        <w:rPr>
          <w:rFonts w:ascii="方正仿宋_GBK" w:eastAsia="方正仿宋_GBK"/>
          <w:color w:val="000000" w:themeColor="text1"/>
          <w:sz w:val="32"/>
          <w:szCs w:val="32"/>
        </w:rPr>
      </w:pPr>
      <w:r>
        <w:rPr>
          <w:rFonts w:hint="eastAsia" w:ascii="方正仿宋_GBK" w:eastAsia="方正仿宋_GBK"/>
          <w:b/>
          <w:color w:val="000000" w:themeColor="text1"/>
          <w:sz w:val="32"/>
          <w:szCs w:val="32"/>
        </w:rPr>
        <w:t>2.支出情况。</w:t>
      </w:r>
      <w:r>
        <w:rPr>
          <w:rFonts w:hint="eastAsia" w:ascii="方正仿宋_GBK" w:eastAsia="方正仿宋_GBK"/>
          <w:color w:val="000000" w:themeColor="text1"/>
          <w:sz w:val="32"/>
          <w:szCs w:val="32"/>
        </w:rPr>
        <w:t>2020年度一般公共预算财政拨款支出</w:t>
      </w:r>
      <w:r>
        <w:rPr>
          <w:rFonts w:ascii="方正仿宋_GBK" w:eastAsia="方正仿宋_GBK"/>
          <w:color w:val="000000" w:themeColor="text1"/>
          <w:sz w:val="32"/>
          <w:szCs w:val="32"/>
        </w:rPr>
        <w:t>57130.63</w:t>
      </w:r>
      <w:r>
        <w:rPr>
          <w:rFonts w:hint="eastAsia" w:ascii="方正仿宋_GBK" w:eastAsia="方正仿宋_GBK"/>
          <w:color w:val="000000" w:themeColor="text1"/>
          <w:sz w:val="32"/>
          <w:szCs w:val="32"/>
        </w:rPr>
        <w:t>万元，较上年决算数增加16575.75万元，增长40.87%。主要原因是今年支出增加了退休健康疗养提标部分、系统住房补贴、基本公卫补助资金、</w:t>
      </w:r>
      <w:r>
        <w:rPr>
          <w:rFonts w:hint="eastAsia" w:ascii="仿宋_GB2312" w:hAnsi="仿宋" w:eastAsia="仿宋_GB2312"/>
          <w:color w:val="000000" w:themeColor="text1"/>
          <w:sz w:val="32"/>
          <w:szCs w:val="32"/>
        </w:rPr>
        <w:t>应急保障体系建设、</w:t>
      </w:r>
      <w:r>
        <w:rPr>
          <w:rFonts w:hint="eastAsia" w:ascii="方正仿宋_GBK" w:eastAsia="方正仿宋_GBK"/>
          <w:color w:val="000000" w:themeColor="text1"/>
          <w:sz w:val="32"/>
          <w:szCs w:val="32"/>
        </w:rPr>
        <w:t>核酸检测，新冠病毒抗疫补助、医疗机构疫情减收补助项目。较年初预算数增加10278.14万元，增长21.94%。主要原因是年中追加安排抗疫特别国债及新冠病毒补助资金6247万元，系统住房补贴3500万，重大传染病等体系建设644万，医疗服务能力提升建设649万，综合管理能力700万，基本公共卫生服务补助资金4519.92万，收入增多支出相应增多。</w:t>
      </w:r>
    </w:p>
    <w:p w14:paraId="00887A50">
      <w:pPr>
        <w:pStyle w:val="6"/>
        <w:shd w:val="clear" w:color="auto" w:fill="FFFFFF"/>
        <w:spacing w:before="0" w:beforeAutospacing="0" w:after="0" w:afterAutospacing="0" w:line="560" w:lineRule="exact"/>
        <w:ind w:firstLine="643" w:firstLineChars="200"/>
        <w:jc w:val="both"/>
        <w:rPr>
          <w:rFonts w:ascii="方正仿宋_GBK" w:eastAsia="方正仿宋_GBK"/>
          <w:sz w:val="32"/>
          <w:szCs w:val="32"/>
        </w:rPr>
      </w:pPr>
      <w:r>
        <w:rPr>
          <w:rFonts w:hint="eastAsia" w:ascii="方正仿宋_GBK" w:eastAsia="方正仿宋_GBK"/>
          <w:b/>
          <w:sz w:val="32"/>
          <w:szCs w:val="32"/>
        </w:rPr>
        <w:t>3.结转结余情况。</w:t>
      </w:r>
      <w:r>
        <w:rPr>
          <w:rFonts w:hint="eastAsia" w:ascii="方正仿宋_GBK" w:eastAsia="方正仿宋_GBK"/>
          <w:sz w:val="32"/>
          <w:szCs w:val="32"/>
        </w:rPr>
        <w:t>2020年度年末一般公共预算财政拨款结转和结余</w:t>
      </w:r>
      <w:r>
        <w:rPr>
          <w:rFonts w:ascii="方正仿宋_GBK" w:eastAsia="方正仿宋_GBK"/>
          <w:sz w:val="32"/>
          <w:szCs w:val="32"/>
        </w:rPr>
        <w:t>6439.15</w:t>
      </w:r>
      <w:r>
        <w:rPr>
          <w:rFonts w:hint="eastAsia" w:ascii="方正仿宋_GBK" w:eastAsia="方正仿宋_GBK"/>
          <w:sz w:val="32"/>
          <w:szCs w:val="32"/>
        </w:rPr>
        <w:t>万元，较上年决算数减少1679.1万元，下降20.68%，主要原因是加快项目资金使用率以及用上年结转（余）资金弥补项目支出。</w:t>
      </w:r>
    </w:p>
    <w:p w14:paraId="022F46C3">
      <w:pPr>
        <w:pStyle w:val="6"/>
        <w:widowControl w:val="0"/>
        <w:shd w:val="clear" w:color="auto" w:fill="FFFFFF"/>
        <w:spacing w:before="0" w:beforeAutospacing="0" w:after="0" w:afterAutospacing="0" w:line="560" w:lineRule="exact"/>
        <w:ind w:firstLine="643" w:firstLineChars="200"/>
        <w:jc w:val="both"/>
        <w:rPr>
          <w:rFonts w:ascii="方正仿宋_GBK" w:eastAsia="方正仿宋_GBK"/>
          <w:sz w:val="32"/>
          <w:szCs w:val="32"/>
        </w:rPr>
      </w:pPr>
      <w:r>
        <w:rPr>
          <w:rFonts w:hint="eastAsia" w:ascii="方正仿宋_GBK" w:eastAsia="方正仿宋_GBK"/>
          <w:b/>
          <w:sz w:val="32"/>
          <w:szCs w:val="32"/>
        </w:rPr>
        <w:t>4.比较情况。</w:t>
      </w:r>
      <w:r>
        <w:rPr>
          <w:rFonts w:hint="eastAsia" w:ascii="方正仿宋_GBK" w:eastAsia="方正仿宋_GBK"/>
          <w:sz w:val="32"/>
          <w:szCs w:val="32"/>
        </w:rPr>
        <w:t>本部门2020年度一般公共预算财政拨款支出主要用于以下几个方面：</w:t>
      </w:r>
      <w:r>
        <w:rPr>
          <w:rFonts w:ascii="方正仿宋_GBK" w:eastAsia="方正仿宋_GBK"/>
          <w:sz w:val="32"/>
          <w:szCs w:val="32"/>
        </w:rPr>
        <w:t xml:space="preserve"> </w:t>
      </w:r>
    </w:p>
    <w:p w14:paraId="0AF64276">
      <w:pPr>
        <w:pStyle w:val="6"/>
        <w:shd w:val="clear" w:color="auto" w:fill="FFFFFF"/>
        <w:spacing w:before="0" w:beforeAutospacing="0" w:after="0" w:afterAutospacing="0" w:line="560" w:lineRule="exact"/>
        <w:ind w:firstLine="640" w:firstLineChars="200"/>
        <w:jc w:val="both"/>
        <w:rPr>
          <w:rFonts w:ascii="方正仿宋_GBK" w:eastAsia="方正仿宋_GBK"/>
          <w:color w:val="000000" w:themeColor="text1"/>
          <w:sz w:val="32"/>
          <w:szCs w:val="32"/>
        </w:rPr>
      </w:pPr>
      <w:r>
        <w:rPr>
          <w:rFonts w:hint="eastAsia" w:ascii="方正仿宋_GBK" w:eastAsia="方正仿宋_GBK"/>
          <w:sz w:val="32"/>
          <w:szCs w:val="32"/>
        </w:rPr>
        <w:t>（1）社会保障与就业支出</w:t>
      </w:r>
      <w:r>
        <w:rPr>
          <w:rFonts w:ascii="方正仿宋_GBK" w:eastAsia="方正仿宋_GBK"/>
          <w:sz w:val="32"/>
          <w:szCs w:val="32"/>
        </w:rPr>
        <w:t>2818.25</w:t>
      </w:r>
      <w:r>
        <w:rPr>
          <w:rFonts w:hint="eastAsia" w:ascii="方正仿宋_GBK" w:eastAsia="方正仿宋_GBK"/>
          <w:sz w:val="32"/>
          <w:szCs w:val="32"/>
        </w:rPr>
        <w:t>万元，占4.93%，较年初预算数减少2849.62万元，下降50.27%，主要原因是</w:t>
      </w:r>
      <w:r>
        <w:rPr>
          <w:rFonts w:hint="eastAsia" w:ascii="方正仿宋_GBK" w:eastAsia="方正仿宋_GBK"/>
          <w:color w:val="000000" w:themeColor="text1"/>
          <w:sz w:val="32"/>
          <w:szCs w:val="32"/>
        </w:rPr>
        <w:t>本年预算资金足够，未使用年初预算的上年结转资金。</w:t>
      </w:r>
    </w:p>
    <w:p w14:paraId="567B3DE7">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（2）卫生健康支出</w:t>
      </w:r>
      <w:r>
        <w:rPr>
          <w:rFonts w:ascii="方正仿宋_GBK" w:eastAsia="方正仿宋_GBK"/>
          <w:sz w:val="32"/>
          <w:szCs w:val="32"/>
        </w:rPr>
        <w:t>49080.52</w:t>
      </w:r>
      <w:r>
        <w:rPr>
          <w:rFonts w:hint="eastAsia" w:ascii="方正仿宋_GBK" w:eastAsia="方正仿宋_GBK"/>
          <w:sz w:val="32"/>
          <w:szCs w:val="32"/>
        </w:rPr>
        <w:t>万元，占85.91%，较年初预算数增加9522.85万元，增长24.07%，主要原因是疫情防控资金补助、抗疫特别国债及新冠病毒补助资金、重大传染病等体系建设、医疗服务能力提升建设、综合管理能力、基本公共卫生服务补助资金支出增加。</w:t>
      </w:r>
    </w:p>
    <w:p w14:paraId="447CE737">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（3）住房保障支出</w:t>
      </w:r>
      <w:r>
        <w:rPr>
          <w:rFonts w:ascii="方正仿宋_GBK" w:eastAsia="方正仿宋_GBK"/>
          <w:sz w:val="32"/>
          <w:szCs w:val="32"/>
        </w:rPr>
        <w:t>4297.06</w:t>
      </w:r>
      <w:r>
        <w:rPr>
          <w:rFonts w:hint="eastAsia" w:ascii="方正仿宋_GBK" w:eastAsia="方正仿宋_GBK"/>
          <w:sz w:val="32"/>
          <w:szCs w:val="32"/>
        </w:rPr>
        <w:t>万元，占7.52%，较年初预算数增加2739.31万元，增长175.85 %，主要原因是增加了系统住房补贴。</w:t>
      </w:r>
    </w:p>
    <w:p w14:paraId="1F05ACDD">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（4）粮油物资储备支出</w:t>
      </w:r>
      <w:r>
        <w:rPr>
          <w:rFonts w:ascii="方正仿宋_GBK" w:eastAsia="方正仿宋_GBK"/>
          <w:sz w:val="32"/>
          <w:szCs w:val="32"/>
        </w:rPr>
        <w:t>865.6</w:t>
      </w:r>
      <w:r>
        <w:rPr>
          <w:rFonts w:hint="eastAsia" w:ascii="方正仿宋_GBK" w:eastAsia="方正仿宋_GBK"/>
          <w:sz w:val="32"/>
          <w:szCs w:val="32"/>
        </w:rPr>
        <w:t>万元，占1.52%，较年初预算数增加865.6万元，主要原因是突发疫情，增加了医疗物资储备支出。</w:t>
      </w:r>
    </w:p>
    <w:p w14:paraId="7446B395">
      <w:pPr>
        <w:pStyle w:val="6"/>
        <w:widowControl w:val="0"/>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（5）其他支出69.2万元，占0.12%，与年初预算数一致，主要原因是市五院使用ppp项目以前年度结余资金。</w:t>
      </w:r>
    </w:p>
    <w:p w14:paraId="33038C3B">
      <w:pPr>
        <w:pStyle w:val="6"/>
        <w:widowControl w:val="0"/>
        <w:shd w:val="clear" w:color="auto" w:fill="FFFFFF"/>
        <w:spacing w:before="0" w:beforeAutospacing="0" w:after="0" w:afterAutospacing="0" w:line="56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（四）一般公共预算财政拨款基本支出决算情况说明</w:t>
      </w:r>
    </w:p>
    <w:p w14:paraId="03F7292B">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2020年度一般公共财政拨款基本支出</w:t>
      </w:r>
      <w:r>
        <w:rPr>
          <w:rFonts w:ascii="方正仿宋_GBK" w:eastAsia="方正仿宋_GBK"/>
          <w:sz w:val="32"/>
          <w:szCs w:val="32"/>
        </w:rPr>
        <w:t>22934.76</w:t>
      </w:r>
      <w:r>
        <w:rPr>
          <w:rFonts w:hint="eastAsia" w:ascii="方正仿宋_GBK" w:eastAsia="方正仿宋_GBK"/>
          <w:sz w:val="32"/>
          <w:szCs w:val="32"/>
        </w:rPr>
        <w:t>万元。其中：人员经费</w:t>
      </w:r>
      <w:r>
        <w:rPr>
          <w:rFonts w:ascii="方正仿宋_GBK" w:eastAsia="方正仿宋_GBK"/>
          <w:sz w:val="32"/>
          <w:szCs w:val="32"/>
        </w:rPr>
        <w:t>21271.55</w:t>
      </w:r>
      <w:r>
        <w:rPr>
          <w:rFonts w:hint="eastAsia" w:ascii="方正仿宋_GBK" w:eastAsia="方正仿宋_GBK"/>
          <w:sz w:val="32"/>
          <w:szCs w:val="32"/>
        </w:rPr>
        <w:t>万元，较上年决算数增加3654.72万元，增长2.06%，主要原因是退休人员健康休养费提标增加了支出。人员经费用途主要包括基本工资、津贴补贴、奖金、社会保障缴费、退休人员健康休养费等。公用经费</w:t>
      </w:r>
      <w:r>
        <w:rPr>
          <w:rFonts w:ascii="方正仿宋_GBK" w:eastAsia="方正仿宋_GBK"/>
          <w:sz w:val="32"/>
          <w:szCs w:val="32"/>
        </w:rPr>
        <w:t>1663.21</w:t>
      </w:r>
      <w:r>
        <w:rPr>
          <w:rFonts w:hint="eastAsia" w:ascii="方正仿宋_GBK" w:eastAsia="方正仿宋_GBK"/>
          <w:sz w:val="32"/>
          <w:szCs w:val="32"/>
        </w:rPr>
        <w:t>万元，较上年决算数减少269.29万元，下降 14.15%，主要原因是各单位管理费用更合理化。公用经费用途主要包括办公费、印刷费、咨询费、手续费、</w:t>
      </w:r>
      <w:r>
        <w:rPr>
          <w:rFonts w:ascii="方正仿宋_GBK" w:eastAsia="方正仿宋_GBK"/>
          <w:sz w:val="32"/>
          <w:szCs w:val="32"/>
        </w:rPr>
        <w:t xml:space="preserve"> 劳务费</w:t>
      </w:r>
      <w:r>
        <w:rPr>
          <w:rFonts w:hint="eastAsia" w:ascii="方正仿宋_GBK" w:eastAsia="方正仿宋_GBK"/>
          <w:sz w:val="32"/>
          <w:szCs w:val="32"/>
        </w:rPr>
        <w:t>等。</w:t>
      </w:r>
    </w:p>
    <w:p w14:paraId="6FF711FF">
      <w:pPr>
        <w:pStyle w:val="6"/>
        <w:shd w:val="clear" w:color="auto" w:fill="FFFFFF"/>
        <w:spacing w:before="0" w:beforeAutospacing="0" w:after="0" w:afterAutospacing="0" w:line="560" w:lineRule="exact"/>
        <w:ind w:firstLine="643" w:firstLineChars="200"/>
        <w:jc w:val="both"/>
        <w:outlineLvl w:val="0"/>
        <w:rPr>
          <w:rStyle w:val="9"/>
        </w:rPr>
      </w:pPr>
      <w:r>
        <w:rPr>
          <w:rStyle w:val="9"/>
          <w:rFonts w:hint="eastAsia" w:ascii="方正仿宋_GBK" w:eastAsia="方正仿宋_GBK"/>
          <w:sz w:val="32"/>
          <w:szCs w:val="32"/>
        </w:rPr>
        <w:t>（五）政府性基金预算收支决算情况说明</w:t>
      </w:r>
    </w:p>
    <w:p w14:paraId="5ED94F5B">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2020年度政府性基金预算财政拨款年初结转结余0万元，年末结转结余13889.92万元。本年收入72256万元，较上年决算数增加72252.54万元，主要原因是突发疫情，新增了防疫专项资金以及政府专项债券。本年支出</w:t>
      </w:r>
      <w:r>
        <w:rPr>
          <w:rFonts w:ascii="方正仿宋_GBK" w:eastAsia="方正仿宋_GBK"/>
          <w:sz w:val="32"/>
          <w:szCs w:val="32"/>
        </w:rPr>
        <w:t>58366.08</w:t>
      </w:r>
      <w:r>
        <w:rPr>
          <w:rFonts w:hint="eastAsia" w:ascii="方正仿宋_GBK" w:eastAsia="方正仿宋_GBK"/>
          <w:sz w:val="32"/>
          <w:szCs w:val="32"/>
        </w:rPr>
        <w:t>万元，较上年决算数增加58362.62万元，主要原因是突发疫情，增加了防疫专项支出，以及政府专项债券支出。</w:t>
      </w:r>
    </w:p>
    <w:p w14:paraId="18906BF2">
      <w:pPr>
        <w:pStyle w:val="6"/>
        <w:shd w:val="clear" w:color="auto" w:fill="FFFFFF"/>
        <w:spacing w:before="0" w:beforeAutospacing="0" w:after="0" w:afterAutospacing="0" w:line="560" w:lineRule="exact"/>
        <w:ind w:firstLine="643" w:firstLineChars="200"/>
        <w:jc w:val="both"/>
        <w:outlineLvl w:val="0"/>
        <w:rPr>
          <w:b/>
          <w:bCs/>
        </w:rPr>
      </w:pPr>
      <w:r>
        <w:rPr>
          <w:rStyle w:val="9"/>
          <w:rFonts w:hint="eastAsia" w:ascii="方正仿宋_GBK" w:eastAsia="方正仿宋_GBK"/>
          <w:sz w:val="32"/>
          <w:szCs w:val="32"/>
        </w:rPr>
        <w:t>（六）国有资本经营预算财政拨款支出决算情况说明</w:t>
      </w:r>
    </w:p>
    <w:p w14:paraId="616A68F1">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本部门2020年度无国有资本经营预算财政拨款支出。</w:t>
      </w:r>
    </w:p>
    <w:p w14:paraId="4D974463">
      <w:pPr>
        <w:pStyle w:val="6"/>
        <w:shd w:val="clear" w:color="auto" w:fill="FFFFFF"/>
        <w:spacing w:before="0" w:beforeAutospacing="0" w:after="0" w:afterAutospacing="0" w:line="560" w:lineRule="exact"/>
        <w:ind w:firstLine="640" w:firstLineChars="200"/>
        <w:jc w:val="both"/>
        <w:outlineLvl w:val="0"/>
        <w:rPr>
          <w:rStyle w:val="9"/>
          <w:rFonts w:ascii="方正黑体_GBK" w:eastAsia="方正黑体_GBK"/>
        </w:rPr>
      </w:pPr>
      <w:r>
        <w:rPr>
          <w:rStyle w:val="9"/>
          <w:rFonts w:hint="eastAsia" w:ascii="方正黑体_GBK" w:eastAsia="方正黑体_GBK"/>
          <w:b w:val="0"/>
          <w:sz w:val="32"/>
          <w:szCs w:val="32"/>
        </w:rPr>
        <w:t>三、“三公”经费情况说明</w:t>
      </w:r>
    </w:p>
    <w:p w14:paraId="205E0FFA">
      <w:pPr>
        <w:pStyle w:val="6"/>
        <w:shd w:val="clear" w:color="auto" w:fill="FFFFFF"/>
        <w:spacing w:before="0" w:beforeAutospacing="0" w:after="0" w:afterAutospacing="0" w:line="560" w:lineRule="exact"/>
        <w:ind w:firstLine="643" w:firstLineChars="200"/>
        <w:jc w:val="both"/>
        <w:outlineLvl w:val="1"/>
        <w:rPr>
          <w:rFonts w:ascii="方正仿宋_GBK" w:eastAsia="方正仿宋_GBK"/>
          <w:sz w:val="32"/>
          <w:szCs w:val="32"/>
        </w:rPr>
      </w:pPr>
      <w:r>
        <w:rPr>
          <w:rStyle w:val="9"/>
          <w:rFonts w:hint="eastAsia" w:ascii="方正仿宋_GBK" w:eastAsia="方正仿宋_GBK"/>
          <w:sz w:val="32"/>
          <w:szCs w:val="32"/>
        </w:rPr>
        <w:t>（一）“三公”经费支出总体情况说明。</w:t>
      </w:r>
    </w:p>
    <w:p w14:paraId="6319B00D">
      <w:pPr>
        <w:pStyle w:val="6"/>
        <w:widowControl w:val="0"/>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2020年度“三公”经费支出共计16.88万元，较年初预算数减少6.12万元，下降26.60%；较上年支出数减少0.48万元，下降2.76%，主要原因是一是认真贯彻落实中央八项规定精神，按照只减不增的要求从严控制“三公”经费，全年实际支出较预算和决算均有所下降。二是严格落实公车使用规定，公车运行维护成本大幅下降。三是强化公务接待支出管理，严格遵守公务接待开支范围和开支标准，严格控制陪餐人数，对应由接待对象承担的费用一律由接待对象自行支付，公务接待费大幅下降。</w:t>
      </w:r>
    </w:p>
    <w:p w14:paraId="0FFF8F92">
      <w:pPr>
        <w:pStyle w:val="6"/>
        <w:shd w:val="clear" w:color="auto" w:fill="FFFFFF"/>
        <w:spacing w:before="0" w:beforeAutospacing="0" w:after="0" w:afterAutospacing="0" w:line="560" w:lineRule="exact"/>
        <w:ind w:firstLine="643" w:firstLineChars="200"/>
        <w:jc w:val="both"/>
        <w:outlineLvl w:val="1"/>
        <w:rPr>
          <w:rFonts w:ascii="方正仿宋_GBK" w:eastAsia="方正仿宋_GBK"/>
          <w:sz w:val="32"/>
          <w:szCs w:val="32"/>
        </w:rPr>
      </w:pPr>
      <w:r>
        <w:rPr>
          <w:rStyle w:val="9"/>
          <w:rFonts w:hint="eastAsia" w:ascii="方正仿宋_GBK" w:eastAsia="方正仿宋_GBK"/>
          <w:sz w:val="32"/>
          <w:szCs w:val="32"/>
        </w:rPr>
        <w:t>（二）“三公”经费分项支出情况。</w:t>
      </w:r>
    </w:p>
    <w:p w14:paraId="264FEAB4">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2020年度本部门因公出国（境）费用0万元，</w:t>
      </w:r>
      <w:r>
        <w:rPr>
          <w:rFonts w:ascii="方正仿宋_GBK" w:eastAsia="方正仿宋_GBK"/>
          <w:sz w:val="32"/>
          <w:szCs w:val="32"/>
        </w:rPr>
        <w:t>与年初预算和上年支出数一致，无变动</w:t>
      </w:r>
      <w:r>
        <w:rPr>
          <w:rFonts w:hint="eastAsia" w:ascii="方正仿宋_GBK" w:eastAsia="方正仿宋_GBK"/>
          <w:sz w:val="32"/>
          <w:szCs w:val="32"/>
        </w:rPr>
        <w:t>。</w:t>
      </w:r>
    </w:p>
    <w:p w14:paraId="10B3F47B">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2020年度本部门公务车购置费用0万元，</w:t>
      </w:r>
      <w:r>
        <w:t>与</w:t>
      </w:r>
      <w:r>
        <w:rPr>
          <w:rFonts w:ascii="方正仿宋_GBK" w:eastAsia="方正仿宋_GBK"/>
          <w:sz w:val="32"/>
          <w:szCs w:val="32"/>
        </w:rPr>
        <w:t>年初预算和上年支出数一致，无变动</w:t>
      </w:r>
      <w:r>
        <w:rPr>
          <w:rFonts w:hint="eastAsia" w:ascii="方正仿宋_GBK" w:eastAsia="方正仿宋_GBK"/>
          <w:sz w:val="32"/>
          <w:szCs w:val="32"/>
        </w:rPr>
        <w:t>。</w:t>
      </w:r>
    </w:p>
    <w:p w14:paraId="42AF020B">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公务车运行维护费15.77万元，主要用于机要文件交换、市内因公出行、业务检查等工作所需车辆的燃料费、维修费、过桥过路费、保险费等。费用支出较年初预算数减少 3.23万元，下降17%，主要原因是市内举行的大型会议及检查活动减少，公务出行减少,费用相应减少。与上年支出数基本持平。</w:t>
      </w:r>
    </w:p>
    <w:p w14:paraId="702B92A3">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公务接待费1.11万元，主要用于接待接受相关部门检查指导工作发生的接待支出。费用支出较年初预算数减少 2.89万元，下降 72.25%，主要原因是检查指导活动减少，相应支出减少。与上年支出基本持平。</w:t>
      </w:r>
    </w:p>
    <w:p w14:paraId="0D3DDC71">
      <w:pPr>
        <w:pStyle w:val="6"/>
        <w:shd w:val="clear" w:color="auto" w:fill="FFFFFF"/>
        <w:spacing w:before="0" w:beforeAutospacing="0" w:after="0" w:afterAutospacing="0" w:line="560" w:lineRule="exact"/>
        <w:ind w:firstLine="643" w:firstLineChars="200"/>
        <w:jc w:val="both"/>
        <w:outlineLvl w:val="1"/>
        <w:rPr>
          <w:rFonts w:ascii="方正仿宋_GBK" w:eastAsia="方正仿宋_GBK"/>
          <w:sz w:val="32"/>
          <w:szCs w:val="32"/>
        </w:rPr>
      </w:pPr>
      <w:r>
        <w:rPr>
          <w:rStyle w:val="9"/>
          <w:rFonts w:hint="eastAsia" w:ascii="方正仿宋_GBK" w:eastAsia="方正仿宋_GBK"/>
          <w:sz w:val="32"/>
          <w:szCs w:val="32"/>
        </w:rPr>
        <w:t>（三）“三公”经费实物量情况。</w:t>
      </w:r>
    </w:p>
    <w:p w14:paraId="57EDD1BF">
      <w:pPr>
        <w:ind w:firstLine="640" w:firstLineChars="200"/>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2020</w:t>
      </w:r>
      <w:r>
        <w:rPr>
          <w:rFonts w:ascii="方正仿宋_GBK" w:hAnsi="方正仿宋_GBK" w:eastAsia="方正仿宋_GBK" w:cs="方正仿宋_GBK"/>
          <w:sz w:val="32"/>
          <w:szCs w:val="32"/>
          <w:shd w:val="clear" w:color="auto" w:fill="FFFFFF"/>
        </w:rPr>
        <w:t>年度本部门因公出国（境）共计</w:t>
      </w:r>
      <w:r>
        <w:rPr>
          <w:rFonts w:hint="eastAsia" w:ascii="方正仿宋_GBK" w:hAnsi="方正仿宋_GBK" w:eastAsia="方正仿宋_GBK" w:cs="方正仿宋_GBK"/>
          <w:sz w:val="32"/>
          <w:szCs w:val="32"/>
          <w:shd w:val="clear" w:color="auto" w:fill="FFFFFF"/>
        </w:rPr>
        <w:t>0</w:t>
      </w:r>
      <w:r>
        <w:rPr>
          <w:rFonts w:ascii="方正仿宋_GBK" w:hAnsi="方正仿宋_GBK" w:eastAsia="方正仿宋_GBK" w:cs="方正仿宋_GBK"/>
          <w:sz w:val="32"/>
          <w:szCs w:val="32"/>
          <w:shd w:val="clear" w:color="auto" w:fill="FFFFFF"/>
        </w:rPr>
        <w:t>个团组，</w:t>
      </w:r>
      <w:r>
        <w:rPr>
          <w:rFonts w:hint="eastAsia" w:ascii="方正仿宋_GBK" w:hAnsi="方正仿宋_GBK" w:eastAsia="方正仿宋_GBK" w:cs="方正仿宋_GBK"/>
          <w:sz w:val="32"/>
          <w:szCs w:val="32"/>
          <w:shd w:val="clear" w:color="auto" w:fill="FFFFFF"/>
        </w:rPr>
        <w:t>0</w:t>
      </w:r>
      <w:r>
        <w:rPr>
          <w:rFonts w:ascii="方正仿宋_GBK" w:hAnsi="方正仿宋_GBK" w:eastAsia="方正仿宋_GBK" w:cs="方正仿宋_GBK"/>
          <w:sz w:val="32"/>
          <w:szCs w:val="32"/>
          <w:shd w:val="clear" w:color="auto" w:fill="FFFFFF"/>
        </w:rPr>
        <w:t>人；公务用车购置</w:t>
      </w:r>
      <w:r>
        <w:rPr>
          <w:rFonts w:hint="eastAsia" w:ascii="方正仿宋_GBK" w:hAnsi="方正仿宋_GBK" w:eastAsia="方正仿宋_GBK" w:cs="方正仿宋_GBK"/>
          <w:sz w:val="32"/>
          <w:szCs w:val="32"/>
          <w:shd w:val="clear" w:color="auto" w:fill="FFFFFF"/>
        </w:rPr>
        <w:t>0</w:t>
      </w:r>
      <w:r>
        <w:rPr>
          <w:rFonts w:ascii="方正仿宋_GBK" w:hAnsi="方正仿宋_GBK" w:eastAsia="方正仿宋_GBK" w:cs="方正仿宋_GBK"/>
          <w:sz w:val="32"/>
          <w:szCs w:val="32"/>
          <w:shd w:val="clear" w:color="auto" w:fill="FFFFFF"/>
        </w:rPr>
        <w:t>辆，公务车保有量为</w:t>
      </w:r>
      <w:r>
        <w:rPr>
          <w:rFonts w:hint="eastAsia" w:ascii="方正仿宋_GBK" w:hAnsi="方正仿宋_GBK" w:eastAsia="方正仿宋_GBK" w:cs="方正仿宋_GBK"/>
          <w:sz w:val="32"/>
          <w:szCs w:val="32"/>
          <w:shd w:val="clear" w:color="auto" w:fill="FFFFFF"/>
        </w:rPr>
        <w:t>12</w:t>
      </w:r>
      <w:r>
        <w:rPr>
          <w:rFonts w:ascii="方正仿宋_GBK" w:hAnsi="方正仿宋_GBK" w:eastAsia="方正仿宋_GBK" w:cs="方正仿宋_GBK"/>
          <w:sz w:val="32"/>
          <w:szCs w:val="32"/>
          <w:shd w:val="clear" w:color="auto" w:fill="FFFFFF"/>
        </w:rPr>
        <w:t>辆；国内公务接待</w:t>
      </w:r>
      <w:r>
        <w:rPr>
          <w:rFonts w:hint="eastAsia" w:ascii="方正仿宋_GBK" w:hAnsi="方正仿宋_GBK" w:eastAsia="方正仿宋_GBK" w:cs="方正仿宋_GBK"/>
          <w:sz w:val="32"/>
          <w:szCs w:val="32"/>
          <w:shd w:val="clear" w:color="auto" w:fill="FFFFFF"/>
        </w:rPr>
        <w:t>10</w:t>
      </w:r>
      <w:r>
        <w:rPr>
          <w:rFonts w:ascii="方正仿宋_GBK" w:hAnsi="方正仿宋_GBK" w:eastAsia="方正仿宋_GBK" w:cs="方正仿宋_GBK"/>
          <w:sz w:val="32"/>
          <w:szCs w:val="32"/>
          <w:shd w:val="clear" w:color="auto" w:fill="FFFFFF"/>
        </w:rPr>
        <w:t>批次</w:t>
      </w:r>
      <w:r>
        <w:rPr>
          <w:rFonts w:hint="eastAsia" w:ascii="方正仿宋_GBK" w:hAnsi="方正仿宋_GBK" w:eastAsia="方正仿宋_GBK" w:cs="方正仿宋_GBK"/>
          <w:sz w:val="32"/>
          <w:szCs w:val="32"/>
          <w:shd w:val="clear" w:color="auto" w:fill="FFFFFF"/>
        </w:rPr>
        <w:t>103</w:t>
      </w:r>
      <w:r>
        <w:rPr>
          <w:rFonts w:ascii="方正仿宋_GBK" w:hAnsi="方正仿宋_GBK" w:eastAsia="方正仿宋_GBK" w:cs="方正仿宋_GBK"/>
          <w:sz w:val="32"/>
          <w:szCs w:val="32"/>
          <w:shd w:val="clear" w:color="auto" w:fill="FFFFFF"/>
        </w:rPr>
        <w:t>人，其中：国内外事接待</w:t>
      </w:r>
      <w:r>
        <w:rPr>
          <w:rFonts w:hint="eastAsia" w:ascii="方正仿宋_GBK" w:hAnsi="方正仿宋_GBK" w:eastAsia="方正仿宋_GBK" w:cs="方正仿宋_GBK"/>
          <w:sz w:val="32"/>
          <w:szCs w:val="32"/>
          <w:shd w:val="clear" w:color="auto" w:fill="FFFFFF"/>
        </w:rPr>
        <w:t>0</w:t>
      </w:r>
      <w:r>
        <w:rPr>
          <w:rFonts w:ascii="方正仿宋_GBK" w:hAnsi="方正仿宋_GBK" w:eastAsia="方正仿宋_GBK" w:cs="方正仿宋_GBK"/>
          <w:sz w:val="32"/>
          <w:szCs w:val="32"/>
          <w:shd w:val="clear" w:color="auto" w:fill="FFFFFF"/>
        </w:rPr>
        <w:t>批次，</w:t>
      </w:r>
      <w:r>
        <w:rPr>
          <w:rFonts w:hint="eastAsia" w:ascii="方正仿宋_GBK" w:hAnsi="方正仿宋_GBK" w:eastAsia="方正仿宋_GBK" w:cs="方正仿宋_GBK"/>
          <w:sz w:val="32"/>
          <w:szCs w:val="32"/>
          <w:shd w:val="clear" w:color="auto" w:fill="FFFFFF"/>
        </w:rPr>
        <w:t>0</w:t>
      </w:r>
      <w:r>
        <w:rPr>
          <w:rFonts w:ascii="方正仿宋_GBK" w:hAnsi="方正仿宋_GBK" w:eastAsia="方正仿宋_GBK" w:cs="方正仿宋_GBK"/>
          <w:sz w:val="32"/>
          <w:szCs w:val="32"/>
          <w:shd w:val="clear" w:color="auto" w:fill="FFFFFF"/>
        </w:rPr>
        <w:t>人；国（境）外公务接待</w:t>
      </w:r>
      <w:r>
        <w:rPr>
          <w:rFonts w:hint="eastAsia" w:ascii="方正仿宋_GBK" w:hAnsi="方正仿宋_GBK" w:eastAsia="方正仿宋_GBK" w:cs="方正仿宋_GBK"/>
          <w:sz w:val="32"/>
          <w:szCs w:val="32"/>
          <w:shd w:val="clear" w:color="auto" w:fill="FFFFFF"/>
        </w:rPr>
        <w:t>0</w:t>
      </w:r>
      <w:r>
        <w:rPr>
          <w:rFonts w:ascii="方正仿宋_GBK" w:hAnsi="方正仿宋_GBK" w:eastAsia="方正仿宋_GBK" w:cs="方正仿宋_GBK"/>
          <w:sz w:val="32"/>
          <w:szCs w:val="32"/>
          <w:shd w:val="clear" w:color="auto" w:fill="FFFFFF"/>
        </w:rPr>
        <w:t>批次，</w:t>
      </w:r>
      <w:r>
        <w:rPr>
          <w:rFonts w:hint="eastAsia" w:ascii="方正仿宋_GBK" w:hAnsi="方正仿宋_GBK" w:eastAsia="方正仿宋_GBK" w:cs="方正仿宋_GBK"/>
          <w:sz w:val="32"/>
          <w:szCs w:val="32"/>
          <w:shd w:val="clear" w:color="auto" w:fill="FFFFFF"/>
        </w:rPr>
        <w:t>0</w:t>
      </w:r>
      <w:r>
        <w:rPr>
          <w:rFonts w:ascii="方正仿宋_GBK" w:hAnsi="方正仿宋_GBK" w:eastAsia="方正仿宋_GBK" w:cs="方正仿宋_GBK"/>
          <w:sz w:val="32"/>
          <w:szCs w:val="32"/>
          <w:shd w:val="clear" w:color="auto" w:fill="FFFFFF"/>
        </w:rPr>
        <w:t>人。</w:t>
      </w:r>
      <w:r>
        <w:rPr>
          <w:rFonts w:hint="eastAsia" w:ascii="方正仿宋_GBK" w:hAnsi="方正仿宋_GBK" w:eastAsia="方正仿宋_GBK" w:cs="方正仿宋_GBK"/>
          <w:sz w:val="32"/>
          <w:szCs w:val="32"/>
          <w:shd w:val="clear" w:color="auto" w:fill="FFFFFF"/>
        </w:rPr>
        <w:t>2020</w:t>
      </w:r>
      <w:r>
        <w:rPr>
          <w:rFonts w:ascii="方正仿宋_GBK" w:hAnsi="方正仿宋_GBK" w:eastAsia="方正仿宋_GBK" w:cs="方正仿宋_GBK"/>
          <w:sz w:val="32"/>
          <w:szCs w:val="32"/>
          <w:shd w:val="clear" w:color="auto" w:fill="FFFFFF"/>
        </w:rPr>
        <w:t>年本部门人均接待费</w:t>
      </w:r>
      <w:r>
        <w:rPr>
          <w:rFonts w:hint="eastAsia" w:ascii="方正仿宋_GBK" w:hAnsi="方正仿宋_GBK" w:eastAsia="方正仿宋_GBK" w:cs="方正仿宋_GBK"/>
          <w:sz w:val="32"/>
          <w:szCs w:val="32"/>
          <w:shd w:val="clear" w:color="auto" w:fill="FFFFFF"/>
        </w:rPr>
        <w:t>107</w:t>
      </w:r>
      <w:r>
        <w:rPr>
          <w:rFonts w:ascii="方正仿宋_GBK" w:hAnsi="方正仿宋_GBK" w:eastAsia="方正仿宋_GBK" w:cs="方正仿宋_GBK"/>
          <w:sz w:val="32"/>
          <w:szCs w:val="32"/>
          <w:shd w:val="clear" w:color="auto" w:fill="FFFFFF"/>
        </w:rPr>
        <w:t>元，车均购置费</w:t>
      </w:r>
      <w:r>
        <w:rPr>
          <w:rFonts w:hint="eastAsia" w:ascii="方正仿宋_GBK" w:hAnsi="方正仿宋_GBK" w:eastAsia="方正仿宋_GBK" w:cs="方正仿宋_GBK"/>
          <w:sz w:val="32"/>
          <w:szCs w:val="32"/>
          <w:shd w:val="clear" w:color="auto" w:fill="FFFFFF"/>
        </w:rPr>
        <w:t>0</w:t>
      </w:r>
      <w:r>
        <w:rPr>
          <w:rFonts w:ascii="方正仿宋_GBK" w:hAnsi="方正仿宋_GBK" w:eastAsia="方正仿宋_GBK" w:cs="方正仿宋_GBK"/>
          <w:sz w:val="32"/>
          <w:szCs w:val="32"/>
          <w:shd w:val="clear" w:color="auto" w:fill="FFFFFF"/>
        </w:rPr>
        <w:t>万元，车均维护费</w:t>
      </w:r>
      <w:r>
        <w:rPr>
          <w:rFonts w:hint="eastAsia" w:ascii="方正仿宋_GBK" w:hAnsi="方正仿宋_GBK" w:eastAsia="方正仿宋_GBK" w:cs="方正仿宋_GBK"/>
          <w:sz w:val="32"/>
          <w:szCs w:val="32"/>
          <w:shd w:val="clear" w:color="auto" w:fill="FFFFFF"/>
        </w:rPr>
        <w:t>1.31</w:t>
      </w:r>
      <w:r>
        <w:rPr>
          <w:rFonts w:ascii="方正仿宋_GBK" w:hAnsi="方正仿宋_GBK" w:eastAsia="方正仿宋_GBK" w:cs="方正仿宋_GBK"/>
          <w:sz w:val="32"/>
          <w:szCs w:val="32"/>
          <w:shd w:val="clear" w:color="auto" w:fill="FFFFFF"/>
        </w:rPr>
        <w:t>万元</w:t>
      </w:r>
      <w:r>
        <w:rPr>
          <w:rFonts w:hint="eastAsia" w:ascii="方正仿宋_GBK" w:hAnsi="方正仿宋_GBK" w:eastAsia="方正仿宋_GBK" w:cs="方正仿宋_GBK"/>
          <w:sz w:val="32"/>
          <w:szCs w:val="32"/>
          <w:shd w:val="clear" w:color="auto" w:fill="FFFFFF"/>
        </w:rPr>
        <w:t>。</w:t>
      </w:r>
    </w:p>
    <w:p w14:paraId="268858BB">
      <w:pPr>
        <w:pStyle w:val="6"/>
        <w:shd w:val="clear" w:color="auto" w:fill="FFFFFF"/>
        <w:spacing w:before="0" w:beforeAutospacing="0" w:after="0" w:afterAutospacing="0" w:line="560" w:lineRule="exact"/>
        <w:ind w:firstLine="640" w:firstLineChars="200"/>
        <w:jc w:val="both"/>
        <w:outlineLvl w:val="0"/>
        <w:rPr>
          <w:rStyle w:val="9"/>
        </w:rPr>
      </w:pPr>
      <w:r>
        <w:rPr>
          <w:rStyle w:val="9"/>
          <w:rFonts w:hint="eastAsia" w:ascii="方正黑体_GBK" w:eastAsia="方正黑体_GBK"/>
          <w:b w:val="0"/>
          <w:sz w:val="32"/>
          <w:szCs w:val="32"/>
        </w:rPr>
        <w:t>四、其他需要说明的事项</w:t>
      </w:r>
    </w:p>
    <w:p w14:paraId="7DFDF73C">
      <w:pPr>
        <w:pStyle w:val="6"/>
        <w:widowControl w:val="0"/>
        <w:shd w:val="clear" w:color="auto" w:fill="FFFFFF"/>
        <w:spacing w:before="0" w:beforeAutospacing="0" w:after="0" w:afterAutospacing="0" w:line="56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（一）机关运行经费情况说明。</w:t>
      </w:r>
      <w:r>
        <w:rPr>
          <w:rFonts w:hint="eastAsia" w:ascii="方正仿宋_GBK" w:eastAsia="方正仿宋_GBK"/>
          <w:sz w:val="32"/>
          <w:szCs w:val="32"/>
        </w:rPr>
        <w:t>2020年度本部门机关运行经费支出606.22万元，机关运行经费主要用于主办公费、公务车运行维护费、信息网络购置更新费、</w:t>
      </w:r>
      <w:r>
        <w:rPr>
          <w:rFonts w:hint="eastAsia" w:ascii="方正仿宋_GBK" w:hAnsi="方正仿宋_GBK" w:eastAsia="方正仿宋_GBK" w:cs="方正仿宋_GBK"/>
          <w:sz w:val="32"/>
          <w:szCs w:val="32"/>
          <w:shd w:val="clear" w:color="auto" w:fill="FFFFFF"/>
        </w:rPr>
        <w:t>印刷费、水电费、邮电费、差旅费、培训费、公务接待费、劳务费、专用材料费、工会经费、物管费等</w:t>
      </w:r>
      <w:r>
        <w:rPr>
          <w:rFonts w:hint="eastAsia" w:ascii="方正仿宋_GBK" w:eastAsia="方正仿宋_GBK"/>
          <w:sz w:val="32"/>
          <w:szCs w:val="32"/>
        </w:rPr>
        <w:t>。机关运行经费较上年决算数增加214.27万元，增长54.66%，主要原因是今年新增疫情防控工作，工作量增加，各种印刷费、劳务费、专用材料费等支出相应增加。</w:t>
      </w:r>
    </w:p>
    <w:p w14:paraId="5C454BFE">
      <w:pPr>
        <w:pStyle w:val="6"/>
        <w:shd w:val="clear" w:color="auto" w:fill="FFFFFF"/>
        <w:spacing w:before="0" w:beforeAutospacing="0" w:after="0" w:afterAutospacing="0" w:line="560" w:lineRule="exact"/>
        <w:ind w:firstLine="640" w:firstLineChars="200"/>
        <w:jc w:val="both"/>
        <w:rPr>
          <w:rFonts w:ascii="方正仿宋_GBK" w:eastAsia="方正仿宋_GBK"/>
          <w:color w:val="000000" w:themeColor="text1"/>
          <w:sz w:val="32"/>
          <w:szCs w:val="32"/>
        </w:rPr>
      </w:pPr>
      <w:r>
        <w:rPr>
          <w:rFonts w:hint="eastAsia" w:ascii="方正仿宋_GBK" w:eastAsia="方正仿宋_GBK"/>
          <w:color w:val="000000" w:themeColor="text1"/>
          <w:sz w:val="32"/>
          <w:szCs w:val="32"/>
        </w:rPr>
        <w:t>其中：本年度会议费支出8.2万元，较上年决算数减少 9.07万元，减少52.51%，主要原因是今年取消众多会议，支出减少。本年度培训费支出178.65万元，较上年决算数减少 9.89万元，下降 5.24%，主要原因是相关业务培训活动减少，支出相应减少。</w:t>
      </w:r>
    </w:p>
    <w:p w14:paraId="1D7A920A">
      <w:pPr>
        <w:widowControl w:val="0"/>
        <w:spacing w:line="56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（二）国有资产占用情况说明。</w:t>
      </w:r>
      <w:r>
        <w:rPr>
          <w:rFonts w:hint="eastAsia" w:ascii="方正仿宋_GBK" w:eastAsia="方正仿宋_GBK"/>
          <w:sz w:val="32"/>
          <w:szCs w:val="32"/>
        </w:rPr>
        <w:t>截至2020年12月31日，本部门共有车辆60辆，其中，副部（省）级及以上领导用车0辆、主要领导干部用车3辆、机要通信用车7辆、应急保障用车24辆、执法执勤用车0辆，特种专业技术用车26辆，离退休干部用车0辆，其他用车0辆。单价50万元（含）以上通用设备34台（套），单价100万元（含）以上专用设备79台（套）。</w:t>
      </w:r>
    </w:p>
    <w:p w14:paraId="0CF257D6">
      <w:pPr>
        <w:pStyle w:val="6"/>
        <w:shd w:val="clear" w:color="auto" w:fill="FFFFFF"/>
        <w:spacing w:before="0" w:beforeAutospacing="0" w:after="0" w:afterAutospacing="0" w:line="560" w:lineRule="exact"/>
        <w:ind w:firstLine="643" w:firstLineChars="200"/>
        <w:jc w:val="both"/>
        <w:rPr>
          <w:rFonts w:ascii="方正仿宋_GBK" w:eastAsia="方正仿宋_GBK"/>
          <w:color w:val="000000" w:themeColor="text1"/>
          <w:sz w:val="32"/>
          <w:szCs w:val="32"/>
        </w:rPr>
      </w:pPr>
      <w:r>
        <w:rPr>
          <w:rStyle w:val="9"/>
          <w:rFonts w:hint="eastAsia" w:ascii="方正仿宋_GBK" w:eastAsia="方正仿宋_GBK"/>
          <w:color w:val="000000" w:themeColor="text1"/>
          <w:sz w:val="32"/>
          <w:szCs w:val="32"/>
        </w:rPr>
        <w:t>（三）政府采购支出情况说明。</w:t>
      </w:r>
      <w:r>
        <w:rPr>
          <w:rFonts w:hint="eastAsia" w:ascii="方正仿宋_GBK" w:eastAsia="方正仿宋_GBK"/>
          <w:color w:val="000000" w:themeColor="text1"/>
          <w:sz w:val="32"/>
          <w:szCs w:val="32"/>
        </w:rPr>
        <w:t>2020年度本部门政府采购支出总额</w:t>
      </w:r>
      <w:r>
        <w:rPr>
          <w:rFonts w:ascii="方正仿宋_GBK" w:eastAsia="方正仿宋_GBK"/>
          <w:color w:val="000000" w:themeColor="text1"/>
          <w:sz w:val="32"/>
          <w:szCs w:val="32"/>
        </w:rPr>
        <w:t>34226.61</w:t>
      </w:r>
      <w:r>
        <w:rPr>
          <w:rFonts w:hint="eastAsia" w:ascii="方正仿宋_GBK" w:eastAsia="方正仿宋_GBK"/>
          <w:color w:val="000000" w:themeColor="text1"/>
          <w:sz w:val="32"/>
          <w:szCs w:val="32"/>
        </w:rPr>
        <w:t>万元，其中：政府采购货物支出</w:t>
      </w:r>
      <w:r>
        <w:rPr>
          <w:rFonts w:ascii="方正仿宋_GBK" w:eastAsia="方正仿宋_GBK"/>
          <w:color w:val="000000" w:themeColor="text1"/>
          <w:sz w:val="32"/>
          <w:szCs w:val="32"/>
        </w:rPr>
        <w:t>12164.27</w:t>
      </w:r>
      <w:r>
        <w:rPr>
          <w:rFonts w:hint="eastAsia" w:ascii="方正仿宋_GBK" w:eastAsia="方正仿宋_GBK"/>
          <w:color w:val="000000" w:themeColor="text1"/>
          <w:sz w:val="32"/>
          <w:szCs w:val="32"/>
        </w:rPr>
        <w:t>万元、政府采购工程支出</w:t>
      </w:r>
      <w:r>
        <w:rPr>
          <w:rFonts w:ascii="方正仿宋_GBK" w:eastAsia="方正仿宋_GBK"/>
          <w:color w:val="000000" w:themeColor="text1"/>
          <w:sz w:val="32"/>
          <w:szCs w:val="32"/>
        </w:rPr>
        <w:t>19030.41</w:t>
      </w:r>
      <w:r>
        <w:rPr>
          <w:rFonts w:hint="eastAsia" w:ascii="方正仿宋_GBK" w:eastAsia="方正仿宋_GBK"/>
          <w:color w:val="000000" w:themeColor="text1"/>
          <w:sz w:val="32"/>
          <w:szCs w:val="32"/>
        </w:rPr>
        <w:t>万元、政府采购服务支出</w:t>
      </w:r>
      <w:r>
        <w:rPr>
          <w:rFonts w:ascii="方正仿宋_GBK" w:eastAsia="方正仿宋_GBK"/>
          <w:color w:val="000000" w:themeColor="text1"/>
          <w:sz w:val="32"/>
          <w:szCs w:val="32"/>
        </w:rPr>
        <w:t>3031.93</w:t>
      </w:r>
      <w:r>
        <w:rPr>
          <w:rFonts w:hint="eastAsia" w:ascii="方正仿宋_GBK" w:eastAsia="方正仿宋_GBK"/>
          <w:color w:val="000000" w:themeColor="text1"/>
          <w:sz w:val="32"/>
          <w:szCs w:val="32"/>
        </w:rPr>
        <w:t>万元。授予中小企业合同金额</w:t>
      </w:r>
      <w:r>
        <w:rPr>
          <w:rFonts w:ascii="方正仿宋_GBK" w:eastAsia="方正仿宋_GBK"/>
          <w:color w:val="000000" w:themeColor="text1"/>
          <w:sz w:val="32"/>
          <w:szCs w:val="32"/>
        </w:rPr>
        <w:t>23046.45</w:t>
      </w:r>
      <w:r>
        <w:rPr>
          <w:rFonts w:hint="eastAsia" w:ascii="方正仿宋_GBK" w:eastAsia="方正仿宋_GBK"/>
          <w:color w:val="000000" w:themeColor="text1"/>
          <w:sz w:val="32"/>
          <w:szCs w:val="32"/>
        </w:rPr>
        <w:t>万元，占政府采购支出总额的67.33%，其中：授予小微企业合同金额</w:t>
      </w:r>
      <w:r>
        <w:rPr>
          <w:rFonts w:ascii="方正仿宋_GBK" w:eastAsia="方正仿宋_GBK"/>
          <w:color w:val="000000" w:themeColor="text1"/>
          <w:sz w:val="32"/>
          <w:szCs w:val="32"/>
        </w:rPr>
        <w:t>13384.25</w:t>
      </w:r>
      <w:r>
        <w:rPr>
          <w:rFonts w:hint="eastAsia" w:ascii="方正仿宋_GBK" w:eastAsia="方正仿宋_GBK"/>
          <w:color w:val="000000" w:themeColor="text1"/>
          <w:sz w:val="32"/>
          <w:szCs w:val="32"/>
        </w:rPr>
        <w:t>万元，占政府采购支出总额的39.1%。主要用于采购主要用于采购医疗设备、办公设备、医学保洁服务、医用布类洗涤服务等。</w:t>
      </w:r>
    </w:p>
    <w:p w14:paraId="10DB5AE0">
      <w:pPr>
        <w:pStyle w:val="6"/>
        <w:shd w:val="clear" w:color="auto" w:fill="FFFFFF"/>
        <w:spacing w:before="0" w:beforeAutospacing="0" w:after="0" w:afterAutospacing="0" w:line="560" w:lineRule="exact"/>
        <w:ind w:firstLine="643" w:firstLineChars="200"/>
        <w:jc w:val="both"/>
        <w:outlineLvl w:val="0"/>
        <w:rPr>
          <w:rFonts w:ascii="方正仿宋_GBK" w:eastAsia="方正仿宋_GBK"/>
          <w:shd w:val="clear" w:color="auto" w:fill="FFFF00"/>
        </w:rPr>
      </w:pPr>
      <w:r>
        <w:rPr>
          <w:rStyle w:val="9"/>
          <w:rFonts w:hint="eastAsia" w:ascii="方正黑体_GBK" w:eastAsia="方正黑体_GBK"/>
          <w:sz w:val="32"/>
          <w:szCs w:val="32"/>
        </w:rPr>
        <w:t>五、预算绩效管理情况说明</w:t>
      </w:r>
    </w:p>
    <w:p w14:paraId="209B5A49">
      <w:pPr>
        <w:pStyle w:val="13"/>
        <w:tabs>
          <w:tab w:val="center" w:pos="4153"/>
          <w:tab w:val="left" w:pos="7275"/>
        </w:tabs>
        <w:spacing w:line="560" w:lineRule="exact"/>
        <w:ind w:firstLine="643"/>
        <w:rPr>
          <w:rFonts w:ascii="方正仿宋_GBK" w:hAnsi="宋体" w:eastAsia="方正仿宋_GBK" w:cs="宋体"/>
          <w:kern w:val="0"/>
          <w:sz w:val="32"/>
          <w:szCs w:val="32"/>
        </w:rPr>
      </w:pPr>
      <w:r>
        <w:rPr>
          <w:rFonts w:hint="eastAsia" w:ascii="方正仿宋_GBK" w:hAnsi="宋体" w:eastAsia="方正仿宋_GBK" w:cs="宋体"/>
          <w:b/>
          <w:kern w:val="0"/>
          <w:sz w:val="32"/>
          <w:szCs w:val="32"/>
        </w:rPr>
        <w:t>（一）预算绩效管理工作开展情况</w:t>
      </w:r>
    </w:p>
    <w:p w14:paraId="51AAACD0">
      <w:pPr>
        <w:pStyle w:val="13"/>
        <w:tabs>
          <w:tab w:val="center" w:pos="4153"/>
          <w:tab w:val="left" w:pos="7275"/>
        </w:tabs>
        <w:spacing w:line="560" w:lineRule="exact"/>
        <w:ind w:firstLine="640"/>
        <w:rPr>
          <w:rFonts w:ascii="仿宋" w:hAnsi="仿宋" w:eastAsia="仿宋"/>
          <w:sz w:val="32"/>
          <w:szCs w:val="32"/>
        </w:rPr>
      </w:pPr>
      <w:r>
        <w:rPr>
          <w:rFonts w:hint="eastAsia" w:ascii="方正仿宋_GBK" w:hAnsi="宋体" w:eastAsia="方正仿宋_GBK" w:cs="宋体"/>
          <w:kern w:val="0"/>
          <w:sz w:val="32"/>
          <w:szCs w:val="32"/>
        </w:rPr>
        <w:t>根据预算绩效管理要求，本部门对36个项目开展了绩效自评，其中，以填报目标自评表形式开展自评32项，涉及资金30408.9万元；以委托第三方形式开展绩效自评4项，涉及资金11118.66万元。从评价情况来看，资金到位41527.56万元，资金到位率100%；资金执行38872.83万元，资金执行率93.61%；资金结余2654.73万元，结余资金是“南岸健康、智慧医疗”等项目由于疫情原因，实施进度较慢，</w:t>
      </w:r>
      <w:r>
        <w:rPr>
          <w:rFonts w:hint="eastAsia" w:ascii="仿宋" w:hAnsi="仿宋" w:eastAsia="仿宋"/>
          <w:sz w:val="32"/>
          <w:szCs w:val="32"/>
        </w:rPr>
        <w:t>故有结余。</w:t>
      </w:r>
    </w:p>
    <w:p w14:paraId="05232C77">
      <w:pPr>
        <w:pStyle w:val="13"/>
        <w:tabs>
          <w:tab w:val="center" w:pos="4153"/>
          <w:tab w:val="left" w:pos="7275"/>
        </w:tabs>
        <w:spacing w:line="560" w:lineRule="exact"/>
        <w:ind w:firstLine="640"/>
        <w:rPr>
          <w:rFonts w:ascii="方正仿宋_GBK" w:hAnsi="宋体" w:eastAsia="方正仿宋_GBK" w:cs="宋体"/>
          <w:color w:val="FF0000"/>
          <w:kern w:val="0"/>
          <w:sz w:val="32"/>
          <w:szCs w:val="32"/>
        </w:rPr>
      </w:pPr>
      <w:r>
        <w:rPr>
          <w:rFonts w:hint="eastAsia" w:ascii="方正仿宋_GBK" w:hAnsi="方正仿宋_GBK" w:eastAsia="方正仿宋_GBK" w:cs="方正仿宋_GBK"/>
          <w:sz w:val="32"/>
          <w:szCs w:val="32"/>
        </w:rPr>
        <w:t>完成情况分析：集中隔离点医学观察6375人；防疫物资储备总数量(个/瓶/套）582249；发放计划生育特别扶助5044人次；参加青春健康进校园活动人数2400人；突发公共卫生事件报告及时率100%；适龄儿童国家免疫规划疫苗接种率≥97%；卫生健康监督协管信息报告率100%等。基本完成预算</w:t>
      </w:r>
      <w:r>
        <w:rPr>
          <w:rFonts w:hint="eastAsia" w:ascii="方正仿宋_GBK" w:hAnsi="宋体" w:eastAsia="方正仿宋_GBK" w:cs="宋体"/>
          <w:kern w:val="0"/>
          <w:sz w:val="32"/>
          <w:szCs w:val="32"/>
        </w:rPr>
        <w:t>绩效管理的各项指标要求。</w:t>
      </w:r>
    </w:p>
    <w:p w14:paraId="111ACE02">
      <w:pPr>
        <w:pStyle w:val="13"/>
        <w:tabs>
          <w:tab w:val="center" w:pos="4153"/>
          <w:tab w:val="left" w:pos="7275"/>
        </w:tabs>
        <w:spacing w:line="560" w:lineRule="exact"/>
        <w:ind w:firstLine="643"/>
        <w:rPr>
          <w:rFonts w:ascii="方正仿宋_GBK" w:hAnsi="宋体" w:eastAsia="方正仿宋_GBK" w:cs="宋体"/>
          <w:b/>
          <w:kern w:val="0"/>
          <w:sz w:val="32"/>
          <w:szCs w:val="32"/>
        </w:rPr>
      </w:pPr>
      <w:r>
        <w:rPr>
          <w:rFonts w:hint="eastAsia" w:ascii="方正仿宋_GBK" w:hAnsi="宋体" w:eastAsia="方正仿宋_GBK" w:cs="宋体"/>
          <w:b/>
          <w:kern w:val="0"/>
          <w:sz w:val="32"/>
          <w:szCs w:val="32"/>
        </w:rPr>
        <w:t>（二）绩效自评结果</w:t>
      </w:r>
    </w:p>
    <w:p w14:paraId="16A5188D">
      <w:pPr>
        <w:pStyle w:val="13"/>
        <w:tabs>
          <w:tab w:val="center" w:pos="4153"/>
          <w:tab w:val="left" w:pos="7275"/>
        </w:tabs>
        <w:spacing w:line="560" w:lineRule="exact"/>
        <w:ind w:firstLine="643"/>
        <w:rPr>
          <w:rFonts w:ascii="方正仿宋_GBK" w:eastAsia="方正仿宋_GBK"/>
          <w:b/>
          <w:bCs/>
          <w:color w:val="FF0000"/>
          <w:sz w:val="32"/>
          <w:szCs w:val="32"/>
        </w:rPr>
      </w:pPr>
      <w:r>
        <w:rPr>
          <w:rFonts w:hint="eastAsia" w:ascii="方正仿宋_GBK" w:hAnsi="宋体" w:eastAsia="方正仿宋_GBK" w:cs="宋体"/>
          <w:b/>
          <w:kern w:val="0"/>
          <w:sz w:val="32"/>
          <w:szCs w:val="32"/>
        </w:rPr>
        <w:t>1.绩效自评表</w:t>
      </w:r>
    </w:p>
    <w:tbl>
      <w:tblPr>
        <w:tblStyle w:val="7"/>
        <w:tblW w:w="8500" w:type="dxa"/>
        <w:tblInd w:w="108" w:type="dxa"/>
        <w:tblLayout w:type="fixed"/>
        <w:tblCellMar>
          <w:top w:w="0" w:type="dxa"/>
          <w:left w:w="108" w:type="dxa"/>
          <w:bottom w:w="0" w:type="dxa"/>
          <w:right w:w="108" w:type="dxa"/>
        </w:tblCellMar>
      </w:tblPr>
      <w:tblGrid>
        <w:gridCol w:w="1030"/>
        <w:gridCol w:w="955"/>
        <w:gridCol w:w="472"/>
        <w:gridCol w:w="623"/>
        <w:gridCol w:w="616"/>
        <w:gridCol w:w="616"/>
        <w:gridCol w:w="832"/>
        <w:gridCol w:w="784"/>
        <w:gridCol w:w="832"/>
        <w:gridCol w:w="832"/>
        <w:gridCol w:w="908"/>
      </w:tblGrid>
      <w:tr w14:paraId="222C03B2">
        <w:tblPrEx>
          <w:tblCellMar>
            <w:top w:w="0" w:type="dxa"/>
            <w:left w:w="108" w:type="dxa"/>
            <w:bottom w:w="0" w:type="dxa"/>
            <w:right w:w="108" w:type="dxa"/>
          </w:tblCellMar>
        </w:tblPrEx>
        <w:trPr>
          <w:trHeight w:val="601" w:hRule="atLeast"/>
        </w:trPr>
        <w:tc>
          <w:tcPr>
            <w:tcW w:w="8500" w:type="dxa"/>
            <w:gridSpan w:val="11"/>
            <w:tcBorders>
              <w:top w:val="nil"/>
              <w:left w:val="nil"/>
              <w:bottom w:val="nil"/>
              <w:right w:val="nil"/>
            </w:tcBorders>
            <w:shd w:val="clear" w:color="auto" w:fill="auto"/>
            <w:vAlign w:val="center"/>
          </w:tcPr>
          <w:p w14:paraId="5B96C67A">
            <w:pPr>
              <w:autoSpaceDN w:val="0"/>
              <w:rPr>
                <w:rFonts w:ascii="方正小标宋_GBK" w:hAnsi="Calibri" w:eastAsia="方正小标宋_GBK"/>
                <w:color w:val="000000"/>
                <w:sz w:val="36"/>
                <w:szCs w:val="36"/>
              </w:rPr>
            </w:pPr>
          </w:p>
          <w:p w14:paraId="40F4AAC3">
            <w:pPr>
              <w:autoSpaceDN w:val="0"/>
              <w:jc w:val="center"/>
              <w:rPr>
                <w:rFonts w:ascii="方正小标宋_GBK" w:hAnsi="Calibri" w:eastAsia="方正小标宋_GBK"/>
                <w:color w:val="000000"/>
                <w:sz w:val="36"/>
                <w:szCs w:val="36"/>
              </w:rPr>
            </w:pPr>
            <w:r>
              <w:rPr>
                <w:rFonts w:hint="eastAsia" w:ascii="方正小标宋_GBK" w:eastAsia="方正小标宋_GBK"/>
                <w:color w:val="000000"/>
                <w:sz w:val="36"/>
                <w:szCs w:val="36"/>
              </w:rPr>
              <w:t>一级项目绩效自评表样</w:t>
            </w:r>
          </w:p>
        </w:tc>
      </w:tr>
      <w:tr w14:paraId="735D79FE">
        <w:tblPrEx>
          <w:tblCellMar>
            <w:top w:w="0" w:type="dxa"/>
            <w:left w:w="108" w:type="dxa"/>
            <w:bottom w:w="0" w:type="dxa"/>
            <w:right w:w="108" w:type="dxa"/>
          </w:tblCellMar>
        </w:tblPrEx>
        <w:trPr>
          <w:trHeight w:val="601" w:hRule="atLeast"/>
        </w:trPr>
        <w:tc>
          <w:tcPr>
            <w:tcW w:w="1030" w:type="dxa"/>
            <w:tcBorders>
              <w:top w:val="single" w:color="auto" w:sz="4" w:space="0"/>
              <w:left w:val="single" w:color="auto" w:sz="4" w:space="0"/>
              <w:bottom w:val="single" w:color="auto" w:sz="4" w:space="0"/>
              <w:right w:val="single" w:color="auto" w:sz="4" w:space="0"/>
            </w:tcBorders>
            <w:shd w:val="clear" w:color="auto" w:fill="auto"/>
            <w:vAlign w:val="center"/>
          </w:tcPr>
          <w:p w14:paraId="12405B19">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项目名称</w:t>
            </w:r>
          </w:p>
        </w:tc>
        <w:tc>
          <w:tcPr>
            <w:tcW w:w="1427" w:type="dxa"/>
            <w:gridSpan w:val="2"/>
            <w:tcBorders>
              <w:top w:val="single" w:color="auto" w:sz="4" w:space="0"/>
              <w:left w:val="nil"/>
              <w:bottom w:val="single" w:color="auto" w:sz="4" w:space="0"/>
              <w:right w:val="single" w:color="000000" w:sz="4" w:space="0"/>
            </w:tcBorders>
            <w:shd w:val="clear" w:color="auto" w:fill="auto"/>
            <w:vAlign w:val="center"/>
          </w:tcPr>
          <w:p w14:paraId="0996702F">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计划生育特殊家庭住院护理保险　</w:t>
            </w:r>
          </w:p>
        </w:tc>
        <w:tc>
          <w:tcPr>
            <w:tcW w:w="623" w:type="dxa"/>
            <w:tcBorders>
              <w:top w:val="single" w:color="auto" w:sz="4" w:space="0"/>
              <w:left w:val="nil"/>
              <w:bottom w:val="single" w:color="auto" w:sz="4" w:space="0"/>
              <w:right w:val="single" w:color="auto" w:sz="4" w:space="0"/>
            </w:tcBorders>
            <w:shd w:val="clear" w:color="auto" w:fill="auto"/>
            <w:vAlign w:val="center"/>
          </w:tcPr>
          <w:p w14:paraId="5316E480">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项目编码</w:t>
            </w:r>
          </w:p>
        </w:tc>
        <w:tc>
          <w:tcPr>
            <w:tcW w:w="1232" w:type="dxa"/>
            <w:gridSpan w:val="2"/>
            <w:tcBorders>
              <w:top w:val="single" w:color="auto" w:sz="4" w:space="0"/>
              <w:left w:val="nil"/>
              <w:bottom w:val="single" w:color="auto" w:sz="4" w:space="0"/>
              <w:right w:val="single" w:color="000000" w:sz="4" w:space="0"/>
            </w:tcBorders>
            <w:shd w:val="clear" w:color="auto" w:fill="auto"/>
            <w:vAlign w:val="center"/>
          </w:tcPr>
          <w:p w14:paraId="0A54865B">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2020A1047　</w:t>
            </w:r>
          </w:p>
        </w:tc>
        <w:tc>
          <w:tcPr>
            <w:tcW w:w="832" w:type="dxa"/>
            <w:tcBorders>
              <w:top w:val="single" w:color="auto" w:sz="4" w:space="0"/>
              <w:left w:val="nil"/>
              <w:bottom w:val="single" w:color="auto" w:sz="4" w:space="0"/>
              <w:right w:val="single" w:color="auto" w:sz="4" w:space="0"/>
            </w:tcBorders>
            <w:shd w:val="clear" w:color="auto" w:fill="auto"/>
            <w:vAlign w:val="center"/>
          </w:tcPr>
          <w:p w14:paraId="5DDC7E94">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自评总分</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c>
          <w:tcPr>
            <w:tcW w:w="3356" w:type="dxa"/>
            <w:gridSpan w:val="4"/>
            <w:tcBorders>
              <w:top w:val="single" w:color="auto" w:sz="4" w:space="0"/>
              <w:left w:val="nil"/>
              <w:bottom w:val="single" w:color="auto" w:sz="4" w:space="0"/>
              <w:right w:val="single" w:color="000000" w:sz="4" w:space="0"/>
            </w:tcBorders>
            <w:shd w:val="clear" w:color="auto" w:fill="auto"/>
            <w:vAlign w:val="center"/>
          </w:tcPr>
          <w:p w14:paraId="7589541F">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98　</w:t>
            </w:r>
          </w:p>
        </w:tc>
      </w:tr>
      <w:tr w14:paraId="33EEF6C1">
        <w:tblPrEx>
          <w:tblCellMar>
            <w:top w:w="0" w:type="dxa"/>
            <w:left w:w="108" w:type="dxa"/>
            <w:bottom w:w="0" w:type="dxa"/>
            <w:right w:w="108" w:type="dxa"/>
          </w:tblCellMar>
        </w:tblPrEx>
        <w:trPr>
          <w:trHeight w:val="601" w:hRule="atLeast"/>
        </w:trPr>
        <w:tc>
          <w:tcPr>
            <w:tcW w:w="1030" w:type="dxa"/>
            <w:tcBorders>
              <w:top w:val="nil"/>
              <w:left w:val="single" w:color="auto" w:sz="4" w:space="0"/>
              <w:bottom w:val="single" w:color="auto" w:sz="4" w:space="0"/>
              <w:right w:val="single" w:color="auto" w:sz="4" w:space="0"/>
            </w:tcBorders>
            <w:shd w:val="clear" w:color="auto" w:fill="auto"/>
            <w:vAlign w:val="center"/>
          </w:tcPr>
          <w:p w14:paraId="55A8BCD2">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主管部门</w:t>
            </w:r>
          </w:p>
        </w:tc>
        <w:tc>
          <w:tcPr>
            <w:tcW w:w="1427" w:type="dxa"/>
            <w:gridSpan w:val="2"/>
            <w:tcBorders>
              <w:top w:val="single" w:color="auto" w:sz="4" w:space="0"/>
              <w:left w:val="nil"/>
              <w:bottom w:val="single" w:color="auto" w:sz="4" w:space="0"/>
              <w:right w:val="single" w:color="000000" w:sz="4" w:space="0"/>
            </w:tcBorders>
            <w:shd w:val="clear" w:color="auto" w:fill="auto"/>
            <w:vAlign w:val="center"/>
          </w:tcPr>
          <w:p w14:paraId="667E2942">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南岸区卫生健康委员会</w:t>
            </w:r>
          </w:p>
        </w:tc>
        <w:tc>
          <w:tcPr>
            <w:tcW w:w="623" w:type="dxa"/>
            <w:tcBorders>
              <w:top w:val="nil"/>
              <w:left w:val="nil"/>
              <w:bottom w:val="single" w:color="auto" w:sz="4" w:space="0"/>
              <w:right w:val="single" w:color="auto" w:sz="4" w:space="0"/>
            </w:tcBorders>
            <w:shd w:val="clear" w:color="auto" w:fill="auto"/>
            <w:vAlign w:val="center"/>
          </w:tcPr>
          <w:p w14:paraId="08109BF0">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财政处室</w:t>
            </w:r>
          </w:p>
        </w:tc>
        <w:tc>
          <w:tcPr>
            <w:tcW w:w="1232" w:type="dxa"/>
            <w:gridSpan w:val="2"/>
            <w:tcBorders>
              <w:top w:val="single" w:color="auto" w:sz="4" w:space="0"/>
              <w:left w:val="nil"/>
              <w:bottom w:val="single" w:color="auto" w:sz="4" w:space="0"/>
              <w:right w:val="single" w:color="000000" w:sz="4" w:space="0"/>
            </w:tcBorders>
            <w:shd w:val="clear" w:color="auto" w:fill="auto"/>
            <w:vAlign w:val="center"/>
          </w:tcPr>
          <w:p w14:paraId="20102B75">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社保科　</w:t>
            </w:r>
          </w:p>
        </w:tc>
        <w:tc>
          <w:tcPr>
            <w:tcW w:w="832" w:type="dxa"/>
            <w:tcBorders>
              <w:top w:val="nil"/>
              <w:left w:val="nil"/>
              <w:bottom w:val="single" w:color="auto" w:sz="4" w:space="0"/>
              <w:right w:val="single" w:color="auto" w:sz="4" w:space="0"/>
            </w:tcBorders>
            <w:shd w:val="clear" w:color="auto" w:fill="auto"/>
            <w:vAlign w:val="center"/>
          </w:tcPr>
          <w:p w14:paraId="5E44B74D">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联系人</w:t>
            </w:r>
          </w:p>
        </w:tc>
        <w:tc>
          <w:tcPr>
            <w:tcW w:w="784" w:type="dxa"/>
            <w:tcBorders>
              <w:top w:val="nil"/>
              <w:left w:val="nil"/>
              <w:bottom w:val="single" w:color="auto" w:sz="4" w:space="0"/>
              <w:right w:val="single" w:color="auto" w:sz="4" w:space="0"/>
            </w:tcBorders>
            <w:shd w:val="clear" w:color="auto" w:fill="auto"/>
            <w:vAlign w:val="center"/>
          </w:tcPr>
          <w:p w14:paraId="5744F797">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彭芸　</w:t>
            </w:r>
          </w:p>
        </w:tc>
        <w:tc>
          <w:tcPr>
            <w:tcW w:w="832" w:type="dxa"/>
            <w:tcBorders>
              <w:top w:val="nil"/>
              <w:left w:val="nil"/>
              <w:bottom w:val="single" w:color="auto" w:sz="4" w:space="0"/>
              <w:right w:val="single" w:color="auto" w:sz="4" w:space="0"/>
            </w:tcBorders>
            <w:shd w:val="clear" w:color="auto" w:fill="auto"/>
            <w:vAlign w:val="center"/>
          </w:tcPr>
          <w:p w14:paraId="688F9F68">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联系电话</w:t>
            </w:r>
          </w:p>
        </w:tc>
        <w:tc>
          <w:tcPr>
            <w:tcW w:w="1740" w:type="dxa"/>
            <w:gridSpan w:val="2"/>
            <w:tcBorders>
              <w:top w:val="single" w:color="auto" w:sz="4" w:space="0"/>
              <w:left w:val="nil"/>
              <w:bottom w:val="single" w:color="auto" w:sz="4" w:space="0"/>
              <w:right w:val="single" w:color="000000" w:sz="4" w:space="0"/>
            </w:tcBorders>
            <w:shd w:val="clear" w:color="auto" w:fill="auto"/>
            <w:vAlign w:val="center"/>
          </w:tcPr>
          <w:p w14:paraId="08ECB3ED">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023-62948728　</w:t>
            </w:r>
          </w:p>
        </w:tc>
      </w:tr>
      <w:tr w14:paraId="2E52089C">
        <w:tblPrEx>
          <w:tblCellMar>
            <w:top w:w="0" w:type="dxa"/>
            <w:left w:w="108" w:type="dxa"/>
            <w:bottom w:w="0" w:type="dxa"/>
            <w:right w:w="108" w:type="dxa"/>
          </w:tblCellMar>
        </w:tblPrEx>
        <w:trPr>
          <w:cantSplit/>
          <w:trHeight w:val="601" w:hRule="atLeast"/>
        </w:trPr>
        <w:tc>
          <w:tcPr>
            <w:tcW w:w="1030" w:type="dxa"/>
            <w:vMerge w:val="restart"/>
            <w:tcBorders>
              <w:top w:val="nil"/>
              <w:left w:val="single" w:color="auto" w:sz="4" w:space="0"/>
              <w:bottom w:val="single" w:color="auto" w:sz="4" w:space="0"/>
              <w:right w:val="single" w:color="auto" w:sz="4" w:space="0"/>
            </w:tcBorders>
            <w:shd w:val="clear" w:color="auto" w:fill="auto"/>
            <w:vAlign w:val="center"/>
          </w:tcPr>
          <w:p w14:paraId="164D9A66">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项目资金（万元）</w:t>
            </w:r>
          </w:p>
        </w:tc>
        <w:tc>
          <w:tcPr>
            <w:tcW w:w="955" w:type="dxa"/>
            <w:tcBorders>
              <w:top w:val="nil"/>
              <w:left w:val="nil"/>
              <w:bottom w:val="single" w:color="auto" w:sz="4" w:space="0"/>
              <w:right w:val="nil"/>
            </w:tcBorders>
            <w:shd w:val="clear" w:color="auto" w:fill="auto"/>
            <w:vAlign w:val="center"/>
          </w:tcPr>
          <w:p w14:paraId="43D38346">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109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3F79F36D">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年初预算数</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54E31A51">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全年（调整）预算数</w:t>
            </w:r>
          </w:p>
        </w:tc>
        <w:tc>
          <w:tcPr>
            <w:tcW w:w="1616" w:type="dxa"/>
            <w:gridSpan w:val="2"/>
            <w:tcBorders>
              <w:top w:val="single" w:color="auto" w:sz="4" w:space="0"/>
              <w:left w:val="nil"/>
              <w:bottom w:val="single" w:color="auto" w:sz="4" w:space="0"/>
              <w:right w:val="single" w:color="auto" w:sz="4" w:space="0"/>
            </w:tcBorders>
            <w:shd w:val="clear" w:color="auto" w:fill="auto"/>
            <w:vAlign w:val="center"/>
          </w:tcPr>
          <w:p w14:paraId="3D6A5210">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全年执行数</w:t>
            </w:r>
          </w:p>
        </w:tc>
        <w:tc>
          <w:tcPr>
            <w:tcW w:w="832" w:type="dxa"/>
            <w:tcBorders>
              <w:top w:val="nil"/>
              <w:left w:val="nil"/>
              <w:bottom w:val="single" w:color="auto" w:sz="4" w:space="0"/>
              <w:right w:val="single" w:color="auto" w:sz="4" w:space="0"/>
            </w:tcBorders>
            <w:shd w:val="clear" w:color="auto" w:fill="auto"/>
            <w:vAlign w:val="center"/>
          </w:tcPr>
          <w:p w14:paraId="04C30306">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执行率</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w:t>
            </w:r>
          </w:p>
        </w:tc>
        <w:tc>
          <w:tcPr>
            <w:tcW w:w="832" w:type="dxa"/>
            <w:tcBorders>
              <w:top w:val="nil"/>
              <w:left w:val="nil"/>
              <w:bottom w:val="single" w:color="auto" w:sz="4" w:space="0"/>
              <w:right w:val="single" w:color="auto" w:sz="4" w:space="0"/>
            </w:tcBorders>
            <w:shd w:val="clear" w:color="auto" w:fill="auto"/>
            <w:vAlign w:val="center"/>
          </w:tcPr>
          <w:p w14:paraId="39294306">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执行率</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权重</w:t>
            </w:r>
          </w:p>
        </w:tc>
        <w:tc>
          <w:tcPr>
            <w:tcW w:w="908" w:type="dxa"/>
            <w:tcBorders>
              <w:top w:val="nil"/>
              <w:left w:val="nil"/>
              <w:bottom w:val="single" w:color="auto" w:sz="4" w:space="0"/>
              <w:right w:val="single" w:color="auto" w:sz="4" w:space="0"/>
            </w:tcBorders>
            <w:shd w:val="clear" w:color="auto" w:fill="auto"/>
            <w:vAlign w:val="center"/>
          </w:tcPr>
          <w:p w14:paraId="5DAD7787">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执行率得分</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r>
      <w:tr w14:paraId="0FEF6818">
        <w:tblPrEx>
          <w:tblCellMar>
            <w:top w:w="0" w:type="dxa"/>
            <w:left w:w="108" w:type="dxa"/>
            <w:bottom w:w="0" w:type="dxa"/>
            <w:right w:w="108" w:type="dxa"/>
          </w:tblCellMar>
        </w:tblPrEx>
        <w:trPr>
          <w:cantSplit/>
          <w:trHeight w:val="601" w:hRule="atLeast"/>
        </w:trPr>
        <w:tc>
          <w:tcPr>
            <w:tcW w:w="1030" w:type="dxa"/>
            <w:vMerge w:val="continue"/>
            <w:tcBorders>
              <w:top w:val="nil"/>
              <w:left w:val="single" w:color="auto" w:sz="4" w:space="0"/>
              <w:bottom w:val="single" w:color="auto" w:sz="4" w:space="0"/>
              <w:right w:val="single" w:color="auto" w:sz="4" w:space="0"/>
            </w:tcBorders>
            <w:vAlign w:val="center"/>
          </w:tcPr>
          <w:p w14:paraId="12BDF0CF">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5A817399">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年度总金额</w:t>
            </w:r>
          </w:p>
        </w:tc>
        <w:tc>
          <w:tcPr>
            <w:tcW w:w="109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3F885B07">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50</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149E8F05">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50　</w:t>
            </w:r>
          </w:p>
        </w:tc>
        <w:tc>
          <w:tcPr>
            <w:tcW w:w="1616" w:type="dxa"/>
            <w:gridSpan w:val="2"/>
            <w:tcBorders>
              <w:top w:val="single" w:color="auto" w:sz="4" w:space="0"/>
              <w:left w:val="nil"/>
              <w:bottom w:val="single" w:color="auto" w:sz="4" w:space="0"/>
              <w:right w:val="single" w:color="auto" w:sz="4" w:space="0"/>
            </w:tcBorders>
            <w:shd w:val="clear" w:color="auto" w:fill="auto"/>
            <w:vAlign w:val="center"/>
          </w:tcPr>
          <w:p w14:paraId="6499F6DA">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50　</w:t>
            </w:r>
          </w:p>
        </w:tc>
        <w:tc>
          <w:tcPr>
            <w:tcW w:w="832" w:type="dxa"/>
            <w:tcBorders>
              <w:top w:val="nil"/>
              <w:left w:val="nil"/>
              <w:bottom w:val="single" w:color="auto" w:sz="4" w:space="0"/>
              <w:right w:val="single" w:color="auto" w:sz="4" w:space="0"/>
            </w:tcBorders>
            <w:shd w:val="clear" w:color="auto" w:fill="auto"/>
            <w:vAlign w:val="center"/>
          </w:tcPr>
          <w:p w14:paraId="262AE017">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c>
          <w:tcPr>
            <w:tcW w:w="832" w:type="dxa"/>
            <w:tcBorders>
              <w:top w:val="nil"/>
              <w:left w:val="nil"/>
              <w:bottom w:val="single" w:color="auto" w:sz="4" w:space="0"/>
              <w:right w:val="single" w:color="auto" w:sz="4" w:space="0"/>
            </w:tcBorders>
            <w:shd w:val="clear" w:color="auto" w:fill="auto"/>
            <w:vAlign w:val="center"/>
          </w:tcPr>
          <w:p w14:paraId="5DF803EE">
            <w:pPr>
              <w:autoSpaceDN w:val="0"/>
              <w:jc w:val="center"/>
              <w:rPr>
                <w:rFonts w:ascii="方正仿宋_GBK" w:hAnsi="Calibri" w:eastAsia="方正仿宋_GBK"/>
                <w:sz w:val="18"/>
                <w:szCs w:val="18"/>
              </w:rPr>
            </w:pPr>
            <w:r>
              <w:rPr>
                <w:rFonts w:hint="eastAsia" w:ascii="方正仿宋_GBK" w:eastAsia="方正仿宋_GBK"/>
                <w:sz w:val="18"/>
                <w:szCs w:val="18"/>
              </w:rPr>
              <w:t>10　</w:t>
            </w:r>
          </w:p>
        </w:tc>
        <w:tc>
          <w:tcPr>
            <w:tcW w:w="908" w:type="dxa"/>
            <w:tcBorders>
              <w:top w:val="nil"/>
              <w:left w:val="nil"/>
              <w:bottom w:val="single" w:color="auto" w:sz="4" w:space="0"/>
              <w:right w:val="single" w:color="auto" w:sz="4" w:space="0"/>
            </w:tcBorders>
            <w:shd w:val="clear" w:color="auto" w:fill="auto"/>
            <w:vAlign w:val="center"/>
          </w:tcPr>
          <w:p w14:paraId="7303D570">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　</w:t>
            </w:r>
          </w:p>
        </w:tc>
      </w:tr>
      <w:tr w14:paraId="079E4BBF">
        <w:tblPrEx>
          <w:tblCellMar>
            <w:top w:w="0" w:type="dxa"/>
            <w:left w:w="108" w:type="dxa"/>
            <w:bottom w:w="0" w:type="dxa"/>
            <w:right w:w="108" w:type="dxa"/>
          </w:tblCellMar>
        </w:tblPrEx>
        <w:trPr>
          <w:cantSplit/>
          <w:trHeight w:val="601" w:hRule="atLeast"/>
        </w:trPr>
        <w:tc>
          <w:tcPr>
            <w:tcW w:w="1030" w:type="dxa"/>
            <w:vMerge w:val="continue"/>
            <w:tcBorders>
              <w:top w:val="nil"/>
              <w:left w:val="single" w:color="auto" w:sz="4" w:space="0"/>
              <w:bottom w:val="single" w:color="auto" w:sz="4" w:space="0"/>
              <w:right w:val="single" w:color="auto" w:sz="4" w:space="0"/>
            </w:tcBorders>
            <w:vAlign w:val="center"/>
          </w:tcPr>
          <w:p w14:paraId="349B6481">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29117365">
            <w:pPr>
              <w:wordWrap w:val="0"/>
              <w:autoSpaceDN w:val="0"/>
              <w:jc w:val="right"/>
              <w:rPr>
                <w:rFonts w:ascii="方正仿宋_GBK" w:hAnsi="Calibri" w:eastAsia="方正仿宋_GBK"/>
                <w:color w:val="000000"/>
                <w:sz w:val="18"/>
                <w:szCs w:val="18"/>
              </w:rPr>
            </w:pPr>
            <w:r>
              <w:rPr>
                <w:rFonts w:hint="eastAsia" w:ascii="方正仿宋_GBK" w:eastAsia="方正仿宋_GBK"/>
                <w:color w:val="000000"/>
                <w:sz w:val="18"/>
                <w:szCs w:val="18"/>
              </w:rPr>
              <w:t>其中：区级支出</w:t>
            </w:r>
          </w:p>
        </w:tc>
        <w:tc>
          <w:tcPr>
            <w:tcW w:w="109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0FAD3F29">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50　</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02417F96">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50</w:t>
            </w:r>
          </w:p>
        </w:tc>
        <w:tc>
          <w:tcPr>
            <w:tcW w:w="1616" w:type="dxa"/>
            <w:gridSpan w:val="2"/>
            <w:tcBorders>
              <w:top w:val="single" w:color="auto" w:sz="4" w:space="0"/>
              <w:left w:val="nil"/>
              <w:bottom w:val="single" w:color="auto" w:sz="4" w:space="0"/>
              <w:right w:val="single" w:color="auto" w:sz="4" w:space="0"/>
            </w:tcBorders>
            <w:shd w:val="clear" w:color="auto" w:fill="auto"/>
            <w:vAlign w:val="center"/>
          </w:tcPr>
          <w:p w14:paraId="03B90A70">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50　</w:t>
            </w:r>
          </w:p>
        </w:tc>
        <w:tc>
          <w:tcPr>
            <w:tcW w:w="832" w:type="dxa"/>
            <w:tcBorders>
              <w:top w:val="nil"/>
              <w:left w:val="nil"/>
              <w:bottom w:val="single" w:color="auto" w:sz="4" w:space="0"/>
              <w:right w:val="single" w:color="auto" w:sz="4" w:space="0"/>
            </w:tcBorders>
            <w:shd w:val="clear" w:color="auto" w:fill="auto"/>
            <w:vAlign w:val="center"/>
          </w:tcPr>
          <w:p w14:paraId="1B5C19FD">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c>
          <w:tcPr>
            <w:tcW w:w="832" w:type="dxa"/>
            <w:tcBorders>
              <w:top w:val="nil"/>
              <w:left w:val="nil"/>
              <w:bottom w:val="single" w:color="auto" w:sz="4" w:space="0"/>
              <w:right w:val="single" w:color="auto" w:sz="4" w:space="0"/>
            </w:tcBorders>
            <w:shd w:val="clear" w:color="auto" w:fill="auto"/>
            <w:vAlign w:val="center"/>
          </w:tcPr>
          <w:p w14:paraId="5480F98B">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　</w:t>
            </w:r>
          </w:p>
        </w:tc>
        <w:tc>
          <w:tcPr>
            <w:tcW w:w="908" w:type="dxa"/>
            <w:tcBorders>
              <w:top w:val="nil"/>
              <w:left w:val="nil"/>
              <w:bottom w:val="single" w:color="auto" w:sz="4" w:space="0"/>
              <w:right w:val="single" w:color="auto" w:sz="4" w:space="0"/>
            </w:tcBorders>
            <w:shd w:val="clear" w:color="auto" w:fill="auto"/>
            <w:vAlign w:val="center"/>
          </w:tcPr>
          <w:p w14:paraId="64CD3424">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　</w:t>
            </w:r>
          </w:p>
        </w:tc>
      </w:tr>
      <w:tr w14:paraId="0C17E74D">
        <w:tblPrEx>
          <w:tblCellMar>
            <w:top w:w="0" w:type="dxa"/>
            <w:left w:w="108" w:type="dxa"/>
            <w:bottom w:w="0" w:type="dxa"/>
            <w:right w:w="108" w:type="dxa"/>
          </w:tblCellMar>
        </w:tblPrEx>
        <w:trPr>
          <w:cantSplit/>
          <w:trHeight w:val="601" w:hRule="atLeast"/>
        </w:trPr>
        <w:tc>
          <w:tcPr>
            <w:tcW w:w="1030" w:type="dxa"/>
            <w:vMerge w:val="restart"/>
            <w:tcBorders>
              <w:top w:val="nil"/>
              <w:left w:val="single" w:color="auto" w:sz="4" w:space="0"/>
              <w:bottom w:val="single" w:color="auto" w:sz="4" w:space="0"/>
              <w:right w:val="single" w:color="auto" w:sz="4" w:space="0"/>
            </w:tcBorders>
            <w:shd w:val="clear" w:color="auto" w:fill="auto"/>
            <w:vAlign w:val="center"/>
          </w:tcPr>
          <w:p w14:paraId="2BA1185F">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当年绩效目标</w:t>
            </w:r>
          </w:p>
        </w:tc>
        <w:tc>
          <w:tcPr>
            <w:tcW w:w="2050" w:type="dxa"/>
            <w:gridSpan w:val="3"/>
            <w:tcBorders>
              <w:top w:val="single" w:color="auto" w:sz="4" w:space="0"/>
              <w:left w:val="nil"/>
              <w:bottom w:val="single" w:color="auto" w:sz="4" w:space="0"/>
              <w:right w:val="single" w:color="000000" w:sz="4" w:space="0"/>
            </w:tcBorders>
            <w:shd w:val="clear" w:color="auto" w:fill="auto"/>
            <w:vAlign w:val="center"/>
          </w:tcPr>
          <w:p w14:paraId="5D059DBF">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年初绩效目标</w:t>
            </w:r>
          </w:p>
        </w:tc>
        <w:tc>
          <w:tcPr>
            <w:tcW w:w="2848" w:type="dxa"/>
            <w:gridSpan w:val="4"/>
            <w:tcBorders>
              <w:top w:val="single" w:color="auto" w:sz="4" w:space="0"/>
              <w:left w:val="nil"/>
              <w:bottom w:val="single" w:color="auto" w:sz="4" w:space="0"/>
              <w:right w:val="single" w:color="000000" w:sz="4" w:space="0"/>
            </w:tcBorders>
            <w:shd w:val="clear" w:color="auto" w:fill="auto"/>
            <w:vAlign w:val="center"/>
          </w:tcPr>
          <w:p w14:paraId="2EC35ADE">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全年（调整）绩效目标</w:t>
            </w:r>
          </w:p>
        </w:tc>
        <w:tc>
          <w:tcPr>
            <w:tcW w:w="2572" w:type="dxa"/>
            <w:gridSpan w:val="3"/>
            <w:tcBorders>
              <w:top w:val="single" w:color="auto" w:sz="4" w:space="0"/>
              <w:left w:val="nil"/>
              <w:bottom w:val="single" w:color="auto" w:sz="4" w:space="0"/>
              <w:right w:val="single" w:color="000000" w:sz="4" w:space="0"/>
            </w:tcBorders>
            <w:shd w:val="clear" w:color="auto" w:fill="auto"/>
            <w:vAlign w:val="center"/>
          </w:tcPr>
          <w:p w14:paraId="14751672">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全年目标实际完成情况</w:t>
            </w:r>
          </w:p>
        </w:tc>
      </w:tr>
      <w:tr w14:paraId="4D6F154F">
        <w:tblPrEx>
          <w:tblCellMar>
            <w:top w:w="0" w:type="dxa"/>
            <w:left w:w="108" w:type="dxa"/>
            <w:bottom w:w="0" w:type="dxa"/>
            <w:right w:w="108" w:type="dxa"/>
          </w:tblCellMar>
        </w:tblPrEx>
        <w:trPr>
          <w:cantSplit/>
          <w:trHeight w:val="1352" w:hRule="atLeast"/>
        </w:trPr>
        <w:tc>
          <w:tcPr>
            <w:tcW w:w="1030" w:type="dxa"/>
            <w:vMerge w:val="continue"/>
            <w:tcBorders>
              <w:top w:val="nil"/>
              <w:left w:val="single" w:color="auto" w:sz="4" w:space="0"/>
              <w:bottom w:val="single" w:color="auto" w:sz="4" w:space="0"/>
              <w:right w:val="single" w:color="auto" w:sz="4" w:space="0"/>
            </w:tcBorders>
            <w:vAlign w:val="center"/>
          </w:tcPr>
          <w:p w14:paraId="39F3B698">
            <w:pPr>
              <w:rPr>
                <w:rFonts w:ascii="方正仿宋_GBK" w:hAnsi="Calibri" w:eastAsia="方正仿宋_GBK"/>
                <w:color w:val="000000"/>
                <w:sz w:val="18"/>
                <w:szCs w:val="18"/>
              </w:rPr>
            </w:pPr>
          </w:p>
        </w:tc>
        <w:tc>
          <w:tcPr>
            <w:tcW w:w="2050" w:type="dxa"/>
            <w:gridSpan w:val="3"/>
            <w:tcBorders>
              <w:top w:val="single" w:color="auto" w:sz="4" w:space="0"/>
              <w:left w:val="nil"/>
              <w:bottom w:val="single" w:color="auto" w:sz="4" w:space="0"/>
              <w:right w:val="single" w:color="000000" w:sz="4" w:space="0"/>
            </w:tcBorders>
            <w:shd w:val="clear" w:color="auto" w:fill="auto"/>
            <w:vAlign w:val="center"/>
          </w:tcPr>
          <w:p w14:paraId="08F5A484">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完成计划生育特别扶助对象的独生子女伤残、死亡家庭父母住院护理保险</w:t>
            </w:r>
          </w:p>
        </w:tc>
        <w:tc>
          <w:tcPr>
            <w:tcW w:w="2848" w:type="dxa"/>
            <w:gridSpan w:val="4"/>
            <w:tcBorders>
              <w:top w:val="single" w:color="auto" w:sz="4" w:space="0"/>
              <w:left w:val="nil"/>
              <w:bottom w:val="single" w:color="auto" w:sz="4" w:space="0"/>
              <w:right w:val="single" w:color="000000" w:sz="4" w:space="0"/>
            </w:tcBorders>
            <w:shd w:val="clear" w:color="auto" w:fill="auto"/>
            <w:vAlign w:val="center"/>
          </w:tcPr>
          <w:p w14:paraId="6426F3D2">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无　</w:t>
            </w:r>
          </w:p>
        </w:tc>
        <w:tc>
          <w:tcPr>
            <w:tcW w:w="2572" w:type="dxa"/>
            <w:gridSpan w:val="3"/>
            <w:tcBorders>
              <w:top w:val="single" w:color="auto" w:sz="4" w:space="0"/>
              <w:left w:val="nil"/>
              <w:bottom w:val="single" w:color="auto" w:sz="4" w:space="0"/>
              <w:right w:val="single" w:color="000000" w:sz="4" w:space="0"/>
            </w:tcBorders>
            <w:shd w:val="clear" w:color="auto" w:fill="auto"/>
            <w:vAlign w:val="center"/>
          </w:tcPr>
          <w:p w14:paraId="653E3995">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完成计划生育特别扶助对象的独生子女伤残、死亡家庭父母住院护理保险，据实结算。全年参保人数2664人　</w:t>
            </w:r>
          </w:p>
        </w:tc>
      </w:tr>
      <w:tr w14:paraId="40791B7B">
        <w:tblPrEx>
          <w:tblCellMar>
            <w:top w:w="0" w:type="dxa"/>
            <w:left w:w="108" w:type="dxa"/>
            <w:bottom w:w="0" w:type="dxa"/>
            <w:right w:w="108" w:type="dxa"/>
          </w:tblCellMar>
        </w:tblPrEx>
        <w:trPr>
          <w:cantSplit/>
          <w:trHeight w:val="601" w:hRule="atLeast"/>
        </w:trPr>
        <w:tc>
          <w:tcPr>
            <w:tcW w:w="1030" w:type="dxa"/>
            <w:vMerge w:val="restart"/>
            <w:tcBorders>
              <w:top w:val="nil"/>
              <w:left w:val="single" w:color="auto" w:sz="4" w:space="0"/>
              <w:bottom w:val="single" w:color="auto" w:sz="4" w:space="0"/>
              <w:right w:val="single" w:color="auto" w:sz="4" w:space="0"/>
            </w:tcBorders>
            <w:shd w:val="clear" w:color="auto" w:fill="auto"/>
            <w:textDirection w:val="tbRlV"/>
            <w:vAlign w:val="center"/>
          </w:tcPr>
          <w:p w14:paraId="5F5E50D0">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绩效指标</w:t>
            </w:r>
          </w:p>
        </w:tc>
        <w:tc>
          <w:tcPr>
            <w:tcW w:w="955" w:type="dxa"/>
            <w:tcBorders>
              <w:top w:val="nil"/>
              <w:left w:val="nil"/>
              <w:bottom w:val="single" w:color="auto" w:sz="4" w:space="0"/>
              <w:right w:val="nil"/>
            </w:tcBorders>
            <w:shd w:val="clear" w:color="auto" w:fill="auto"/>
            <w:vAlign w:val="center"/>
          </w:tcPr>
          <w:p w14:paraId="53D93A5C">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指标名称</w:t>
            </w:r>
          </w:p>
        </w:tc>
        <w:tc>
          <w:tcPr>
            <w:tcW w:w="472" w:type="dxa"/>
            <w:tcBorders>
              <w:top w:val="nil"/>
              <w:left w:val="single" w:color="auto" w:sz="4" w:space="0"/>
              <w:bottom w:val="single" w:color="auto" w:sz="4" w:space="0"/>
              <w:right w:val="single" w:color="auto" w:sz="4" w:space="0"/>
            </w:tcBorders>
            <w:shd w:val="clear" w:color="auto" w:fill="auto"/>
            <w:vAlign w:val="center"/>
          </w:tcPr>
          <w:p w14:paraId="0EFE6C8F">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计量</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单位</w:t>
            </w:r>
          </w:p>
        </w:tc>
        <w:tc>
          <w:tcPr>
            <w:tcW w:w="623" w:type="dxa"/>
            <w:tcBorders>
              <w:top w:val="nil"/>
              <w:left w:val="nil"/>
              <w:bottom w:val="single" w:color="auto" w:sz="4" w:space="0"/>
              <w:right w:val="single" w:color="auto" w:sz="4" w:space="0"/>
            </w:tcBorders>
            <w:shd w:val="clear" w:color="auto" w:fill="auto"/>
            <w:vAlign w:val="center"/>
          </w:tcPr>
          <w:p w14:paraId="2DB2512B">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性质</w:t>
            </w:r>
          </w:p>
        </w:tc>
        <w:tc>
          <w:tcPr>
            <w:tcW w:w="616" w:type="dxa"/>
            <w:tcBorders>
              <w:top w:val="nil"/>
              <w:left w:val="nil"/>
              <w:bottom w:val="single" w:color="auto" w:sz="4" w:space="0"/>
              <w:right w:val="single" w:color="auto" w:sz="4" w:space="0"/>
            </w:tcBorders>
            <w:shd w:val="clear" w:color="auto" w:fill="auto"/>
            <w:vAlign w:val="center"/>
          </w:tcPr>
          <w:p w14:paraId="21485B09">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年初</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指标值</w:t>
            </w:r>
          </w:p>
        </w:tc>
        <w:tc>
          <w:tcPr>
            <w:tcW w:w="616" w:type="dxa"/>
            <w:tcBorders>
              <w:top w:val="nil"/>
              <w:left w:val="nil"/>
              <w:bottom w:val="single" w:color="auto" w:sz="4" w:space="0"/>
              <w:right w:val="single" w:color="auto" w:sz="4" w:space="0"/>
            </w:tcBorders>
            <w:shd w:val="clear" w:color="auto" w:fill="auto"/>
            <w:vAlign w:val="center"/>
          </w:tcPr>
          <w:p w14:paraId="5F0DB384">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调整</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指标值</w:t>
            </w:r>
          </w:p>
        </w:tc>
        <w:tc>
          <w:tcPr>
            <w:tcW w:w="832" w:type="dxa"/>
            <w:tcBorders>
              <w:top w:val="nil"/>
              <w:left w:val="nil"/>
              <w:bottom w:val="single" w:color="auto" w:sz="4" w:space="0"/>
              <w:right w:val="single" w:color="auto" w:sz="4" w:space="0"/>
            </w:tcBorders>
            <w:shd w:val="clear" w:color="auto" w:fill="auto"/>
            <w:vAlign w:val="center"/>
          </w:tcPr>
          <w:p w14:paraId="05E16411">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完成值</w:t>
            </w:r>
          </w:p>
        </w:tc>
        <w:tc>
          <w:tcPr>
            <w:tcW w:w="784" w:type="dxa"/>
            <w:tcBorders>
              <w:top w:val="nil"/>
              <w:left w:val="nil"/>
              <w:bottom w:val="single" w:color="auto" w:sz="4" w:space="0"/>
              <w:right w:val="single" w:color="auto" w:sz="4" w:space="0"/>
            </w:tcBorders>
            <w:shd w:val="clear" w:color="auto" w:fill="auto"/>
            <w:vAlign w:val="center"/>
          </w:tcPr>
          <w:p w14:paraId="65D30C05">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得分系数</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w:t>
            </w:r>
          </w:p>
        </w:tc>
        <w:tc>
          <w:tcPr>
            <w:tcW w:w="832" w:type="dxa"/>
            <w:tcBorders>
              <w:top w:val="nil"/>
              <w:left w:val="nil"/>
              <w:bottom w:val="single" w:color="auto" w:sz="4" w:space="0"/>
              <w:right w:val="single" w:color="auto" w:sz="4" w:space="0"/>
            </w:tcBorders>
            <w:shd w:val="clear" w:color="auto" w:fill="auto"/>
            <w:vAlign w:val="center"/>
          </w:tcPr>
          <w:p w14:paraId="6874DC79">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指标权重</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c>
          <w:tcPr>
            <w:tcW w:w="832" w:type="dxa"/>
            <w:tcBorders>
              <w:top w:val="nil"/>
              <w:left w:val="nil"/>
              <w:bottom w:val="single" w:color="auto" w:sz="4" w:space="0"/>
              <w:right w:val="single" w:color="auto" w:sz="4" w:space="0"/>
            </w:tcBorders>
            <w:shd w:val="clear" w:color="auto" w:fill="auto"/>
            <w:vAlign w:val="center"/>
          </w:tcPr>
          <w:p w14:paraId="637F8414">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指标得分</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c>
          <w:tcPr>
            <w:tcW w:w="908" w:type="dxa"/>
            <w:tcBorders>
              <w:top w:val="nil"/>
              <w:left w:val="nil"/>
              <w:bottom w:val="single" w:color="auto" w:sz="4" w:space="0"/>
              <w:right w:val="single" w:color="auto" w:sz="4" w:space="0"/>
            </w:tcBorders>
            <w:shd w:val="clear" w:color="auto" w:fill="auto"/>
            <w:vAlign w:val="center"/>
          </w:tcPr>
          <w:p w14:paraId="4549F1CC">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是否核心</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指标</w:t>
            </w:r>
          </w:p>
        </w:tc>
      </w:tr>
      <w:tr w14:paraId="63513C59">
        <w:tblPrEx>
          <w:tblCellMar>
            <w:top w:w="0" w:type="dxa"/>
            <w:left w:w="108" w:type="dxa"/>
            <w:bottom w:w="0" w:type="dxa"/>
            <w:right w:w="108" w:type="dxa"/>
          </w:tblCellMar>
        </w:tblPrEx>
        <w:trPr>
          <w:cantSplit/>
          <w:trHeight w:val="523" w:hRule="atLeast"/>
        </w:trPr>
        <w:tc>
          <w:tcPr>
            <w:tcW w:w="1030" w:type="dxa"/>
            <w:vMerge w:val="continue"/>
            <w:tcBorders>
              <w:top w:val="nil"/>
              <w:left w:val="single" w:color="auto" w:sz="4" w:space="0"/>
              <w:bottom w:val="single" w:color="auto" w:sz="4" w:space="0"/>
              <w:right w:val="single" w:color="auto" w:sz="4" w:space="0"/>
            </w:tcBorders>
            <w:vAlign w:val="center"/>
          </w:tcPr>
          <w:p w14:paraId="457A75DD">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301347CC">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计划生育特别扶助对象的独生子女伤残、死亡家庭父母住院护理保险人数</w:t>
            </w:r>
          </w:p>
        </w:tc>
        <w:tc>
          <w:tcPr>
            <w:tcW w:w="472" w:type="dxa"/>
            <w:tcBorders>
              <w:top w:val="nil"/>
              <w:left w:val="single" w:color="auto" w:sz="4" w:space="0"/>
              <w:bottom w:val="single" w:color="auto" w:sz="4" w:space="0"/>
              <w:right w:val="nil"/>
            </w:tcBorders>
            <w:shd w:val="clear" w:color="auto" w:fill="auto"/>
            <w:vAlign w:val="center"/>
          </w:tcPr>
          <w:p w14:paraId="7D7DE33B">
            <w:pPr>
              <w:autoSpaceDN w:val="0"/>
              <w:jc w:val="center"/>
              <w:rPr>
                <w:rFonts w:ascii="方正仿宋_GBK" w:hAnsi="Calibri" w:eastAsia="方正仿宋_GBK"/>
                <w:color w:val="000000"/>
                <w:sz w:val="18"/>
                <w:szCs w:val="18"/>
              </w:rPr>
            </w:pPr>
            <w:r>
              <w:rPr>
                <w:rFonts w:hint="eastAsia" w:ascii="方正仿宋_GBK" w:eastAsia="方正仿宋_GBK"/>
                <w:color w:val="000000"/>
              </w:rPr>
              <w:t>人　</w:t>
            </w:r>
          </w:p>
        </w:tc>
        <w:tc>
          <w:tcPr>
            <w:tcW w:w="623" w:type="dxa"/>
            <w:tcBorders>
              <w:top w:val="nil"/>
              <w:left w:val="single" w:color="auto" w:sz="4" w:space="0"/>
              <w:bottom w:val="single" w:color="auto" w:sz="4" w:space="0"/>
              <w:right w:val="nil"/>
            </w:tcBorders>
            <w:shd w:val="clear" w:color="auto" w:fill="auto"/>
            <w:vAlign w:val="center"/>
          </w:tcPr>
          <w:p w14:paraId="7A8674B4">
            <w:pPr>
              <w:autoSpaceDN w:val="0"/>
              <w:jc w:val="center"/>
              <w:rPr>
                <w:rFonts w:ascii="方正仿宋_GBK" w:hAnsi="Calibri" w:eastAsia="方正仿宋_GBK"/>
                <w:color w:val="000000"/>
                <w:sz w:val="18"/>
                <w:szCs w:val="18"/>
              </w:rPr>
            </w:pPr>
            <w:r>
              <w:rPr>
                <w:rFonts w:hint="eastAsia" w:ascii="方正仿宋_GBK" w:eastAsia="方正仿宋_GBK"/>
                <w:color w:val="000000"/>
              </w:rPr>
              <w:t>≥　</w:t>
            </w:r>
          </w:p>
        </w:tc>
        <w:tc>
          <w:tcPr>
            <w:tcW w:w="616" w:type="dxa"/>
            <w:tcBorders>
              <w:top w:val="nil"/>
              <w:left w:val="single" w:color="auto" w:sz="4" w:space="0"/>
              <w:bottom w:val="single" w:color="auto" w:sz="4" w:space="0"/>
              <w:right w:val="nil"/>
            </w:tcBorders>
            <w:shd w:val="clear" w:color="auto" w:fill="auto"/>
            <w:vAlign w:val="center"/>
          </w:tcPr>
          <w:p w14:paraId="02E67737">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2650　</w:t>
            </w:r>
          </w:p>
        </w:tc>
        <w:tc>
          <w:tcPr>
            <w:tcW w:w="616" w:type="dxa"/>
            <w:tcBorders>
              <w:top w:val="nil"/>
              <w:left w:val="single" w:color="auto" w:sz="4" w:space="0"/>
              <w:bottom w:val="single" w:color="auto" w:sz="4" w:space="0"/>
              <w:right w:val="nil"/>
            </w:tcBorders>
            <w:shd w:val="clear" w:color="auto" w:fill="auto"/>
            <w:vAlign w:val="center"/>
          </w:tcPr>
          <w:p w14:paraId="07FA53FA">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832" w:type="dxa"/>
            <w:tcBorders>
              <w:top w:val="nil"/>
              <w:left w:val="single" w:color="auto" w:sz="4" w:space="0"/>
              <w:bottom w:val="single" w:color="auto" w:sz="4" w:space="0"/>
              <w:right w:val="nil"/>
            </w:tcBorders>
            <w:shd w:val="clear" w:color="auto" w:fill="auto"/>
            <w:vAlign w:val="center"/>
          </w:tcPr>
          <w:p w14:paraId="23B64196">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2664　</w:t>
            </w:r>
          </w:p>
        </w:tc>
        <w:tc>
          <w:tcPr>
            <w:tcW w:w="784" w:type="dxa"/>
            <w:tcBorders>
              <w:top w:val="nil"/>
              <w:left w:val="single" w:color="auto" w:sz="4" w:space="0"/>
              <w:bottom w:val="single" w:color="auto" w:sz="4" w:space="0"/>
              <w:right w:val="nil"/>
            </w:tcBorders>
            <w:shd w:val="clear" w:color="auto" w:fill="auto"/>
            <w:vAlign w:val="center"/>
          </w:tcPr>
          <w:p w14:paraId="6D542EA1">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c>
          <w:tcPr>
            <w:tcW w:w="832" w:type="dxa"/>
            <w:tcBorders>
              <w:top w:val="nil"/>
              <w:left w:val="single" w:color="auto" w:sz="4" w:space="0"/>
              <w:bottom w:val="single" w:color="auto" w:sz="4" w:space="0"/>
              <w:right w:val="nil"/>
            </w:tcBorders>
            <w:shd w:val="clear" w:color="auto" w:fill="auto"/>
            <w:vAlign w:val="center"/>
          </w:tcPr>
          <w:p w14:paraId="59059A80">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20　</w:t>
            </w:r>
          </w:p>
        </w:tc>
        <w:tc>
          <w:tcPr>
            <w:tcW w:w="832" w:type="dxa"/>
            <w:tcBorders>
              <w:top w:val="nil"/>
              <w:left w:val="single" w:color="auto" w:sz="4" w:space="0"/>
              <w:bottom w:val="single" w:color="auto" w:sz="4" w:space="0"/>
              <w:right w:val="nil"/>
            </w:tcBorders>
            <w:shd w:val="clear" w:color="auto" w:fill="auto"/>
            <w:vAlign w:val="center"/>
          </w:tcPr>
          <w:p w14:paraId="7D4E4209">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20</w:t>
            </w:r>
          </w:p>
        </w:tc>
        <w:tc>
          <w:tcPr>
            <w:tcW w:w="908" w:type="dxa"/>
            <w:tcBorders>
              <w:top w:val="nil"/>
              <w:left w:val="single" w:color="auto" w:sz="4" w:space="0"/>
              <w:bottom w:val="single" w:color="auto" w:sz="4" w:space="0"/>
              <w:right w:val="single" w:color="auto" w:sz="4" w:space="0"/>
            </w:tcBorders>
            <w:shd w:val="clear" w:color="auto" w:fill="auto"/>
            <w:vAlign w:val="center"/>
          </w:tcPr>
          <w:p w14:paraId="159BDA87">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是</w:t>
            </w:r>
          </w:p>
        </w:tc>
      </w:tr>
      <w:tr w14:paraId="224BFCF2">
        <w:tblPrEx>
          <w:tblCellMar>
            <w:top w:w="0" w:type="dxa"/>
            <w:left w:w="108" w:type="dxa"/>
            <w:bottom w:w="0" w:type="dxa"/>
            <w:right w:w="108" w:type="dxa"/>
          </w:tblCellMar>
        </w:tblPrEx>
        <w:trPr>
          <w:cantSplit/>
          <w:trHeight w:val="523" w:hRule="atLeast"/>
        </w:trPr>
        <w:tc>
          <w:tcPr>
            <w:tcW w:w="1030" w:type="dxa"/>
            <w:vMerge w:val="continue"/>
            <w:tcBorders>
              <w:top w:val="nil"/>
              <w:left w:val="single" w:color="auto" w:sz="4" w:space="0"/>
              <w:bottom w:val="single" w:color="auto" w:sz="4" w:space="0"/>
              <w:right w:val="single" w:color="auto" w:sz="4" w:space="0"/>
            </w:tcBorders>
            <w:vAlign w:val="center"/>
          </w:tcPr>
          <w:p w14:paraId="2DFC60D6">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1A95E2E2">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计划生育特别扶助对象的独生子女伤残、死亡家庭父母赔付率</w:t>
            </w:r>
          </w:p>
        </w:tc>
        <w:tc>
          <w:tcPr>
            <w:tcW w:w="472" w:type="dxa"/>
            <w:tcBorders>
              <w:top w:val="nil"/>
              <w:left w:val="single" w:color="auto" w:sz="4" w:space="0"/>
              <w:bottom w:val="single" w:color="auto" w:sz="4" w:space="0"/>
              <w:right w:val="nil"/>
            </w:tcBorders>
            <w:shd w:val="clear" w:color="auto" w:fill="auto"/>
            <w:vAlign w:val="center"/>
          </w:tcPr>
          <w:p w14:paraId="04497299">
            <w:pPr>
              <w:autoSpaceDN w:val="0"/>
              <w:jc w:val="center"/>
              <w:rPr>
                <w:rFonts w:ascii="方正仿宋_GBK" w:hAnsi="Calibri" w:eastAsia="方正仿宋_GBK"/>
                <w:color w:val="000000"/>
                <w:sz w:val="18"/>
                <w:szCs w:val="18"/>
              </w:rPr>
            </w:pPr>
            <w:r>
              <w:rPr>
                <w:rFonts w:hint="eastAsia" w:ascii="方正仿宋_GBK" w:eastAsia="方正仿宋_GBK"/>
                <w:color w:val="000000"/>
              </w:rPr>
              <w:t>%　</w:t>
            </w:r>
          </w:p>
        </w:tc>
        <w:tc>
          <w:tcPr>
            <w:tcW w:w="623" w:type="dxa"/>
            <w:tcBorders>
              <w:top w:val="nil"/>
              <w:left w:val="single" w:color="auto" w:sz="4" w:space="0"/>
              <w:bottom w:val="single" w:color="auto" w:sz="4" w:space="0"/>
              <w:right w:val="nil"/>
            </w:tcBorders>
            <w:shd w:val="clear" w:color="auto" w:fill="auto"/>
            <w:vAlign w:val="center"/>
          </w:tcPr>
          <w:p w14:paraId="7B7C9060">
            <w:pPr>
              <w:autoSpaceDN w:val="0"/>
              <w:jc w:val="center"/>
              <w:rPr>
                <w:rFonts w:ascii="方正仿宋_GBK" w:hAnsi="Calibri" w:eastAsia="方正仿宋_GBK"/>
                <w:color w:val="000000"/>
                <w:sz w:val="18"/>
                <w:szCs w:val="18"/>
              </w:rPr>
            </w:pPr>
            <w:r>
              <w:rPr>
                <w:rFonts w:hint="eastAsia" w:ascii="方正仿宋_GBK" w:eastAsia="方正仿宋_GBK"/>
                <w:color w:val="000000"/>
              </w:rPr>
              <w:t>=　</w:t>
            </w:r>
          </w:p>
        </w:tc>
        <w:tc>
          <w:tcPr>
            <w:tcW w:w="616" w:type="dxa"/>
            <w:tcBorders>
              <w:top w:val="nil"/>
              <w:left w:val="single" w:color="auto" w:sz="4" w:space="0"/>
              <w:bottom w:val="single" w:color="auto" w:sz="4" w:space="0"/>
              <w:right w:val="nil"/>
            </w:tcBorders>
            <w:shd w:val="clear" w:color="auto" w:fill="auto"/>
            <w:vAlign w:val="center"/>
          </w:tcPr>
          <w:p w14:paraId="446A82FC">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c>
          <w:tcPr>
            <w:tcW w:w="616" w:type="dxa"/>
            <w:tcBorders>
              <w:top w:val="nil"/>
              <w:left w:val="single" w:color="auto" w:sz="4" w:space="0"/>
              <w:bottom w:val="single" w:color="auto" w:sz="4" w:space="0"/>
              <w:right w:val="nil"/>
            </w:tcBorders>
            <w:shd w:val="clear" w:color="auto" w:fill="auto"/>
            <w:vAlign w:val="center"/>
          </w:tcPr>
          <w:p w14:paraId="44C359A7">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832" w:type="dxa"/>
            <w:tcBorders>
              <w:top w:val="nil"/>
              <w:left w:val="single" w:color="auto" w:sz="4" w:space="0"/>
              <w:bottom w:val="single" w:color="auto" w:sz="4" w:space="0"/>
              <w:right w:val="nil"/>
            </w:tcBorders>
            <w:shd w:val="clear" w:color="auto" w:fill="auto"/>
            <w:vAlign w:val="center"/>
          </w:tcPr>
          <w:p w14:paraId="6EC0751F">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c>
          <w:tcPr>
            <w:tcW w:w="784" w:type="dxa"/>
            <w:tcBorders>
              <w:top w:val="nil"/>
              <w:left w:val="single" w:color="auto" w:sz="4" w:space="0"/>
              <w:bottom w:val="single" w:color="auto" w:sz="4" w:space="0"/>
              <w:right w:val="nil"/>
            </w:tcBorders>
            <w:shd w:val="clear" w:color="auto" w:fill="auto"/>
            <w:vAlign w:val="center"/>
          </w:tcPr>
          <w:p w14:paraId="31F0A2DC">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c>
          <w:tcPr>
            <w:tcW w:w="832" w:type="dxa"/>
            <w:tcBorders>
              <w:top w:val="nil"/>
              <w:left w:val="single" w:color="auto" w:sz="4" w:space="0"/>
              <w:bottom w:val="single" w:color="auto" w:sz="4" w:space="0"/>
              <w:right w:val="nil"/>
            </w:tcBorders>
            <w:shd w:val="clear" w:color="auto" w:fill="auto"/>
            <w:vAlign w:val="center"/>
          </w:tcPr>
          <w:p w14:paraId="788B6E4D">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20　</w:t>
            </w:r>
          </w:p>
        </w:tc>
        <w:tc>
          <w:tcPr>
            <w:tcW w:w="832" w:type="dxa"/>
            <w:tcBorders>
              <w:top w:val="nil"/>
              <w:left w:val="single" w:color="auto" w:sz="4" w:space="0"/>
              <w:bottom w:val="single" w:color="auto" w:sz="4" w:space="0"/>
              <w:right w:val="nil"/>
            </w:tcBorders>
            <w:shd w:val="clear" w:color="auto" w:fill="auto"/>
            <w:vAlign w:val="center"/>
          </w:tcPr>
          <w:p w14:paraId="2EBA01E7">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20　</w:t>
            </w:r>
          </w:p>
        </w:tc>
        <w:tc>
          <w:tcPr>
            <w:tcW w:w="908" w:type="dxa"/>
            <w:tcBorders>
              <w:top w:val="nil"/>
              <w:left w:val="single" w:color="auto" w:sz="4" w:space="0"/>
              <w:bottom w:val="single" w:color="auto" w:sz="4" w:space="0"/>
              <w:right w:val="single" w:color="auto" w:sz="4" w:space="0"/>
            </w:tcBorders>
            <w:shd w:val="clear" w:color="auto" w:fill="auto"/>
            <w:vAlign w:val="center"/>
          </w:tcPr>
          <w:p w14:paraId="1B833403">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否　</w:t>
            </w:r>
          </w:p>
        </w:tc>
      </w:tr>
      <w:tr w14:paraId="258992B6">
        <w:tblPrEx>
          <w:tblCellMar>
            <w:top w:w="0" w:type="dxa"/>
            <w:left w:w="108" w:type="dxa"/>
            <w:bottom w:w="0" w:type="dxa"/>
            <w:right w:w="108" w:type="dxa"/>
          </w:tblCellMar>
        </w:tblPrEx>
        <w:trPr>
          <w:cantSplit/>
          <w:trHeight w:val="523" w:hRule="atLeast"/>
        </w:trPr>
        <w:tc>
          <w:tcPr>
            <w:tcW w:w="1030" w:type="dxa"/>
            <w:vMerge w:val="continue"/>
            <w:tcBorders>
              <w:top w:val="nil"/>
              <w:left w:val="single" w:color="auto" w:sz="4" w:space="0"/>
              <w:bottom w:val="single" w:color="auto" w:sz="4" w:space="0"/>
              <w:right w:val="single" w:color="auto" w:sz="4" w:space="0"/>
            </w:tcBorders>
            <w:vAlign w:val="center"/>
          </w:tcPr>
          <w:p w14:paraId="3D0D4C76">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1A785E8E">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计划生育特别扶助对象的独生子女伤残、死亡家庭父母知晓率</w:t>
            </w:r>
          </w:p>
        </w:tc>
        <w:tc>
          <w:tcPr>
            <w:tcW w:w="472" w:type="dxa"/>
            <w:tcBorders>
              <w:top w:val="nil"/>
              <w:left w:val="single" w:color="auto" w:sz="4" w:space="0"/>
              <w:bottom w:val="single" w:color="auto" w:sz="4" w:space="0"/>
              <w:right w:val="nil"/>
            </w:tcBorders>
            <w:shd w:val="clear" w:color="auto" w:fill="auto"/>
            <w:vAlign w:val="center"/>
          </w:tcPr>
          <w:p w14:paraId="5C4C0736">
            <w:pPr>
              <w:autoSpaceDN w:val="0"/>
              <w:jc w:val="center"/>
              <w:rPr>
                <w:rFonts w:ascii="方正仿宋_GBK" w:hAnsi="Calibri" w:eastAsia="方正仿宋_GBK"/>
                <w:color w:val="000000"/>
                <w:sz w:val="18"/>
                <w:szCs w:val="18"/>
              </w:rPr>
            </w:pPr>
            <w:r>
              <w:rPr>
                <w:rFonts w:hint="eastAsia" w:ascii="方正仿宋_GBK" w:eastAsia="方正仿宋_GBK"/>
                <w:color w:val="000000"/>
              </w:rPr>
              <w:t>　%</w:t>
            </w:r>
          </w:p>
        </w:tc>
        <w:tc>
          <w:tcPr>
            <w:tcW w:w="623" w:type="dxa"/>
            <w:tcBorders>
              <w:top w:val="nil"/>
              <w:left w:val="single" w:color="auto" w:sz="4" w:space="0"/>
              <w:bottom w:val="single" w:color="auto" w:sz="4" w:space="0"/>
              <w:right w:val="nil"/>
            </w:tcBorders>
            <w:shd w:val="clear" w:color="auto" w:fill="auto"/>
            <w:vAlign w:val="center"/>
          </w:tcPr>
          <w:p w14:paraId="390745FE">
            <w:pPr>
              <w:autoSpaceDN w:val="0"/>
              <w:jc w:val="center"/>
              <w:rPr>
                <w:rFonts w:ascii="方正仿宋_GBK" w:hAnsi="Calibri" w:eastAsia="方正仿宋_GBK"/>
                <w:color w:val="000000"/>
                <w:sz w:val="18"/>
                <w:szCs w:val="18"/>
              </w:rPr>
            </w:pPr>
            <w:r>
              <w:rPr>
                <w:rFonts w:hint="eastAsia" w:ascii="方正仿宋_GBK" w:eastAsia="方正仿宋_GBK"/>
                <w:color w:val="000000"/>
              </w:rPr>
              <w:t>≥　</w:t>
            </w:r>
          </w:p>
        </w:tc>
        <w:tc>
          <w:tcPr>
            <w:tcW w:w="616" w:type="dxa"/>
            <w:tcBorders>
              <w:top w:val="nil"/>
              <w:left w:val="single" w:color="auto" w:sz="4" w:space="0"/>
              <w:bottom w:val="single" w:color="auto" w:sz="4" w:space="0"/>
              <w:right w:val="nil"/>
            </w:tcBorders>
            <w:shd w:val="clear" w:color="auto" w:fill="auto"/>
            <w:vAlign w:val="center"/>
          </w:tcPr>
          <w:p w14:paraId="27C73CE7">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90%　</w:t>
            </w:r>
          </w:p>
        </w:tc>
        <w:tc>
          <w:tcPr>
            <w:tcW w:w="616" w:type="dxa"/>
            <w:tcBorders>
              <w:top w:val="nil"/>
              <w:left w:val="single" w:color="auto" w:sz="4" w:space="0"/>
              <w:bottom w:val="single" w:color="auto" w:sz="4" w:space="0"/>
              <w:right w:val="nil"/>
            </w:tcBorders>
            <w:shd w:val="clear" w:color="auto" w:fill="auto"/>
            <w:vAlign w:val="center"/>
          </w:tcPr>
          <w:p w14:paraId="22C4FFAD">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832" w:type="dxa"/>
            <w:tcBorders>
              <w:top w:val="nil"/>
              <w:left w:val="single" w:color="auto" w:sz="4" w:space="0"/>
              <w:bottom w:val="single" w:color="auto" w:sz="4" w:space="0"/>
              <w:right w:val="nil"/>
            </w:tcBorders>
            <w:shd w:val="clear" w:color="auto" w:fill="auto"/>
            <w:vAlign w:val="center"/>
          </w:tcPr>
          <w:p w14:paraId="6415A967">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90%　</w:t>
            </w:r>
          </w:p>
        </w:tc>
        <w:tc>
          <w:tcPr>
            <w:tcW w:w="784" w:type="dxa"/>
            <w:tcBorders>
              <w:top w:val="nil"/>
              <w:left w:val="single" w:color="auto" w:sz="4" w:space="0"/>
              <w:bottom w:val="single" w:color="auto" w:sz="4" w:space="0"/>
              <w:right w:val="nil"/>
            </w:tcBorders>
            <w:shd w:val="clear" w:color="auto" w:fill="auto"/>
            <w:vAlign w:val="center"/>
          </w:tcPr>
          <w:p w14:paraId="39AA9BBE">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c>
          <w:tcPr>
            <w:tcW w:w="832" w:type="dxa"/>
            <w:tcBorders>
              <w:top w:val="nil"/>
              <w:left w:val="single" w:color="auto" w:sz="4" w:space="0"/>
              <w:bottom w:val="single" w:color="auto" w:sz="4" w:space="0"/>
              <w:right w:val="nil"/>
            </w:tcBorders>
            <w:shd w:val="clear" w:color="auto" w:fill="auto"/>
            <w:vAlign w:val="center"/>
          </w:tcPr>
          <w:p w14:paraId="5C31F90D">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15　</w:t>
            </w:r>
          </w:p>
        </w:tc>
        <w:tc>
          <w:tcPr>
            <w:tcW w:w="832" w:type="dxa"/>
            <w:tcBorders>
              <w:top w:val="nil"/>
              <w:left w:val="single" w:color="auto" w:sz="4" w:space="0"/>
              <w:bottom w:val="single" w:color="auto" w:sz="4" w:space="0"/>
              <w:right w:val="nil"/>
            </w:tcBorders>
            <w:shd w:val="clear" w:color="auto" w:fill="auto"/>
            <w:vAlign w:val="center"/>
          </w:tcPr>
          <w:p w14:paraId="5B55C1DC">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15</w:t>
            </w:r>
          </w:p>
        </w:tc>
        <w:tc>
          <w:tcPr>
            <w:tcW w:w="908" w:type="dxa"/>
            <w:tcBorders>
              <w:top w:val="nil"/>
              <w:left w:val="single" w:color="auto" w:sz="4" w:space="0"/>
              <w:bottom w:val="single" w:color="auto" w:sz="4" w:space="0"/>
              <w:right w:val="single" w:color="auto" w:sz="4" w:space="0"/>
            </w:tcBorders>
            <w:shd w:val="clear" w:color="auto" w:fill="auto"/>
            <w:vAlign w:val="center"/>
          </w:tcPr>
          <w:p w14:paraId="7699DFA7">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否　</w:t>
            </w:r>
          </w:p>
        </w:tc>
      </w:tr>
      <w:tr w14:paraId="2E089767">
        <w:tblPrEx>
          <w:tblCellMar>
            <w:top w:w="0" w:type="dxa"/>
            <w:left w:w="108" w:type="dxa"/>
            <w:bottom w:w="0" w:type="dxa"/>
            <w:right w:w="108" w:type="dxa"/>
          </w:tblCellMar>
        </w:tblPrEx>
        <w:trPr>
          <w:cantSplit/>
          <w:trHeight w:val="523" w:hRule="atLeast"/>
        </w:trPr>
        <w:tc>
          <w:tcPr>
            <w:tcW w:w="1030" w:type="dxa"/>
            <w:vMerge w:val="continue"/>
            <w:tcBorders>
              <w:top w:val="nil"/>
              <w:left w:val="single" w:color="auto" w:sz="4" w:space="0"/>
              <w:bottom w:val="single" w:color="auto" w:sz="4" w:space="0"/>
              <w:right w:val="single" w:color="auto" w:sz="4" w:space="0"/>
            </w:tcBorders>
            <w:vAlign w:val="center"/>
          </w:tcPr>
          <w:p w14:paraId="38D05A3B">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230516F7">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计划生育特别扶助对象的独生子女伤残、死亡家庭父母对象风险保障期限　</w:t>
            </w:r>
          </w:p>
        </w:tc>
        <w:tc>
          <w:tcPr>
            <w:tcW w:w="472" w:type="dxa"/>
            <w:tcBorders>
              <w:top w:val="nil"/>
              <w:left w:val="single" w:color="auto" w:sz="4" w:space="0"/>
              <w:bottom w:val="single" w:color="auto" w:sz="4" w:space="0"/>
              <w:right w:val="nil"/>
            </w:tcBorders>
            <w:shd w:val="clear" w:color="auto" w:fill="auto"/>
            <w:vAlign w:val="center"/>
          </w:tcPr>
          <w:p w14:paraId="54E02F9A">
            <w:pPr>
              <w:autoSpaceDN w:val="0"/>
              <w:jc w:val="center"/>
              <w:rPr>
                <w:rFonts w:ascii="方正仿宋_GBK" w:hAnsi="Calibri" w:eastAsia="方正仿宋_GBK"/>
                <w:color w:val="000000"/>
                <w:sz w:val="18"/>
                <w:szCs w:val="18"/>
              </w:rPr>
            </w:pPr>
            <w:r>
              <w:rPr>
                <w:rFonts w:hint="eastAsia" w:ascii="方正仿宋_GBK" w:eastAsia="方正仿宋_GBK"/>
                <w:color w:val="000000"/>
              </w:rPr>
              <w:t>　年</w:t>
            </w:r>
          </w:p>
        </w:tc>
        <w:tc>
          <w:tcPr>
            <w:tcW w:w="623" w:type="dxa"/>
            <w:tcBorders>
              <w:top w:val="nil"/>
              <w:left w:val="single" w:color="auto" w:sz="4" w:space="0"/>
              <w:bottom w:val="single" w:color="auto" w:sz="4" w:space="0"/>
              <w:right w:val="nil"/>
            </w:tcBorders>
            <w:shd w:val="clear" w:color="auto" w:fill="auto"/>
            <w:vAlign w:val="center"/>
          </w:tcPr>
          <w:p w14:paraId="25091420">
            <w:pPr>
              <w:autoSpaceDN w:val="0"/>
              <w:jc w:val="center"/>
              <w:rPr>
                <w:rFonts w:ascii="方正仿宋_GBK" w:hAnsi="Calibri" w:eastAsia="方正仿宋_GBK"/>
                <w:color w:val="000000"/>
                <w:sz w:val="18"/>
                <w:szCs w:val="18"/>
              </w:rPr>
            </w:pPr>
            <w:r>
              <w:rPr>
                <w:rFonts w:hint="eastAsia" w:ascii="方正仿宋_GBK" w:eastAsia="方正仿宋_GBK"/>
                <w:color w:val="000000"/>
              </w:rPr>
              <w:t>=　</w:t>
            </w:r>
          </w:p>
        </w:tc>
        <w:tc>
          <w:tcPr>
            <w:tcW w:w="616" w:type="dxa"/>
            <w:tcBorders>
              <w:top w:val="nil"/>
              <w:left w:val="single" w:color="auto" w:sz="4" w:space="0"/>
              <w:bottom w:val="single" w:color="auto" w:sz="4" w:space="0"/>
              <w:right w:val="nil"/>
            </w:tcBorders>
            <w:shd w:val="clear" w:color="auto" w:fill="auto"/>
            <w:vAlign w:val="center"/>
          </w:tcPr>
          <w:p w14:paraId="26A3F6B0">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1年</w:t>
            </w:r>
          </w:p>
        </w:tc>
        <w:tc>
          <w:tcPr>
            <w:tcW w:w="616" w:type="dxa"/>
            <w:tcBorders>
              <w:top w:val="nil"/>
              <w:left w:val="single" w:color="auto" w:sz="4" w:space="0"/>
              <w:bottom w:val="single" w:color="auto" w:sz="4" w:space="0"/>
              <w:right w:val="nil"/>
            </w:tcBorders>
            <w:shd w:val="clear" w:color="auto" w:fill="auto"/>
            <w:vAlign w:val="center"/>
          </w:tcPr>
          <w:p w14:paraId="5E64E878">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832" w:type="dxa"/>
            <w:tcBorders>
              <w:top w:val="nil"/>
              <w:left w:val="single" w:color="auto" w:sz="4" w:space="0"/>
              <w:bottom w:val="single" w:color="auto" w:sz="4" w:space="0"/>
              <w:right w:val="nil"/>
            </w:tcBorders>
            <w:shd w:val="clear" w:color="auto" w:fill="auto"/>
            <w:vAlign w:val="center"/>
          </w:tcPr>
          <w:p w14:paraId="40162F98">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1年　</w:t>
            </w:r>
          </w:p>
        </w:tc>
        <w:tc>
          <w:tcPr>
            <w:tcW w:w="784" w:type="dxa"/>
            <w:tcBorders>
              <w:top w:val="nil"/>
              <w:left w:val="single" w:color="auto" w:sz="4" w:space="0"/>
              <w:bottom w:val="single" w:color="auto" w:sz="4" w:space="0"/>
              <w:right w:val="nil"/>
            </w:tcBorders>
            <w:shd w:val="clear" w:color="auto" w:fill="auto"/>
            <w:vAlign w:val="center"/>
          </w:tcPr>
          <w:p w14:paraId="1F83F005">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c>
          <w:tcPr>
            <w:tcW w:w="832" w:type="dxa"/>
            <w:tcBorders>
              <w:top w:val="nil"/>
              <w:left w:val="single" w:color="auto" w:sz="4" w:space="0"/>
              <w:bottom w:val="single" w:color="auto" w:sz="4" w:space="0"/>
              <w:right w:val="nil"/>
            </w:tcBorders>
            <w:shd w:val="clear" w:color="auto" w:fill="auto"/>
            <w:vAlign w:val="center"/>
          </w:tcPr>
          <w:p w14:paraId="61233D16">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15</w:t>
            </w:r>
          </w:p>
        </w:tc>
        <w:tc>
          <w:tcPr>
            <w:tcW w:w="832" w:type="dxa"/>
            <w:tcBorders>
              <w:top w:val="nil"/>
              <w:left w:val="single" w:color="auto" w:sz="4" w:space="0"/>
              <w:bottom w:val="single" w:color="auto" w:sz="4" w:space="0"/>
              <w:right w:val="nil"/>
            </w:tcBorders>
            <w:shd w:val="clear" w:color="auto" w:fill="auto"/>
            <w:vAlign w:val="center"/>
          </w:tcPr>
          <w:p w14:paraId="53B4F9A3">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15　</w:t>
            </w:r>
          </w:p>
        </w:tc>
        <w:tc>
          <w:tcPr>
            <w:tcW w:w="908" w:type="dxa"/>
            <w:tcBorders>
              <w:top w:val="nil"/>
              <w:left w:val="single" w:color="auto" w:sz="4" w:space="0"/>
              <w:bottom w:val="single" w:color="auto" w:sz="4" w:space="0"/>
              <w:right w:val="single" w:color="auto" w:sz="4" w:space="0"/>
            </w:tcBorders>
            <w:shd w:val="clear" w:color="auto" w:fill="auto"/>
            <w:vAlign w:val="center"/>
          </w:tcPr>
          <w:p w14:paraId="52173A70">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否　</w:t>
            </w:r>
          </w:p>
        </w:tc>
      </w:tr>
      <w:tr w14:paraId="24BD47E7">
        <w:tblPrEx>
          <w:tblCellMar>
            <w:top w:w="0" w:type="dxa"/>
            <w:left w:w="108" w:type="dxa"/>
            <w:bottom w:w="0" w:type="dxa"/>
            <w:right w:w="108" w:type="dxa"/>
          </w:tblCellMar>
        </w:tblPrEx>
        <w:trPr>
          <w:cantSplit/>
          <w:trHeight w:val="523" w:hRule="atLeast"/>
        </w:trPr>
        <w:tc>
          <w:tcPr>
            <w:tcW w:w="1030" w:type="dxa"/>
            <w:vMerge w:val="continue"/>
            <w:tcBorders>
              <w:top w:val="nil"/>
              <w:left w:val="single" w:color="auto" w:sz="4" w:space="0"/>
              <w:bottom w:val="single" w:color="auto" w:sz="4" w:space="0"/>
              <w:right w:val="single" w:color="auto" w:sz="4" w:space="0"/>
            </w:tcBorders>
            <w:vAlign w:val="center"/>
          </w:tcPr>
          <w:p w14:paraId="2FA8CADE">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7325DE9B">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计划生育特别扶助对象的独生子女伤残、死亡家庭父母对住院护理保险赔付情况满意度　</w:t>
            </w:r>
          </w:p>
        </w:tc>
        <w:tc>
          <w:tcPr>
            <w:tcW w:w="472" w:type="dxa"/>
            <w:tcBorders>
              <w:top w:val="nil"/>
              <w:left w:val="single" w:color="auto" w:sz="4" w:space="0"/>
              <w:bottom w:val="single" w:color="auto" w:sz="4" w:space="0"/>
              <w:right w:val="nil"/>
            </w:tcBorders>
            <w:shd w:val="clear" w:color="auto" w:fill="auto"/>
            <w:vAlign w:val="center"/>
          </w:tcPr>
          <w:p w14:paraId="61BD13C4">
            <w:pPr>
              <w:autoSpaceDN w:val="0"/>
              <w:jc w:val="center"/>
              <w:rPr>
                <w:rFonts w:ascii="方正仿宋_GBK" w:hAnsi="Calibri" w:eastAsia="方正仿宋_GBK"/>
                <w:color w:val="000000"/>
                <w:sz w:val="18"/>
                <w:szCs w:val="18"/>
              </w:rPr>
            </w:pPr>
            <w:r>
              <w:rPr>
                <w:rFonts w:hint="eastAsia" w:ascii="方正仿宋_GBK" w:eastAsia="方正仿宋_GBK"/>
                <w:color w:val="000000"/>
              </w:rPr>
              <w:t>%　</w:t>
            </w:r>
          </w:p>
        </w:tc>
        <w:tc>
          <w:tcPr>
            <w:tcW w:w="623" w:type="dxa"/>
            <w:tcBorders>
              <w:top w:val="nil"/>
              <w:left w:val="single" w:color="auto" w:sz="4" w:space="0"/>
              <w:bottom w:val="single" w:color="auto" w:sz="4" w:space="0"/>
              <w:right w:val="nil"/>
            </w:tcBorders>
            <w:shd w:val="clear" w:color="auto" w:fill="auto"/>
            <w:vAlign w:val="center"/>
          </w:tcPr>
          <w:p w14:paraId="2B28950F">
            <w:pPr>
              <w:autoSpaceDN w:val="0"/>
              <w:jc w:val="center"/>
              <w:rPr>
                <w:rFonts w:ascii="方正仿宋_GBK" w:hAnsi="Calibri" w:eastAsia="方正仿宋_GBK"/>
                <w:color w:val="000000"/>
                <w:sz w:val="18"/>
                <w:szCs w:val="18"/>
              </w:rPr>
            </w:pPr>
            <w:r>
              <w:rPr>
                <w:rFonts w:hint="eastAsia" w:ascii="方正仿宋_GBK" w:eastAsia="方正仿宋_GBK"/>
                <w:color w:val="000000"/>
              </w:rPr>
              <w:t>≥　</w:t>
            </w:r>
          </w:p>
        </w:tc>
        <w:tc>
          <w:tcPr>
            <w:tcW w:w="616" w:type="dxa"/>
            <w:tcBorders>
              <w:top w:val="nil"/>
              <w:left w:val="single" w:color="auto" w:sz="4" w:space="0"/>
              <w:bottom w:val="single" w:color="auto" w:sz="4" w:space="0"/>
              <w:right w:val="nil"/>
            </w:tcBorders>
            <w:shd w:val="clear" w:color="auto" w:fill="auto"/>
            <w:vAlign w:val="center"/>
          </w:tcPr>
          <w:p w14:paraId="47291622">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90%　</w:t>
            </w:r>
          </w:p>
        </w:tc>
        <w:tc>
          <w:tcPr>
            <w:tcW w:w="616" w:type="dxa"/>
            <w:tcBorders>
              <w:top w:val="nil"/>
              <w:left w:val="single" w:color="auto" w:sz="4" w:space="0"/>
              <w:bottom w:val="single" w:color="auto" w:sz="4" w:space="0"/>
              <w:right w:val="nil"/>
            </w:tcBorders>
            <w:shd w:val="clear" w:color="auto" w:fill="auto"/>
            <w:vAlign w:val="center"/>
          </w:tcPr>
          <w:p w14:paraId="34771EB5">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832" w:type="dxa"/>
            <w:tcBorders>
              <w:top w:val="nil"/>
              <w:left w:val="single" w:color="auto" w:sz="4" w:space="0"/>
              <w:bottom w:val="single" w:color="auto" w:sz="4" w:space="0"/>
              <w:right w:val="nil"/>
            </w:tcBorders>
            <w:shd w:val="clear" w:color="auto" w:fill="auto"/>
            <w:vAlign w:val="center"/>
          </w:tcPr>
          <w:p w14:paraId="09B5B478">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85%</w:t>
            </w:r>
          </w:p>
        </w:tc>
        <w:tc>
          <w:tcPr>
            <w:tcW w:w="784" w:type="dxa"/>
            <w:tcBorders>
              <w:top w:val="nil"/>
              <w:left w:val="single" w:color="auto" w:sz="4" w:space="0"/>
              <w:bottom w:val="single" w:color="auto" w:sz="4" w:space="0"/>
              <w:right w:val="nil"/>
            </w:tcBorders>
            <w:shd w:val="clear" w:color="auto" w:fill="auto"/>
            <w:vAlign w:val="center"/>
          </w:tcPr>
          <w:p w14:paraId="5152B93E">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94%</w:t>
            </w:r>
          </w:p>
        </w:tc>
        <w:tc>
          <w:tcPr>
            <w:tcW w:w="832" w:type="dxa"/>
            <w:tcBorders>
              <w:top w:val="nil"/>
              <w:left w:val="single" w:color="auto" w:sz="4" w:space="0"/>
              <w:bottom w:val="single" w:color="auto" w:sz="4" w:space="0"/>
              <w:right w:val="nil"/>
            </w:tcBorders>
            <w:shd w:val="clear" w:color="auto" w:fill="auto"/>
            <w:vAlign w:val="center"/>
          </w:tcPr>
          <w:p w14:paraId="68FE4C01">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20　</w:t>
            </w:r>
          </w:p>
        </w:tc>
        <w:tc>
          <w:tcPr>
            <w:tcW w:w="832" w:type="dxa"/>
            <w:tcBorders>
              <w:top w:val="nil"/>
              <w:left w:val="single" w:color="auto" w:sz="4" w:space="0"/>
              <w:bottom w:val="single" w:color="auto" w:sz="4" w:space="0"/>
              <w:right w:val="nil"/>
            </w:tcBorders>
            <w:shd w:val="clear" w:color="auto" w:fill="auto"/>
            <w:vAlign w:val="center"/>
          </w:tcPr>
          <w:p w14:paraId="461ECE4D">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18　</w:t>
            </w:r>
          </w:p>
        </w:tc>
        <w:tc>
          <w:tcPr>
            <w:tcW w:w="908" w:type="dxa"/>
            <w:tcBorders>
              <w:top w:val="nil"/>
              <w:left w:val="single" w:color="auto" w:sz="4" w:space="0"/>
              <w:bottom w:val="single" w:color="auto" w:sz="4" w:space="0"/>
              <w:right w:val="single" w:color="auto" w:sz="4" w:space="0"/>
            </w:tcBorders>
            <w:shd w:val="clear" w:color="auto" w:fill="auto"/>
            <w:vAlign w:val="center"/>
          </w:tcPr>
          <w:p w14:paraId="32415C08">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否　</w:t>
            </w:r>
          </w:p>
        </w:tc>
      </w:tr>
      <w:tr w14:paraId="5DE47BDE">
        <w:tblPrEx>
          <w:tblCellMar>
            <w:top w:w="0" w:type="dxa"/>
            <w:left w:w="108" w:type="dxa"/>
            <w:bottom w:w="0" w:type="dxa"/>
            <w:right w:w="108" w:type="dxa"/>
          </w:tblCellMar>
        </w:tblPrEx>
        <w:trPr>
          <w:cantSplit/>
          <w:trHeight w:val="523" w:hRule="atLeast"/>
        </w:trPr>
        <w:tc>
          <w:tcPr>
            <w:tcW w:w="1030" w:type="dxa"/>
            <w:vMerge w:val="continue"/>
            <w:tcBorders>
              <w:top w:val="nil"/>
              <w:left w:val="single" w:color="auto" w:sz="4" w:space="0"/>
              <w:bottom w:val="single" w:color="auto" w:sz="4" w:space="0"/>
              <w:right w:val="single" w:color="auto" w:sz="4" w:space="0"/>
            </w:tcBorders>
            <w:vAlign w:val="center"/>
          </w:tcPr>
          <w:p w14:paraId="564CF0C4">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2CB08FF5">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资金执行率</w:t>
            </w:r>
          </w:p>
        </w:tc>
        <w:tc>
          <w:tcPr>
            <w:tcW w:w="472" w:type="dxa"/>
            <w:tcBorders>
              <w:top w:val="nil"/>
              <w:left w:val="single" w:color="auto" w:sz="4" w:space="0"/>
              <w:bottom w:val="single" w:color="auto" w:sz="4" w:space="0"/>
              <w:right w:val="nil"/>
            </w:tcBorders>
            <w:shd w:val="clear" w:color="auto" w:fill="auto"/>
            <w:vAlign w:val="center"/>
          </w:tcPr>
          <w:p w14:paraId="4DD0CAB9">
            <w:pPr>
              <w:autoSpaceDN w:val="0"/>
              <w:jc w:val="center"/>
              <w:rPr>
                <w:rFonts w:ascii="方正仿宋_GBK" w:hAnsi="Calibri" w:eastAsia="方正仿宋_GBK"/>
                <w:color w:val="000000"/>
                <w:sz w:val="18"/>
                <w:szCs w:val="18"/>
              </w:rPr>
            </w:pPr>
            <w:r>
              <w:rPr>
                <w:rFonts w:hint="eastAsia" w:ascii="方正仿宋_GBK" w:eastAsia="方正仿宋_GBK"/>
                <w:color w:val="000000"/>
              </w:rPr>
              <w:t>%　</w:t>
            </w:r>
          </w:p>
        </w:tc>
        <w:tc>
          <w:tcPr>
            <w:tcW w:w="623" w:type="dxa"/>
            <w:tcBorders>
              <w:top w:val="nil"/>
              <w:left w:val="single" w:color="auto" w:sz="4" w:space="0"/>
              <w:bottom w:val="single" w:color="auto" w:sz="4" w:space="0"/>
              <w:right w:val="nil"/>
            </w:tcBorders>
            <w:shd w:val="clear" w:color="auto" w:fill="auto"/>
            <w:vAlign w:val="center"/>
          </w:tcPr>
          <w:p w14:paraId="5DA730F8">
            <w:pPr>
              <w:autoSpaceDN w:val="0"/>
              <w:jc w:val="center"/>
              <w:rPr>
                <w:rFonts w:ascii="方正仿宋_GBK" w:hAnsi="Calibri" w:eastAsia="方正仿宋_GBK"/>
                <w:color w:val="000000"/>
                <w:sz w:val="18"/>
                <w:szCs w:val="18"/>
              </w:rPr>
            </w:pPr>
            <w:r>
              <w:rPr>
                <w:rFonts w:hint="eastAsia" w:ascii="方正仿宋_GBK" w:eastAsia="方正仿宋_GBK"/>
                <w:color w:val="000000"/>
              </w:rPr>
              <w:t>=　</w:t>
            </w:r>
          </w:p>
        </w:tc>
        <w:tc>
          <w:tcPr>
            <w:tcW w:w="616" w:type="dxa"/>
            <w:tcBorders>
              <w:top w:val="nil"/>
              <w:left w:val="single" w:color="auto" w:sz="4" w:space="0"/>
              <w:bottom w:val="single" w:color="auto" w:sz="4" w:space="0"/>
              <w:right w:val="nil"/>
            </w:tcBorders>
            <w:shd w:val="clear" w:color="auto" w:fill="auto"/>
            <w:vAlign w:val="center"/>
          </w:tcPr>
          <w:p w14:paraId="224DE1D1">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c>
          <w:tcPr>
            <w:tcW w:w="616" w:type="dxa"/>
            <w:tcBorders>
              <w:top w:val="nil"/>
              <w:left w:val="single" w:color="auto" w:sz="4" w:space="0"/>
              <w:bottom w:val="single" w:color="auto" w:sz="4" w:space="0"/>
              <w:right w:val="nil"/>
            </w:tcBorders>
            <w:shd w:val="clear" w:color="auto" w:fill="auto"/>
            <w:vAlign w:val="center"/>
          </w:tcPr>
          <w:p w14:paraId="31FA2273">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832" w:type="dxa"/>
            <w:tcBorders>
              <w:top w:val="nil"/>
              <w:left w:val="single" w:color="auto" w:sz="4" w:space="0"/>
              <w:bottom w:val="single" w:color="auto" w:sz="4" w:space="0"/>
              <w:right w:val="nil"/>
            </w:tcBorders>
            <w:shd w:val="clear" w:color="auto" w:fill="auto"/>
            <w:vAlign w:val="center"/>
          </w:tcPr>
          <w:p w14:paraId="3CF89A30">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c>
          <w:tcPr>
            <w:tcW w:w="784" w:type="dxa"/>
            <w:tcBorders>
              <w:top w:val="nil"/>
              <w:left w:val="single" w:color="auto" w:sz="4" w:space="0"/>
              <w:bottom w:val="single" w:color="auto" w:sz="4" w:space="0"/>
              <w:right w:val="nil"/>
            </w:tcBorders>
            <w:shd w:val="clear" w:color="auto" w:fill="auto"/>
            <w:vAlign w:val="center"/>
          </w:tcPr>
          <w:p w14:paraId="787CEE99">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c>
          <w:tcPr>
            <w:tcW w:w="832" w:type="dxa"/>
            <w:tcBorders>
              <w:top w:val="nil"/>
              <w:left w:val="single" w:color="auto" w:sz="4" w:space="0"/>
              <w:bottom w:val="single" w:color="auto" w:sz="4" w:space="0"/>
              <w:right w:val="nil"/>
            </w:tcBorders>
            <w:shd w:val="clear" w:color="auto" w:fill="auto"/>
            <w:vAlign w:val="center"/>
          </w:tcPr>
          <w:p w14:paraId="790A53A3">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　</w:t>
            </w:r>
          </w:p>
        </w:tc>
        <w:tc>
          <w:tcPr>
            <w:tcW w:w="832" w:type="dxa"/>
            <w:tcBorders>
              <w:top w:val="nil"/>
              <w:left w:val="single" w:color="auto" w:sz="4" w:space="0"/>
              <w:bottom w:val="single" w:color="auto" w:sz="4" w:space="0"/>
              <w:right w:val="nil"/>
            </w:tcBorders>
            <w:shd w:val="clear" w:color="auto" w:fill="auto"/>
            <w:vAlign w:val="center"/>
          </w:tcPr>
          <w:p w14:paraId="7E7C02A3">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　</w:t>
            </w:r>
          </w:p>
        </w:tc>
        <w:tc>
          <w:tcPr>
            <w:tcW w:w="908" w:type="dxa"/>
            <w:tcBorders>
              <w:top w:val="nil"/>
              <w:left w:val="single" w:color="auto" w:sz="4" w:space="0"/>
              <w:bottom w:val="single" w:color="auto" w:sz="4" w:space="0"/>
              <w:right w:val="single" w:color="auto" w:sz="4" w:space="0"/>
            </w:tcBorders>
            <w:shd w:val="clear" w:color="auto" w:fill="auto"/>
            <w:vAlign w:val="center"/>
          </w:tcPr>
          <w:p w14:paraId="16479DF9">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否　</w:t>
            </w:r>
          </w:p>
        </w:tc>
      </w:tr>
      <w:tr w14:paraId="31BFBDD7">
        <w:tblPrEx>
          <w:tblCellMar>
            <w:top w:w="0" w:type="dxa"/>
            <w:left w:w="108" w:type="dxa"/>
            <w:bottom w:w="0" w:type="dxa"/>
            <w:right w:w="108" w:type="dxa"/>
          </w:tblCellMar>
        </w:tblPrEx>
        <w:trPr>
          <w:cantSplit/>
          <w:trHeight w:val="523" w:hRule="atLeast"/>
        </w:trPr>
        <w:tc>
          <w:tcPr>
            <w:tcW w:w="1030" w:type="dxa"/>
            <w:vMerge w:val="continue"/>
            <w:tcBorders>
              <w:top w:val="nil"/>
              <w:left w:val="single" w:color="auto" w:sz="4" w:space="0"/>
              <w:bottom w:val="single" w:color="auto" w:sz="4" w:space="0"/>
              <w:right w:val="single" w:color="auto" w:sz="4" w:space="0"/>
            </w:tcBorders>
            <w:vAlign w:val="center"/>
          </w:tcPr>
          <w:p w14:paraId="1D9B555B">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67AC91E2">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472" w:type="dxa"/>
            <w:tcBorders>
              <w:top w:val="nil"/>
              <w:left w:val="single" w:color="auto" w:sz="4" w:space="0"/>
              <w:bottom w:val="single" w:color="auto" w:sz="4" w:space="0"/>
              <w:right w:val="nil"/>
            </w:tcBorders>
            <w:shd w:val="clear" w:color="auto" w:fill="auto"/>
            <w:vAlign w:val="center"/>
          </w:tcPr>
          <w:p w14:paraId="5F797C60">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623" w:type="dxa"/>
            <w:tcBorders>
              <w:top w:val="nil"/>
              <w:left w:val="single" w:color="auto" w:sz="4" w:space="0"/>
              <w:bottom w:val="single" w:color="auto" w:sz="4" w:space="0"/>
              <w:right w:val="nil"/>
            </w:tcBorders>
            <w:shd w:val="clear" w:color="auto" w:fill="auto"/>
            <w:vAlign w:val="center"/>
          </w:tcPr>
          <w:p w14:paraId="05CB3F73">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616" w:type="dxa"/>
            <w:tcBorders>
              <w:top w:val="nil"/>
              <w:left w:val="single" w:color="auto" w:sz="4" w:space="0"/>
              <w:bottom w:val="single" w:color="auto" w:sz="4" w:space="0"/>
              <w:right w:val="nil"/>
            </w:tcBorders>
            <w:shd w:val="clear" w:color="auto" w:fill="auto"/>
            <w:vAlign w:val="center"/>
          </w:tcPr>
          <w:p w14:paraId="51EFC8E6">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616" w:type="dxa"/>
            <w:tcBorders>
              <w:top w:val="nil"/>
              <w:left w:val="single" w:color="auto" w:sz="4" w:space="0"/>
              <w:bottom w:val="single" w:color="auto" w:sz="4" w:space="0"/>
              <w:right w:val="nil"/>
            </w:tcBorders>
            <w:shd w:val="clear" w:color="auto" w:fill="auto"/>
            <w:vAlign w:val="center"/>
          </w:tcPr>
          <w:p w14:paraId="3963F499">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832" w:type="dxa"/>
            <w:tcBorders>
              <w:top w:val="nil"/>
              <w:left w:val="single" w:color="auto" w:sz="4" w:space="0"/>
              <w:bottom w:val="single" w:color="auto" w:sz="4" w:space="0"/>
              <w:right w:val="nil"/>
            </w:tcBorders>
            <w:shd w:val="clear" w:color="auto" w:fill="auto"/>
            <w:vAlign w:val="center"/>
          </w:tcPr>
          <w:p w14:paraId="72FE0E59">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784" w:type="dxa"/>
            <w:tcBorders>
              <w:top w:val="nil"/>
              <w:left w:val="single" w:color="auto" w:sz="4" w:space="0"/>
              <w:bottom w:val="single" w:color="auto" w:sz="4" w:space="0"/>
              <w:right w:val="nil"/>
            </w:tcBorders>
            <w:shd w:val="clear" w:color="auto" w:fill="auto"/>
            <w:vAlign w:val="center"/>
          </w:tcPr>
          <w:p w14:paraId="496BBA1F">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832" w:type="dxa"/>
            <w:tcBorders>
              <w:top w:val="nil"/>
              <w:left w:val="single" w:color="auto" w:sz="4" w:space="0"/>
              <w:bottom w:val="single" w:color="auto" w:sz="4" w:space="0"/>
              <w:right w:val="nil"/>
            </w:tcBorders>
            <w:shd w:val="clear" w:color="auto" w:fill="auto"/>
            <w:vAlign w:val="center"/>
          </w:tcPr>
          <w:p w14:paraId="738CE70C">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832" w:type="dxa"/>
            <w:tcBorders>
              <w:top w:val="nil"/>
              <w:left w:val="single" w:color="auto" w:sz="4" w:space="0"/>
              <w:bottom w:val="single" w:color="auto" w:sz="4" w:space="0"/>
              <w:right w:val="nil"/>
            </w:tcBorders>
            <w:shd w:val="clear" w:color="auto" w:fill="auto"/>
            <w:vAlign w:val="center"/>
          </w:tcPr>
          <w:p w14:paraId="1E697540">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908" w:type="dxa"/>
            <w:tcBorders>
              <w:top w:val="nil"/>
              <w:left w:val="single" w:color="auto" w:sz="4" w:space="0"/>
              <w:bottom w:val="single" w:color="auto" w:sz="4" w:space="0"/>
              <w:right w:val="single" w:color="auto" w:sz="4" w:space="0"/>
            </w:tcBorders>
            <w:shd w:val="clear" w:color="auto" w:fill="auto"/>
            <w:vAlign w:val="center"/>
          </w:tcPr>
          <w:p w14:paraId="1C0D58FC">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r>
      <w:tr w14:paraId="74F03017">
        <w:tblPrEx>
          <w:tblCellMar>
            <w:top w:w="0" w:type="dxa"/>
            <w:left w:w="108" w:type="dxa"/>
            <w:bottom w:w="0" w:type="dxa"/>
            <w:right w:w="108" w:type="dxa"/>
          </w:tblCellMar>
        </w:tblPrEx>
        <w:trPr>
          <w:trHeight w:val="755" w:hRule="atLeast"/>
        </w:trPr>
        <w:tc>
          <w:tcPr>
            <w:tcW w:w="1030" w:type="dxa"/>
            <w:tcBorders>
              <w:top w:val="nil"/>
              <w:left w:val="single" w:color="auto" w:sz="4" w:space="0"/>
              <w:bottom w:val="single" w:color="auto" w:sz="4" w:space="0"/>
              <w:right w:val="single" w:color="auto" w:sz="4" w:space="0"/>
            </w:tcBorders>
            <w:shd w:val="clear" w:color="auto" w:fill="auto"/>
            <w:vAlign w:val="center"/>
          </w:tcPr>
          <w:p w14:paraId="68CBBC2C">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说明</w:t>
            </w:r>
          </w:p>
        </w:tc>
        <w:tc>
          <w:tcPr>
            <w:tcW w:w="7470" w:type="dxa"/>
            <w:gridSpan w:val="10"/>
            <w:tcBorders>
              <w:top w:val="single" w:color="auto" w:sz="4" w:space="0"/>
              <w:left w:val="nil"/>
              <w:bottom w:val="single" w:color="auto" w:sz="4" w:space="0"/>
              <w:right w:val="single" w:color="auto" w:sz="4" w:space="0"/>
            </w:tcBorders>
            <w:shd w:val="clear" w:color="auto" w:fill="auto"/>
            <w:vAlign w:val="center"/>
          </w:tcPr>
          <w:p w14:paraId="04A8F7DE">
            <w:pPr>
              <w:autoSpaceDN w:val="0"/>
              <w:rPr>
                <w:rFonts w:ascii="方正仿宋_GBK" w:hAnsi="Calibri" w:eastAsia="方正仿宋_GBK"/>
                <w:color w:val="000000"/>
                <w:sz w:val="18"/>
                <w:szCs w:val="18"/>
              </w:rPr>
            </w:pPr>
            <w:r>
              <w:rPr>
                <w:rFonts w:hint="eastAsia" w:ascii="方正仿宋_GBK" w:eastAsia="方正仿宋_GBK"/>
                <w:color w:val="000000"/>
                <w:sz w:val="18"/>
                <w:szCs w:val="18"/>
              </w:rPr>
              <w:t>　</w:t>
            </w:r>
          </w:p>
        </w:tc>
      </w:tr>
      <w:tr w14:paraId="75474BAD">
        <w:tblPrEx>
          <w:tblCellMar>
            <w:top w:w="0" w:type="dxa"/>
            <w:left w:w="108" w:type="dxa"/>
            <w:bottom w:w="0" w:type="dxa"/>
            <w:right w:w="108" w:type="dxa"/>
          </w:tblCellMar>
        </w:tblPrEx>
        <w:trPr>
          <w:trHeight w:val="601" w:hRule="atLeast"/>
        </w:trPr>
        <w:tc>
          <w:tcPr>
            <w:tcW w:w="8500" w:type="dxa"/>
            <w:gridSpan w:val="11"/>
            <w:tcBorders>
              <w:top w:val="nil"/>
              <w:left w:val="nil"/>
              <w:bottom w:val="nil"/>
              <w:right w:val="nil"/>
            </w:tcBorders>
            <w:shd w:val="clear" w:color="auto" w:fill="auto"/>
            <w:vAlign w:val="center"/>
          </w:tcPr>
          <w:p w14:paraId="27A50F9A">
            <w:pPr>
              <w:autoSpaceDN w:val="0"/>
              <w:rPr>
                <w:rFonts w:ascii="方正小标宋_GBK" w:hAnsi="Calibri" w:eastAsia="方正小标宋_GBK"/>
                <w:color w:val="000000"/>
                <w:sz w:val="36"/>
                <w:szCs w:val="36"/>
              </w:rPr>
            </w:pPr>
          </w:p>
          <w:p w14:paraId="517B8675">
            <w:pPr>
              <w:autoSpaceDN w:val="0"/>
              <w:rPr>
                <w:rFonts w:ascii="方正小标宋_GBK" w:hAnsi="Calibri" w:eastAsia="方正小标宋_GBK"/>
                <w:color w:val="000000"/>
                <w:sz w:val="36"/>
                <w:szCs w:val="36"/>
              </w:rPr>
            </w:pPr>
          </w:p>
          <w:p w14:paraId="71BDCBF7">
            <w:pPr>
              <w:autoSpaceDN w:val="0"/>
              <w:rPr>
                <w:rFonts w:ascii="方正小标宋_GBK" w:hAnsi="Calibri" w:eastAsia="方正小标宋_GBK"/>
                <w:color w:val="000000"/>
                <w:sz w:val="36"/>
                <w:szCs w:val="36"/>
              </w:rPr>
            </w:pPr>
          </w:p>
          <w:p w14:paraId="025D0BD3">
            <w:pPr>
              <w:autoSpaceDN w:val="0"/>
              <w:rPr>
                <w:rFonts w:ascii="方正小标宋_GBK" w:hAnsi="Calibri" w:eastAsia="方正小标宋_GBK"/>
                <w:color w:val="000000"/>
                <w:sz w:val="36"/>
                <w:szCs w:val="36"/>
              </w:rPr>
            </w:pPr>
          </w:p>
          <w:p w14:paraId="089A763F">
            <w:pPr>
              <w:autoSpaceDN w:val="0"/>
              <w:jc w:val="center"/>
              <w:rPr>
                <w:rFonts w:ascii="方正小标宋_GBK" w:hAnsi="Calibri" w:eastAsia="方正小标宋_GBK"/>
                <w:color w:val="000000"/>
                <w:sz w:val="36"/>
                <w:szCs w:val="36"/>
              </w:rPr>
            </w:pPr>
            <w:r>
              <w:rPr>
                <w:rFonts w:hint="eastAsia" w:ascii="方正小标宋_GBK" w:eastAsia="方正小标宋_GBK"/>
                <w:color w:val="000000"/>
                <w:sz w:val="36"/>
                <w:szCs w:val="36"/>
              </w:rPr>
              <w:t>二级项目绩效自评表样</w:t>
            </w:r>
          </w:p>
        </w:tc>
      </w:tr>
      <w:tr w14:paraId="0153597C">
        <w:tblPrEx>
          <w:tblCellMar>
            <w:top w:w="0" w:type="dxa"/>
            <w:left w:w="108" w:type="dxa"/>
            <w:bottom w:w="0" w:type="dxa"/>
            <w:right w:w="108" w:type="dxa"/>
          </w:tblCellMar>
        </w:tblPrEx>
        <w:trPr>
          <w:trHeight w:val="601" w:hRule="atLeast"/>
        </w:trPr>
        <w:tc>
          <w:tcPr>
            <w:tcW w:w="1030" w:type="dxa"/>
            <w:tcBorders>
              <w:top w:val="single" w:color="auto" w:sz="4" w:space="0"/>
              <w:left w:val="single" w:color="auto" w:sz="4" w:space="0"/>
              <w:bottom w:val="single" w:color="auto" w:sz="4" w:space="0"/>
              <w:right w:val="single" w:color="auto" w:sz="4" w:space="0"/>
            </w:tcBorders>
            <w:shd w:val="clear" w:color="auto" w:fill="auto"/>
            <w:vAlign w:val="center"/>
          </w:tcPr>
          <w:p w14:paraId="2534BEC5">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项目名称</w:t>
            </w:r>
          </w:p>
        </w:tc>
        <w:tc>
          <w:tcPr>
            <w:tcW w:w="1427" w:type="dxa"/>
            <w:gridSpan w:val="2"/>
            <w:tcBorders>
              <w:top w:val="single" w:color="auto" w:sz="4" w:space="0"/>
              <w:left w:val="nil"/>
              <w:bottom w:val="single" w:color="auto" w:sz="4" w:space="0"/>
              <w:right w:val="single" w:color="000000" w:sz="4" w:space="0"/>
            </w:tcBorders>
            <w:shd w:val="clear" w:color="auto" w:fill="auto"/>
            <w:vAlign w:val="center"/>
          </w:tcPr>
          <w:p w14:paraId="50B2F781">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五院房屋租金</w:t>
            </w:r>
          </w:p>
        </w:tc>
        <w:tc>
          <w:tcPr>
            <w:tcW w:w="623" w:type="dxa"/>
            <w:tcBorders>
              <w:top w:val="single" w:color="auto" w:sz="4" w:space="0"/>
              <w:left w:val="nil"/>
              <w:bottom w:val="single" w:color="auto" w:sz="4" w:space="0"/>
              <w:right w:val="single" w:color="auto" w:sz="4" w:space="0"/>
            </w:tcBorders>
            <w:shd w:val="clear" w:color="auto" w:fill="auto"/>
            <w:vAlign w:val="center"/>
          </w:tcPr>
          <w:p w14:paraId="540CD0AA">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项目编码</w:t>
            </w:r>
          </w:p>
        </w:tc>
        <w:tc>
          <w:tcPr>
            <w:tcW w:w="1232" w:type="dxa"/>
            <w:gridSpan w:val="2"/>
            <w:tcBorders>
              <w:top w:val="single" w:color="auto" w:sz="4" w:space="0"/>
              <w:left w:val="nil"/>
              <w:bottom w:val="single" w:color="auto" w:sz="4" w:space="0"/>
              <w:right w:val="single" w:color="000000" w:sz="4" w:space="0"/>
            </w:tcBorders>
            <w:shd w:val="clear" w:color="auto" w:fill="auto"/>
            <w:vAlign w:val="center"/>
          </w:tcPr>
          <w:p w14:paraId="33AF7679">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2020A1047　</w:t>
            </w:r>
          </w:p>
        </w:tc>
        <w:tc>
          <w:tcPr>
            <w:tcW w:w="832" w:type="dxa"/>
            <w:tcBorders>
              <w:top w:val="single" w:color="auto" w:sz="4" w:space="0"/>
              <w:left w:val="nil"/>
              <w:bottom w:val="single" w:color="auto" w:sz="4" w:space="0"/>
              <w:right w:val="single" w:color="auto" w:sz="4" w:space="0"/>
            </w:tcBorders>
            <w:shd w:val="clear" w:color="auto" w:fill="auto"/>
            <w:vAlign w:val="center"/>
          </w:tcPr>
          <w:p w14:paraId="205E745F">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自评总分</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c>
          <w:tcPr>
            <w:tcW w:w="3356" w:type="dxa"/>
            <w:gridSpan w:val="4"/>
            <w:tcBorders>
              <w:top w:val="single" w:color="auto" w:sz="4" w:space="0"/>
              <w:left w:val="nil"/>
              <w:bottom w:val="single" w:color="auto" w:sz="4" w:space="0"/>
              <w:right w:val="single" w:color="000000" w:sz="4" w:space="0"/>
            </w:tcBorders>
            <w:shd w:val="clear" w:color="auto" w:fill="auto"/>
            <w:vAlign w:val="center"/>
          </w:tcPr>
          <w:p w14:paraId="2B0670A1">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r>
      <w:tr w14:paraId="76E31663">
        <w:tblPrEx>
          <w:tblCellMar>
            <w:top w:w="0" w:type="dxa"/>
            <w:left w:w="108" w:type="dxa"/>
            <w:bottom w:w="0" w:type="dxa"/>
            <w:right w:w="108" w:type="dxa"/>
          </w:tblCellMar>
        </w:tblPrEx>
        <w:trPr>
          <w:trHeight w:val="601" w:hRule="atLeast"/>
        </w:trPr>
        <w:tc>
          <w:tcPr>
            <w:tcW w:w="1030" w:type="dxa"/>
            <w:tcBorders>
              <w:top w:val="nil"/>
              <w:left w:val="single" w:color="auto" w:sz="4" w:space="0"/>
              <w:bottom w:val="single" w:color="auto" w:sz="4" w:space="0"/>
              <w:right w:val="single" w:color="auto" w:sz="4" w:space="0"/>
            </w:tcBorders>
            <w:shd w:val="clear" w:color="auto" w:fill="auto"/>
            <w:vAlign w:val="center"/>
          </w:tcPr>
          <w:p w14:paraId="38370C09">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主管部门</w:t>
            </w:r>
          </w:p>
        </w:tc>
        <w:tc>
          <w:tcPr>
            <w:tcW w:w="1427" w:type="dxa"/>
            <w:gridSpan w:val="2"/>
            <w:tcBorders>
              <w:top w:val="single" w:color="auto" w:sz="4" w:space="0"/>
              <w:left w:val="nil"/>
              <w:bottom w:val="single" w:color="auto" w:sz="4" w:space="0"/>
              <w:right w:val="single" w:color="000000" w:sz="4" w:space="0"/>
            </w:tcBorders>
            <w:shd w:val="clear" w:color="auto" w:fill="auto"/>
            <w:vAlign w:val="center"/>
          </w:tcPr>
          <w:p w14:paraId="605270AF">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南岸区卫生健康委员会</w:t>
            </w:r>
          </w:p>
        </w:tc>
        <w:tc>
          <w:tcPr>
            <w:tcW w:w="623" w:type="dxa"/>
            <w:tcBorders>
              <w:top w:val="nil"/>
              <w:left w:val="nil"/>
              <w:bottom w:val="single" w:color="auto" w:sz="4" w:space="0"/>
              <w:right w:val="single" w:color="auto" w:sz="4" w:space="0"/>
            </w:tcBorders>
            <w:shd w:val="clear" w:color="auto" w:fill="auto"/>
            <w:vAlign w:val="center"/>
          </w:tcPr>
          <w:p w14:paraId="289C296A">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财政处室</w:t>
            </w:r>
          </w:p>
        </w:tc>
        <w:tc>
          <w:tcPr>
            <w:tcW w:w="1232" w:type="dxa"/>
            <w:gridSpan w:val="2"/>
            <w:tcBorders>
              <w:top w:val="single" w:color="auto" w:sz="4" w:space="0"/>
              <w:left w:val="nil"/>
              <w:bottom w:val="single" w:color="auto" w:sz="4" w:space="0"/>
              <w:right w:val="single" w:color="000000" w:sz="4" w:space="0"/>
            </w:tcBorders>
            <w:shd w:val="clear" w:color="auto" w:fill="auto"/>
            <w:vAlign w:val="center"/>
          </w:tcPr>
          <w:p w14:paraId="294DE42B">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社保科　</w:t>
            </w:r>
          </w:p>
        </w:tc>
        <w:tc>
          <w:tcPr>
            <w:tcW w:w="832" w:type="dxa"/>
            <w:tcBorders>
              <w:top w:val="nil"/>
              <w:left w:val="nil"/>
              <w:bottom w:val="single" w:color="auto" w:sz="4" w:space="0"/>
              <w:right w:val="single" w:color="auto" w:sz="4" w:space="0"/>
            </w:tcBorders>
            <w:shd w:val="clear" w:color="auto" w:fill="auto"/>
            <w:vAlign w:val="center"/>
          </w:tcPr>
          <w:p w14:paraId="5E259E0E">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联系人</w:t>
            </w:r>
          </w:p>
        </w:tc>
        <w:tc>
          <w:tcPr>
            <w:tcW w:w="784" w:type="dxa"/>
            <w:tcBorders>
              <w:top w:val="nil"/>
              <w:left w:val="nil"/>
              <w:bottom w:val="single" w:color="auto" w:sz="4" w:space="0"/>
              <w:right w:val="single" w:color="auto" w:sz="4" w:space="0"/>
            </w:tcBorders>
            <w:shd w:val="clear" w:color="auto" w:fill="auto"/>
            <w:vAlign w:val="center"/>
          </w:tcPr>
          <w:p w14:paraId="5F7CCFB1">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张雪平　</w:t>
            </w:r>
          </w:p>
        </w:tc>
        <w:tc>
          <w:tcPr>
            <w:tcW w:w="832" w:type="dxa"/>
            <w:tcBorders>
              <w:top w:val="nil"/>
              <w:left w:val="nil"/>
              <w:bottom w:val="single" w:color="auto" w:sz="4" w:space="0"/>
              <w:right w:val="single" w:color="auto" w:sz="4" w:space="0"/>
            </w:tcBorders>
            <w:shd w:val="clear" w:color="auto" w:fill="auto"/>
            <w:vAlign w:val="center"/>
          </w:tcPr>
          <w:p w14:paraId="594369C9">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联系电话</w:t>
            </w:r>
          </w:p>
        </w:tc>
        <w:tc>
          <w:tcPr>
            <w:tcW w:w="1740" w:type="dxa"/>
            <w:gridSpan w:val="2"/>
            <w:tcBorders>
              <w:top w:val="single" w:color="auto" w:sz="4" w:space="0"/>
              <w:left w:val="nil"/>
              <w:bottom w:val="single" w:color="auto" w:sz="4" w:space="0"/>
              <w:right w:val="single" w:color="000000" w:sz="4" w:space="0"/>
            </w:tcBorders>
            <w:shd w:val="clear" w:color="auto" w:fill="auto"/>
            <w:vAlign w:val="center"/>
          </w:tcPr>
          <w:p w14:paraId="1CD7AE63">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023-62896001　</w:t>
            </w:r>
          </w:p>
        </w:tc>
      </w:tr>
      <w:tr w14:paraId="20CB6CF9">
        <w:tblPrEx>
          <w:tblCellMar>
            <w:top w:w="0" w:type="dxa"/>
            <w:left w:w="108" w:type="dxa"/>
            <w:bottom w:w="0" w:type="dxa"/>
            <w:right w:w="108" w:type="dxa"/>
          </w:tblCellMar>
        </w:tblPrEx>
        <w:trPr>
          <w:cantSplit/>
          <w:trHeight w:val="601" w:hRule="atLeast"/>
        </w:trPr>
        <w:tc>
          <w:tcPr>
            <w:tcW w:w="1030" w:type="dxa"/>
            <w:vMerge w:val="restart"/>
            <w:tcBorders>
              <w:top w:val="nil"/>
              <w:left w:val="single" w:color="auto" w:sz="4" w:space="0"/>
              <w:bottom w:val="single" w:color="auto" w:sz="4" w:space="0"/>
              <w:right w:val="single" w:color="auto" w:sz="4" w:space="0"/>
            </w:tcBorders>
            <w:shd w:val="clear" w:color="auto" w:fill="auto"/>
            <w:vAlign w:val="center"/>
          </w:tcPr>
          <w:p w14:paraId="2AA869FB">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项目资金（万元）</w:t>
            </w:r>
          </w:p>
        </w:tc>
        <w:tc>
          <w:tcPr>
            <w:tcW w:w="955" w:type="dxa"/>
            <w:tcBorders>
              <w:top w:val="nil"/>
              <w:left w:val="nil"/>
              <w:bottom w:val="single" w:color="auto" w:sz="4" w:space="0"/>
              <w:right w:val="nil"/>
            </w:tcBorders>
            <w:shd w:val="clear" w:color="auto" w:fill="auto"/>
            <w:vAlign w:val="center"/>
          </w:tcPr>
          <w:p w14:paraId="1BA654BC">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109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1440F18D">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年初预算数</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71E2E055">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全年（调整）预算数</w:t>
            </w:r>
          </w:p>
        </w:tc>
        <w:tc>
          <w:tcPr>
            <w:tcW w:w="1616" w:type="dxa"/>
            <w:gridSpan w:val="2"/>
            <w:tcBorders>
              <w:top w:val="single" w:color="auto" w:sz="4" w:space="0"/>
              <w:left w:val="nil"/>
              <w:bottom w:val="single" w:color="auto" w:sz="4" w:space="0"/>
              <w:right w:val="single" w:color="auto" w:sz="4" w:space="0"/>
            </w:tcBorders>
            <w:shd w:val="clear" w:color="auto" w:fill="auto"/>
            <w:vAlign w:val="center"/>
          </w:tcPr>
          <w:p w14:paraId="162E41CE">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全年执行数</w:t>
            </w:r>
          </w:p>
        </w:tc>
        <w:tc>
          <w:tcPr>
            <w:tcW w:w="832" w:type="dxa"/>
            <w:tcBorders>
              <w:top w:val="nil"/>
              <w:left w:val="nil"/>
              <w:bottom w:val="single" w:color="auto" w:sz="4" w:space="0"/>
              <w:right w:val="single" w:color="auto" w:sz="4" w:space="0"/>
            </w:tcBorders>
            <w:shd w:val="clear" w:color="auto" w:fill="auto"/>
            <w:vAlign w:val="center"/>
          </w:tcPr>
          <w:p w14:paraId="18960EB7">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执行率</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w:t>
            </w:r>
          </w:p>
        </w:tc>
        <w:tc>
          <w:tcPr>
            <w:tcW w:w="832" w:type="dxa"/>
            <w:tcBorders>
              <w:top w:val="nil"/>
              <w:left w:val="nil"/>
              <w:bottom w:val="single" w:color="auto" w:sz="4" w:space="0"/>
              <w:right w:val="single" w:color="auto" w:sz="4" w:space="0"/>
            </w:tcBorders>
            <w:shd w:val="clear" w:color="auto" w:fill="auto"/>
            <w:vAlign w:val="center"/>
          </w:tcPr>
          <w:p w14:paraId="667EAC70">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执行率</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权重</w:t>
            </w:r>
          </w:p>
        </w:tc>
        <w:tc>
          <w:tcPr>
            <w:tcW w:w="908" w:type="dxa"/>
            <w:tcBorders>
              <w:top w:val="nil"/>
              <w:left w:val="nil"/>
              <w:bottom w:val="single" w:color="auto" w:sz="4" w:space="0"/>
              <w:right w:val="single" w:color="auto" w:sz="4" w:space="0"/>
            </w:tcBorders>
            <w:shd w:val="clear" w:color="auto" w:fill="auto"/>
            <w:vAlign w:val="center"/>
          </w:tcPr>
          <w:p w14:paraId="2DD9BFB1">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执行率得分</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r>
      <w:tr w14:paraId="5C134307">
        <w:tblPrEx>
          <w:tblCellMar>
            <w:top w:w="0" w:type="dxa"/>
            <w:left w:w="108" w:type="dxa"/>
            <w:bottom w:w="0" w:type="dxa"/>
            <w:right w:w="108" w:type="dxa"/>
          </w:tblCellMar>
        </w:tblPrEx>
        <w:trPr>
          <w:cantSplit/>
          <w:trHeight w:val="601" w:hRule="atLeast"/>
        </w:trPr>
        <w:tc>
          <w:tcPr>
            <w:tcW w:w="1030" w:type="dxa"/>
            <w:vMerge w:val="continue"/>
            <w:tcBorders>
              <w:top w:val="nil"/>
              <w:left w:val="single" w:color="auto" w:sz="4" w:space="0"/>
              <w:bottom w:val="single" w:color="auto" w:sz="4" w:space="0"/>
              <w:right w:val="single" w:color="auto" w:sz="4" w:space="0"/>
            </w:tcBorders>
            <w:vAlign w:val="center"/>
          </w:tcPr>
          <w:p w14:paraId="2F66D561">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5507F25A">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年度总金额</w:t>
            </w:r>
          </w:p>
        </w:tc>
        <w:tc>
          <w:tcPr>
            <w:tcW w:w="109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16C6F25E">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280</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74B1C7AD">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280</w:t>
            </w:r>
          </w:p>
        </w:tc>
        <w:tc>
          <w:tcPr>
            <w:tcW w:w="1616" w:type="dxa"/>
            <w:gridSpan w:val="2"/>
            <w:tcBorders>
              <w:top w:val="single" w:color="auto" w:sz="4" w:space="0"/>
              <w:left w:val="nil"/>
              <w:bottom w:val="single" w:color="auto" w:sz="4" w:space="0"/>
              <w:right w:val="single" w:color="auto" w:sz="4" w:space="0"/>
            </w:tcBorders>
            <w:shd w:val="clear" w:color="auto" w:fill="auto"/>
            <w:vAlign w:val="center"/>
          </w:tcPr>
          <w:p w14:paraId="1F5D0353">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280</w:t>
            </w:r>
          </w:p>
        </w:tc>
        <w:tc>
          <w:tcPr>
            <w:tcW w:w="832" w:type="dxa"/>
            <w:tcBorders>
              <w:top w:val="nil"/>
              <w:left w:val="nil"/>
              <w:bottom w:val="single" w:color="auto" w:sz="4" w:space="0"/>
              <w:right w:val="single" w:color="auto" w:sz="4" w:space="0"/>
            </w:tcBorders>
            <w:shd w:val="clear" w:color="auto" w:fill="auto"/>
            <w:vAlign w:val="center"/>
          </w:tcPr>
          <w:p w14:paraId="5DB9132E">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c>
          <w:tcPr>
            <w:tcW w:w="832" w:type="dxa"/>
            <w:tcBorders>
              <w:top w:val="nil"/>
              <w:left w:val="nil"/>
              <w:bottom w:val="single" w:color="auto" w:sz="4" w:space="0"/>
              <w:right w:val="single" w:color="auto" w:sz="4" w:space="0"/>
            </w:tcBorders>
            <w:shd w:val="clear" w:color="auto" w:fill="auto"/>
            <w:vAlign w:val="center"/>
          </w:tcPr>
          <w:p w14:paraId="68D4E4B5">
            <w:pPr>
              <w:autoSpaceDN w:val="0"/>
              <w:jc w:val="center"/>
              <w:rPr>
                <w:rFonts w:ascii="方正仿宋_GBK" w:hAnsi="Calibri" w:eastAsia="方正仿宋_GBK"/>
                <w:sz w:val="18"/>
                <w:szCs w:val="18"/>
              </w:rPr>
            </w:pPr>
            <w:r>
              <w:rPr>
                <w:rFonts w:hint="eastAsia" w:ascii="方正仿宋_GBK" w:hAnsi="Calibri" w:eastAsia="方正仿宋_GBK"/>
                <w:sz w:val="18"/>
                <w:szCs w:val="18"/>
              </w:rPr>
              <w:t>10</w:t>
            </w:r>
          </w:p>
        </w:tc>
        <w:tc>
          <w:tcPr>
            <w:tcW w:w="908" w:type="dxa"/>
            <w:tcBorders>
              <w:top w:val="nil"/>
              <w:left w:val="nil"/>
              <w:bottom w:val="single" w:color="auto" w:sz="4" w:space="0"/>
              <w:right w:val="single" w:color="auto" w:sz="4" w:space="0"/>
            </w:tcBorders>
            <w:shd w:val="clear" w:color="auto" w:fill="auto"/>
            <w:vAlign w:val="center"/>
          </w:tcPr>
          <w:p w14:paraId="43798854">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w:t>
            </w:r>
          </w:p>
        </w:tc>
      </w:tr>
      <w:tr w14:paraId="19DCCCCE">
        <w:tblPrEx>
          <w:tblCellMar>
            <w:top w:w="0" w:type="dxa"/>
            <w:left w:w="108" w:type="dxa"/>
            <w:bottom w:w="0" w:type="dxa"/>
            <w:right w:w="108" w:type="dxa"/>
          </w:tblCellMar>
        </w:tblPrEx>
        <w:trPr>
          <w:cantSplit/>
          <w:trHeight w:val="601" w:hRule="atLeast"/>
        </w:trPr>
        <w:tc>
          <w:tcPr>
            <w:tcW w:w="1030" w:type="dxa"/>
            <w:vMerge w:val="continue"/>
            <w:tcBorders>
              <w:top w:val="nil"/>
              <w:left w:val="single" w:color="auto" w:sz="4" w:space="0"/>
              <w:bottom w:val="single" w:color="auto" w:sz="4" w:space="0"/>
              <w:right w:val="single" w:color="auto" w:sz="4" w:space="0"/>
            </w:tcBorders>
            <w:vAlign w:val="center"/>
          </w:tcPr>
          <w:p w14:paraId="0E63E8D0">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1F3E94BB">
            <w:pPr>
              <w:wordWrap w:val="0"/>
              <w:autoSpaceDN w:val="0"/>
              <w:jc w:val="right"/>
              <w:rPr>
                <w:rFonts w:ascii="方正仿宋_GBK" w:hAnsi="Calibri" w:eastAsia="方正仿宋_GBK"/>
                <w:color w:val="000000"/>
                <w:sz w:val="18"/>
                <w:szCs w:val="18"/>
              </w:rPr>
            </w:pPr>
            <w:r>
              <w:rPr>
                <w:rFonts w:hint="eastAsia" w:ascii="方正仿宋_GBK" w:eastAsia="方正仿宋_GBK"/>
                <w:color w:val="000000"/>
                <w:sz w:val="18"/>
                <w:szCs w:val="18"/>
              </w:rPr>
              <w:t>其中：区级支出</w:t>
            </w:r>
          </w:p>
        </w:tc>
        <w:tc>
          <w:tcPr>
            <w:tcW w:w="109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2931CF2D">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280</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355B985C">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280</w:t>
            </w:r>
          </w:p>
        </w:tc>
        <w:tc>
          <w:tcPr>
            <w:tcW w:w="1616" w:type="dxa"/>
            <w:gridSpan w:val="2"/>
            <w:tcBorders>
              <w:top w:val="single" w:color="auto" w:sz="4" w:space="0"/>
              <w:left w:val="nil"/>
              <w:bottom w:val="single" w:color="auto" w:sz="4" w:space="0"/>
              <w:right w:val="single" w:color="auto" w:sz="4" w:space="0"/>
            </w:tcBorders>
            <w:shd w:val="clear" w:color="auto" w:fill="auto"/>
            <w:vAlign w:val="center"/>
          </w:tcPr>
          <w:p w14:paraId="2CBE8554">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280</w:t>
            </w:r>
          </w:p>
        </w:tc>
        <w:tc>
          <w:tcPr>
            <w:tcW w:w="832" w:type="dxa"/>
            <w:tcBorders>
              <w:top w:val="nil"/>
              <w:left w:val="nil"/>
              <w:bottom w:val="single" w:color="auto" w:sz="4" w:space="0"/>
              <w:right w:val="single" w:color="auto" w:sz="4" w:space="0"/>
            </w:tcBorders>
            <w:shd w:val="clear" w:color="auto" w:fill="auto"/>
            <w:vAlign w:val="center"/>
          </w:tcPr>
          <w:p w14:paraId="0B119B8A">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c>
          <w:tcPr>
            <w:tcW w:w="832" w:type="dxa"/>
            <w:tcBorders>
              <w:top w:val="nil"/>
              <w:left w:val="nil"/>
              <w:bottom w:val="single" w:color="auto" w:sz="4" w:space="0"/>
              <w:right w:val="single" w:color="auto" w:sz="4" w:space="0"/>
            </w:tcBorders>
            <w:shd w:val="clear" w:color="auto" w:fill="auto"/>
            <w:vAlign w:val="center"/>
          </w:tcPr>
          <w:p w14:paraId="668C2006">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w:t>
            </w:r>
          </w:p>
        </w:tc>
        <w:tc>
          <w:tcPr>
            <w:tcW w:w="908" w:type="dxa"/>
            <w:tcBorders>
              <w:top w:val="nil"/>
              <w:left w:val="nil"/>
              <w:bottom w:val="single" w:color="auto" w:sz="4" w:space="0"/>
              <w:right w:val="single" w:color="auto" w:sz="4" w:space="0"/>
            </w:tcBorders>
            <w:shd w:val="clear" w:color="auto" w:fill="auto"/>
            <w:vAlign w:val="center"/>
          </w:tcPr>
          <w:p w14:paraId="25BA5ACE">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w:t>
            </w:r>
          </w:p>
        </w:tc>
      </w:tr>
      <w:tr w14:paraId="3483D30C">
        <w:tblPrEx>
          <w:tblCellMar>
            <w:top w:w="0" w:type="dxa"/>
            <w:left w:w="108" w:type="dxa"/>
            <w:bottom w:w="0" w:type="dxa"/>
            <w:right w:w="108" w:type="dxa"/>
          </w:tblCellMar>
        </w:tblPrEx>
        <w:trPr>
          <w:cantSplit/>
          <w:trHeight w:val="601" w:hRule="atLeast"/>
        </w:trPr>
        <w:tc>
          <w:tcPr>
            <w:tcW w:w="1030" w:type="dxa"/>
            <w:vMerge w:val="restart"/>
            <w:tcBorders>
              <w:top w:val="nil"/>
              <w:left w:val="single" w:color="auto" w:sz="4" w:space="0"/>
              <w:bottom w:val="single" w:color="auto" w:sz="4" w:space="0"/>
              <w:right w:val="single" w:color="auto" w:sz="4" w:space="0"/>
            </w:tcBorders>
            <w:shd w:val="clear" w:color="auto" w:fill="auto"/>
            <w:vAlign w:val="center"/>
          </w:tcPr>
          <w:p w14:paraId="095972ED">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当年绩效目标</w:t>
            </w:r>
          </w:p>
        </w:tc>
        <w:tc>
          <w:tcPr>
            <w:tcW w:w="2050" w:type="dxa"/>
            <w:gridSpan w:val="3"/>
            <w:tcBorders>
              <w:top w:val="single" w:color="auto" w:sz="4" w:space="0"/>
              <w:left w:val="nil"/>
              <w:bottom w:val="single" w:color="auto" w:sz="4" w:space="0"/>
              <w:right w:val="single" w:color="000000" w:sz="4" w:space="0"/>
            </w:tcBorders>
            <w:shd w:val="clear" w:color="auto" w:fill="auto"/>
            <w:vAlign w:val="center"/>
          </w:tcPr>
          <w:p w14:paraId="1AACC143">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年初绩效目标</w:t>
            </w:r>
          </w:p>
        </w:tc>
        <w:tc>
          <w:tcPr>
            <w:tcW w:w="2848" w:type="dxa"/>
            <w:gridSpan w:val="4"/>
            <w:tcBorders>
              <w:top w:val="single" w:color="auto" w:sz="4" w:space="0"/>
              <w:left w:val="nil"/>
              <w:bottom w:val="single" w:color="auto" w:sz="4" w:space="0"/>
              <w:right w:val="single" w:color="000000" w:sz="4" w:space="0"/>
            </w:tcBorders>
            <w:shd w:val="clear" w:color="auto" w:fill="auto"/>
            <w:vAlign w:val="center"/>
          </w:tcPr>
          <w:p w14:paraId="7A8A57A5">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全年（调整）绩效目标</w:t>
            </w:r>
          </w:p>
        </w:tc>
        <w:tc>
          <w:tcPr>
            <w:tcW w:w="2572" w:type="dxa"/>
            <w:gridSpan w:val="3"/>
            <w:tcBorders>
              <w:top w:val="single" w:color="auto" w:sz="4" w:space="0"/>
              <w:left w:val="nil"/>
              <w:bottom w:val="single" w:color="auto" w:sz="4" w:space="0"/>
              <w:right w:val="single" w:color="000000" w:sz="4" w:space="0"/>
            </w:tcBorders>
            <w:shd w:val="clear" w:color="auto" w:fill="auto"/>
            <w:vAlign w:val="center"/>
          </w:tcPr>
          <w:p w14:paraId="1EDB220F">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全年目标实际完成情况</w:t>
            </w:r>
          </w:p>
        </w:tc>
      </w:tr>
      <w:tr w14:paraId="00D72869">
        <w:tblPrEx>
          <w:tblCellMar>
            <w:top w:w="0" w:type="dxa"/>
            <w:left w:w="108" w:type="dxa"/>
            <w:bottom w:w="0" w:type="dxa"/>
            <w:right w:w="108" w:type="dxa"/>
          </w:tblCellMar>
        </w:tblPrEx>
        <w:trPr>
          <w:cantSplit/>
          <w:trHeight w:val="1352" w:hRule="atLeast"/>
        </w:trPr>
        <w:tc>
          <w:tcPr>
            <w:tcW w:w="1030" w:type="dxa"/>
            <w:vMerge w:val="continue"/>
            <w:tcBorders>
              <w:top w:val="nil"/>
              <w:left w:val="single" w:color="auto" w:sz="4" w:space="0"/>
              <w:bottom w:val="single" w:color="auto" w:sz="4" w:space="0"/>
              <w:right w:val="single" w:color="auto" w:sz="4" w:space="0"/>
            </w:tcBorders>
            <w:vAlign w:val="center"/>
          </w:tcPr>
          <w:p w14:paraId="3FF07012">
            <w:pPr>
              <w:rPr>
                <w:rFonts w:ascii="方正仿宋_GBK" w:hAnsi="Calibri" w:eastAsia="方正仿宋_GBK"/>
                <w:color w:val="000000"/>
                <w:sz w:val="18"/>
                <w:szCs w:val="18"/>
              </w:rPr>
            </w:pPr>
          </w:p>
        </w:tc>
        <w:tc>
          <w:tcPr>
            <w:tcW w:w="2050" w:type="dxa"/>
            <w:gridSpan w:val="3"/>
            <w:tcBorders>
              <w:top w:val="single" w:color="auto" w:sz="4" w:space="0"/>
              <w:left w:val="nil"/>
              <w:bottom w:val="single" w:color="auto" w:sz="4" w:space="0"/>
              <w:right w:val="single" w:color="000000" w:sz="4" w:space="0"/>
            </w:tcBorders>
            <w:shd w:val="clear" w:color="auto" w:fill="auto"/>
            <w:vAlign w:val="center"/>
          </w:tcPr>
          <w:p w14:paraId="68310AB1">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完成五院体检业务开展及行政办公以及教学及设备科办公楼租赁</w:t>
            </w:r>
          </w:p>
        </w:tc>
        <w:tc>
          <w:tcPr>
            <w:tcW w:w="2848" w:type="dxa"/>
            <w:gridSpan w:val="4"/>
            <w:tcBorders>
              <w:top w:val="single" w:color="auto" w:sz="4" w:space="0"/>
              <w:left w:val="nil"/>
              <w:bottom w:val="single" w:color="auto" w:sz="4" w:space="0"/>
              <w:right w:val="single" w:color="000000" w:sz="4" w:space="0"/>
            </w:tcBorders>
            <w:shd w:val="clear" w:color="auto" w:fill="auto"/>
            <w:vAlign w:val="center"/>
          </w:tcPr>
          <w:p w14:paraId="24C59797">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无</w:t>
            </w:r>
          </w:p>
        </w:tc>
        <w:tc>
          <w:tcPr>
            <w:tcW w:w="2572" w:type="dxa"/>
            <w:gridSpan w:val="3"/>
            <w:tcBorders>
              <w:top w:val="single" w:color="auto" w:sz="4" w:space="0"/>
              <w:left w:val="nil"/>
              <w:bottom w:val="single" w:color="auto" w:sz="4" w:space="0"/>
              <w:right w:val="single" w:color="000000" w:sz="4" w:space="0"/>
            </w:tcBorders>
            <w:shd w:val="clear" w:color="auto" w:fill="auto"/>
            <w:vAlign w:val="center"/>
          </w:tcPr>
          <w:p w14:paraId="297ED964">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完成五院体检业务开展及行政办公以及教学及设备科办公楼租赁，以租赁协议为准，据实结算</w:t>
            </w:r>
          </w:p>
        </w:tc>
      </w:tr>
      <w:tr w14:paraId="474B9FB3">
        <w:tblPrEx>
          <w:tblCellMar>
            <w:top w:w="0" w:type="dxa"/>
            <w:left w:w="108" w:type="dxa"/>
            <w:bottom w:w="0" w:type="dxa"/>
            <w:right w:w="108" w:type="dxa"/>
          </w:tblCellMar>
        </w:tblPrEx>
        <w:trPr>
          <w:cantSplit/>
          <w:trHeight w:val="601" w:hRule="atLeast"/>
        </w:trPr>
        <w:tc>
          <w:tcPr>
            <w:tcW w:w="1030" w:type="dxa"/>
            <w:vMerge w:val="restart"/>
            <w:tcBorders>
              <w:top w:val="nil"/>
              <w:left w:val="single" w:color="auto" w:sz="4" w:space="0"/>
              <w:bottom w:val="single" w:color="auto" w:sz="4" w:space="0"/>
              <w:right w:val="single" w:color="auto" w:sz="4" w:space="0"/>
            </w:tcBorders>
            <w:shd w:val="clear" w:color="auto" w:fill="auto"/>
            <w:textDirection w:val="tbRlV"/>
            <w:vAlign w:val="center"/>
          </w:tcPr>
          <w:p w14:paraId="209CADF9">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绩效指标</w:t>
            </w:r>
          </w:p>
        </w:tc>
        <w:tc>
          <w:tcPr>
            <w:tcW w:w="955" w:type="dxa"/>
            <w:tcBorders>
              <w:top w:val="nil"/>
              <w:left w:val="nil"/>
              <w:bottom w:val="single" w:color="auto" w:sz="4" w:space="0"/>
              <w:right w:val="nil"/>
            </w:tcBorders>
            <w:shd w:val="clear" w:color="auto" w:fill="auto"/>
            <w:vAlign w:val="center"/>
          </w:tcPr>
          <w:p w14:paraId="2FF5C3C3">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指标名称</w:t>
            </w:r>
          </w:p>
        </w:tc>
        <w:tc>
          <w:tcPr>
            <w:tcW w:w="472" w:type="dxa"/>
            <w:tcBorders>
              <w:top w:val="nil"/>
              <w:left w:val="single" w:color="auto" w:sz="4" w:space="0"/>
              <w:bottom w:val="single" w:color="auto" w:sz="4" w:space="0"/>
              <w:right w:val="single" w:color="auto" w:sz="4" w:space="0"/>
            </w:tcBorders>
            <w:shd w:val="clear" w:color="auto" w:fill="auto"/>
            <w:vAlign w:val="center"/>
          </w:tcPr>
          <w:p w14:paraId="51391D00">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计量</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单位</w:t>
            </w:r>
          </w:p>
        </w:tc>
        <w:tc>
          <w:tcPr>
            <w:tcW w:w="623" w:type="dxa"/>
            <w:tcBorders>
              <w:top w:val="nil"/>
              <w:left w:val="nil"/>
              <w:bottom w:val="single" w:color="auto" w:sz="4" w:space="0"/>
              <w:right w:val="single" w:color="auto" w:sz="4" w:space="0"/>
            </w:tcBorders>
            <w:shd w:val="clear" w:color="auto" w:fill="auto"/>
            <w:vAlign w:val="center"/>
          </w:tcPr>
          <w:p w14:paraId="384B0E94">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性质</w:t>
            </w:r>
          </w:p>
        </w:tc>
        <w:tc>
          <w:tcPr>
            <w:tcW w:w="616" w:type="dxa"/>
            <w:tcBorders>
              <w:top w:val="nil"/>
              <w:left w:val="nil"/>
              <w:bottom w:val="single" w:color="auto" w:sz="4" w:space="0"/>
              <w:right w:val="single" w:color="auto" w:sz="4" w:space="0"/>
            </w:tcBorders>
            <w:shd w:val="clear" w:color="auto" w:fill="auto"/>
            <w:vAlign w:val="center"/>
          </w:tcPr>
          <w:p w14:paraId="51A95D1A">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年初</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指标值</w:t>
            </w:r>
          </w:p>
        </w:tc>
        <w:tc>
          <w:tcPr>
            <w:tcW w:w="616" w:type="dxa"/>
            <w:tcBorders>
              <w:top w:val="nil"/>
              <w:left w:val="nil"/>
              <w:bottom w:val="single" w:color="auto" w:sz="4" w:space="0"/>
              <w:right w:val="single" w:color="auto" w:sz="4" w:space="0"/>
            </w:tcBorders>
            <w:shd w:val="clear" w:color="auto" w:fill="auto"/>
            <w:vAlign w:val="center"/>
          </w:tcPr>
          <w:p w14:paraId="2BAB4874">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调整</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指标值</w:t>
            </w:r>
          </w:p>
        </w:tc>
        <w:tc>
          <w:tcPr>
            <w:tcW w:w="832" w:type="dxa"/>
            <w:tcBorders>
              <w:top w:val="nil"/>
              <w:left w:val="nil"/>
              <w:bottom w:val="single" w:color="auto" w:sz="4" w:space="0"/>
              <w:right w:val="single" w:color="auto" w:sz="4" w:space="0"/>
            </w:tcBorders>
            <w:shd w:val="clear" w:color="auto" w:fill="auto"/>
            <w:vAlign w:val="center"/>
          </w:tcPr>
          <w:p w14:paraId="0EC17EB2">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完成值</w:t>
            </w:r>
          </w:p>
        </w:tc>
        <w:tc>
          <w:tcPr>
            <w:tcW w:w="784" w:type="dxa"/>
            <w:tcBorders>
              <w:top w:val="nil"/>
              <w:left w:val="nil"/>
              <w:bottom w:val="single" w:color="auto" w:sz="4" w:space="0"/>
              <w:right w:val="single" w:color="auto" w:sz="4" w:space="0"/>
            </w:tcBorders>
            <w:shd w:val="clear" w:color="auto" w:fill="auto"/>
            <w:vAlign w:val="center"/>
          </w:tcPr>
          <w:p w14:paraId="3B2311AF">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得分系数</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w:t>
            </w:r>
          </w:p>
        </w:tc>
        <w:tc>
          <w:tcPr>
            <w:tcW w:w="832" w:type="dxa"/>
            <w:tcBorders>
              <w:top w:val="nil"/>
              <w:left w:val="nil"/>
              <w:bottom w:val="single" w:color="auto" w:sz="4" w:space="0"/>
              <w:right w:val="single" w:color="auto" w:sz="4" w:space="0"/>
            </w:tcBorders>
            <w:shd w:val="clear" w:color="auto" w:fill="auto"/>
            <w:vAlign w:val="center"/>
          </w:tcPr>
          <w:p w14:paraId="034CBA48">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指标权重</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c>
          <w:tcPr>
            <w:tcW w:w="832" w:type="dxa"/>
            <w:tcBorders>
              <w:top w:val="nil"/>
              <w:left w:val="nil"/>
              <w:bottom w:val="single" w:color="auto" w:sz="4" w:space="0"/>
              <w:right w:val="single" w:color="auto" w:sz="4" w:space="0"/>
            </w:tcBorders>
            <w:shd w:val="clear" w:color="auto" w:fill="auto"/>
            <w:vAlign w:val="center"/>
          </w:tcPr>
          <w:p w14:paraId="1E3E3B2D">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指标得分</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c>
          <w:tcPr>
            <w:tcW w:w="908" w:type="dxa"/>
            <w:tcBorders>
              <w:top w:val="nil"/>
              <w:left w:val="nil"/>
              <w:bottom w:val="single" w:color="auto" w:sz="4" w:space="0"/>
              <w:right w:val="single" w:color="auto" w:sz="4" w:space="0"/>
            </w:tcBorders>
            <w:shd w:val="clear" w:color="auto" w:fill="auto"/>
            <w:vAlign w:val="center"/>
          </w:tcPr>
          <w:p w14:paraId="1A79C0C3">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是否核心</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指标</w:t>
            </w:r>
          </w:p>
        </w:tc>
      </w:tr>
      <w:tr w14:paraId="20683A55">
        <w:tblPrEx>
          <w:tblCellMar>
            <w:top w:w="0" w:type="dxa"/>
            <w:left w:w="108" w:type="dxa"/>
            <w:bottom w:w="0" w:type="dxa"/>
            <w:right w:w="108" w:type="dxa"/>
          </w:tblCellMar>
        </w:tblPrEx>
        <w:trPr>
          <w:cantSplit/>
          <w:trHeight w:val="523" w:hRule="atLeast"/>
        </w:trPr>
        <w:tc>
          <w:tcPr>
            <w:tcW w:w="1030" w:type="dxa"/>
            <w:vMerge w:val="continue"/>
            <w:tcBorders>
              <w:top w:val="nil"/>
              <w:left w:val="single" w:color="auto" w:sz="4" w:space="0"/>
              <w:bottom w:val="single" w:color="auto" w:sz="4" w:space="0"/>
              <w:right w:val="single" w:color="auto" w:sz="4" w:space="0"/>
            </w:tcBorders>
            <w:vAlign w:val="center"/>
          </w:tcPr>
          <w:p w14:paraId="082F8D83">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7EC80EBA">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办公人数</w:t>
            </w:r>
          </w:p>
        </w:tc>
        <w:tc>
          <w:tcPr>
            <w:tcW w:w="472" w:type="dxa"/>
            <w:tcBorders>
              <w:top w:val="nil"/>
              <w:left w:val="single" w:color="auto" w:sz="4" w:space="0"/>
              <w:bottom w:val="single" w:color="auto" w:sz="4" w:space="0"/>
              <w:right w:val="nil"/>
            </w:tcBorders>
            <w:shd w:val="clear" w:color="auto" w:fill="auto"/>
            <w:vAlign w:val="center"/>
          </w:tcPr>
          <w:p w14:paraId="43ACDFD3">
            <w:pPr>
              <w:autoSpaceDN w:val="0"/>
              <w:jc w:val="center"/>
              <w:rPr>
                <w:rFonts w:ascii="方正仿宋_GBK" w:hAnsi="Calibri" w:eastAsia="方正仿宋_GBK"/>
                <w:color w:val="000000"/>
              </w:rPr>
            </w:pPr>
            <w:r>
              <w:rPr>
                <w:rFonts w:hint="eastAsia" w:ascii="方正仿宋_GBK" w:hAnsi="Calibri" w:eastAsia="方正仿宋_GBK"/>
                <w:color w:val="000000"/>
              </w:rPr>
              <w:t>人</w:t>
            </w:r>
          </w:p>
        </w:tc>
        <w:tc>
          <w:tcPr>
            <w:tcW w:w="623" w:type="dxa"/>
            <w:tcBorders>
              <w:top w:val="nil"/>
              <w:left w:val="single" w:color="auto" w:sz="4" w:space="0"/>
              <w:bottom w:val="single" w:color="auto" w:sz="4" w:space="0"/>
              <w:right w:val="nil"/>
            </w:tcBorders>
            <w:shd w:val="clear" w:color="auto" w:fill="auto"/>
            <w:vAlign w:val="center"/>
          </w:tcPr>
          <w:p w14:paraId="2E29EC7D">
            <w:pPr>
              <w:autoSpaceDN w:val="0"/>
              <w:jc w:val="center"/>
              <w:rPr>
                <w:rFonts w:ascii="方正仿宋_GBK" w:hAnsi="Calibri" w:eastAsia="方正仿宋_GBK"/>
                <w:color w:val="000000"/>
              </w:rPr>
            </w:pPr>
            <w:r>
              <w:rPr>
                <w:rFonts w:hint="eastAsia" w:ascii="方正仿宋_GBK" w:hAnsi="Calibri" w:eastAsia="方正仿宋_GBK"/>
                <w:color w:val="000000"/>
              </w:rPr>
              <w:t>≥</w:t>
            </w:r>
          </w:p>
        </w:tc>
        <w:tc>
          <w:tcPr>
            <w:tcW w:w="616" w:type="dxa"/>
            <w:tcBorders>
              <w:top w:val="nil"/>
              <w:left w:val="single" w:color="auto" w:sz="4" w:space="0"/>
              <w:bottom w:val="single" w:color="auto" w:sz="4" w:space="0"/>
              <w:right w:val="nil"/>
            </w:tcBorders>
            <w:shd w:val="clear" w:color="auto" w:fill="auto"/>
            <w:vAlign w:val="center"/>
          </w:tcPr>
          <w:p w14:paraId="101E977C">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137</w:t>
            </w:r>
          </w:p>
        </w:tc>
        <w:tc>
          <w:tcPr>
            <w:tcW w:w="616" w:type="dxa"/>
            <w:tcBorders>
              <w:top w:val="nil"/>
              <w:left w:val="single" w:color="auto" w:sz="4" w:space="0"/>
              <w:bottom w:val="single" w:color="auto" w:sz="4" w:space="0"/>
              <w:right w:val="nil"/>
            </w:tcBorders>
            <w:shd w:val="clear" w:color="auto" w:fill="auto"/>
            <w:vAlign w:val="center"/>
          </w:tcPr>
          <w:p w14:paraId="1993C2BC">
            <w:pPr>
              <w:autoSpaceDN w:val="0"/>
              <w:jc w:val="center"/>
              <w:rPr>
                <w:rFonts w:ascii="方正仿宋_GBK" w:hAnsi="Calibri" w:eastAsia="方正仿宋_GBK"/>
                <w:color w:val="000000"/>
                <w:sz w:val="18"/>
                <w:szCs w:val="18"/>
              </w:rPr>
            </w:pPr>
          </w:p>
        </w:tc>
        <w:tc>
          <w:tcPr>
            <w:tcW w:w="832" w:type="dxa"/>
            <w:tcBorders>
              <w:top w:val="nil"/>
              <w:left w:val="single" w:color="auto" w:sz="4" w:space="0"/>
              <w:bottom w:val="single" w:color="auto" w:sz="4" w:space="0"/>
              <w:right w:val="nil"/>
            </w:tcBorders>
            <w:shd w:val="clear" w:color="auto" w:fill="auto"/>
            <w:vAlign w:val="center"/>
          </w:tcPr>
          <w:p w14:paraId="41D6DFE3">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137</w:t>
            </w:r>
          </w:p>
        </w:tc>
        <w:tc>
          <w:tcPr>
            <w:tcW w:w="784" w:type="dxa"/>
            <w:tcBorders>
              <w:top w:val="nil"/>
              <w:left w:val="single" w:color="auto" w:sz="4" w:space="0"/>
              <w:bottom w:val="single" w:color="auto" w:sz="4" w:space="0"/>
              <w:right w:val="nil"/>
            </w:tcBorders>
            <w:shd w:val="clear" w:color="auto" w:fill="auto"/>
            <w:vAlign w:val="center"/>
          </w:tcPr>
          <w:p w14:paraId="1F7910FB">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c>
          <w:tcPr>
            <w:tcW w:w="832" w:type="dxa"/>
            <w:tcBorders>
              <w:top w:val="nil"/>
              <w:left w:val="single" w:color="auto" w:sz="4" w:space="0"/>
              <w:bottom w:val="single" w:color="auto" w:sz="4" w:space="0"/>
              <w:right w:val="nil"/>
            </w:tcBorders>
            <w:shd w:val="clear" w:color="auto" w:fill="auto"/>
            <w:vAlign w:val="center"/>
          </w:tcPr>
          <w:p w14:paraId="7EA82401">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20</w:t>
            </w:r>
          </w:p>
        </w:tc>
        <w:tc>
          <w:tcPr>
            <w:tcW w:w="832" w:type="dxa"/>
            <w:tcBorders>
              <w:top w:val="nil"/>
              <w:left w:val="single" w:color="auto" w:sz="4" w:space="0"/>
              <w:bottom w:val="single" w:color="auto" w:sz="4" w:space="0"/>
              <w:right w:val="nil"/>
            </w:tcBorders>
            <w:shd w:val="clear" w:color="auto" w:fill="auto"/>
            <w:vAlign w:val="center"/>
          </w:tcPr>
          <w:p w14:paraId="7351987D">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20</w:t>
            </w:r>
          </w:p>
        </w:tc>
        <w:tc>
          <w:tcPr>
            <w:tcW w:w="908" w:type="dxa"/>
            <w:tcBorders>
              <w:top w:val="nil"/>
              <w:left w:val="single" w:color="auto" w:sz="4" w:space="0"/>
              <w:bottom w:val="single" w:color="auto" w:sz="4" w:space="0"/>
              <w:right w:val="single" w:color="auto" w:sz="4" w:space="0"/>
            </w:tcBorders>
            <w:shd w:val="clear" w:color="auto" w:fill="auto"/>
            <w:vAlign w:val="center"/>
          </w:tcPr>
          <w:p w14:paraId="14852761">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否</w:t>
            </w:r>
          </w:p>
        </w:tc>
      </w:tr>
      <w:tr w14:paraId="448A7005">
        <w:tblPrEx>
          <w:tblCellMar>
            <w:top w:w="0" w:type="dxa"/>
            <w:left w:w="108" w:type="dxa"/>
            <w:bottom w:w="0" w:type="dxa"/>
            <w:right w:w="108" w:type="dxa"/>
          </w:tblCellMar>
        </w:tblPrEx>
        <w:trPr>
          <w:cantSplit/>
          <w:trHeight w:val="523" w:hRule="atLeast"/>
        </w:trPr>
        <w:tc>
          <w:tcPr>
            <w:tcW w:w="1030" w:type="dxa"/>
            <w:vMerge w:val="continue"/>
            <w:tcBorders>
              <w:top w:val="nil"/>
              <w:left w:val="single" w:color="auto" w:sz="4" w:space="0"/>
              <w:bottom w:val="single" w:color="auto" w:sz="4" w:space="0"/>
              <w:right w:val="single" w:color="auto" w:sz="4" w:space="0"/>
            </w:tcBorders>
            <w:vAlign w:val="center"/>
          </w:tcPr>
          <w:p w14:paraId="2322AAA1">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03D98051">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办公面积</w:t>
            </w:r>
          </w:p>
        </w:tc>
        <w:tc>
          <w:tcPr>
            <w:tcW w:w="472" w:type="dxa"/>
            <w:tcBorders>
              <w:top w:val="nil"/>
              <w:left w:val="single" w:color="auto" w:sz="4" w:space="0"/>
              <w:bottom w:val="single" w:color="auto" w:sz="4" w:space="0"/>
              <w:right w:val="nil"/>
            </w:tcBorders>
            <w:shd w:val="clear" w:color="auto" w:fill="auto"/>
            <w:vAlign w:val="center"/>
          </w:tcPr>
          <w:p w14:paraId="317F3DDB">
            <w:pPr>
              <w:autoSpaceDN w:val="0"/>
              <w:jc w:val="center"/>
              <w:rPr>
                <w:rFonts w:ascii="方正仿宋_GBK" w:hAnsi="Calibri" w:eastAsia="方正仿宋_GBK"/>
                <w:color w:val="000000"/>
              </w:rPr>
            </w:pPr>
            <w:r>
              <w:rPr>
                <w:rFonts w:hint="eastAsia" w:ascii="方正仿宋_GBK" w:hAnsi="Calibri" w:eastAsia="方正仿宋_GBK"/>
                <w:color w:val="000000"/>
              </w:rPr>
              <w:t>㎡</w:t>
            </w:r>
          </w:p>
        </w:tc>
        <w:tc>
          <w:tcPr>
            <w:tcW w:w="623" w:type="dxa"/>
            <w:tcBorders>
              <w:top w:val="nil"/>
              <w:left w:val="single" w:color="auto" w:sz="4" w:space="0"/>
              <w:bottom w:val="single" w:color="auto" w:sz="4" w:space="0"/>
              <w:right w:val="nil"/>
            </w:tcBorders>
            <w:shd w:val="clear" w:color="auto" w:fill="auto"/>
            <w:vAlign w:val="center"/>
          </w:tcPr>
          <w:p w14:paraId="58F4580C">
            <w:pPr>
              <w:autoSpaceDN w:val="0"/>
              <w:jc w:val="center"/>
              <w:rPr>
                <w:rFonts w:ascii="方正仿宋_GBK" w:hAnsi="Calibri" w:eastAsia="方正仿宋_GBK"/>
                <w:color w:val="000000"/>
              </w:rPr>
            </w:pPr>
            <w:r>
              <w:rPr>
                <w:rFonts w:hint="eastAsia" w:ascii="方正仿宋_GBK" w:hAnsi="Calibri" w:eastAsia="方正仿宋_GBK"/>
                <w:color w:val="000000"/>
              </w:rPr>
              <w:t>=</w:t>
            </w:r>
          </w:p>
        </w:tc>
        <w:tc>
          <w:tcPr>
            <w:tcW w:w="616" w:type="dxa"/>
            <w:tcBorders>
              <w:top w:val="nil"/>
              <w:left w:val="single" w:color="auto" w:sz="4" w:space="0"/>
              <w:bottom w:val="single" w:color="auto" w:sz="4" w:space="0"/>
              <w:right w:val="nil"/>
            </w:tcBorders>
            <w:shd w:val="clear" w:color="auto" w:fill="auto"/>
            <w:vAlign w:val="center"/>
          </w:tcPr>
          <w:p w14:paraId="44B8797A">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3386</w:t>
            </w:r>
          </w:p>
        </w:tc>
        <w:tc>
          <w:tcPr>
            <w:tcW w:w="616" w:type="dxa"/>
            <w:tcBorders>
              <w:top w:val="nil"/>
              <w:left w:val="single" w:color="auto" w:sz="4" w:space="0"/>
              <w:bottom w:val="single" w:color="auto" w:sz="4" w:space="0"/>
              <w:right w:val="nil"/>
            </w:tcBorders>
            <w:shd w:val="clear" w:color="auto" w:fill="auto"/>
            <w:vAlign w:val="center"/>
          </w:tcPr>
          <w:p w14:paraId="4C936967">
            <w:pPr>
              <w:autoSpaceDN w:val="0"/>
              <w:jc w:val="center"/>
              <w:rPr>
                <w:rFonts w:ascii="方正仿宋_GBK" w:hAnsi="Calibri" w:eastAsia="方正仿宋_GBK"/>
                <w:color w:val="000000"/>
                <w:sz w:val="18"/>
                <w:szCs w:val="18"/>
              </w:rPr>
            </w:pPr>
          </w:p>
        </w:tc>
        <w:tc>
          <w:tcPr>
            <w:tcW w:w="832" w:type="dxa"/>
            <w:tcBorders>
              <w:top w:val="nil"/>
              <w:left w:val="single" w:color="auto" w:sz="4" w:space="0"/>
              <w:bottom w:val="single" w:color="auto" w:sz="4" w:space="0"/>
              <w:right w:val="nil"/>
            </w:tcBorders>
            <w:shd w:val="clear" w:color="auto" w:fill="auto"/>
            <w:vAlign w:val="center"/>
          </w:tcPr>
          <w:p w14:paraId="3BF7F0E4">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3386</w:t>
            </w:r>
          </w:p>
        </w:tc>
        <w:tc>
          <w:tcPr>
            <w:tcW w:w="784" w:type="dxa"/>
            <w:tcBorders>
              <w:top w:val="nil"/>
              <w:left w:val="single" w:color="auto" w:sz="4" w:space="0"/>
              <w:bottom w:val="single" w:color="auto" w:sz="4" w:space="0"/>
              <w:right w:val="nil"/>
            </w:tcBorders>
            <w:shd w:val="clear" w:color="auto" w:fill="auto"/>
            <w:vAlign w:val="center"/>
          </w:tcPr>
          <w:p w14:paraId="318AB2CB">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c>
          <w:tcPr>
            <w:tcW w:w="832" w:type="dxa"/>
            <w:tcBorders>
              <w:top w:val="nil"/>
              <w:left w:val="single" w:color="auto" w:sz="4" w:space="0"/>
              <w:bottom w:val="single" w:color="auto" w:sz="4" w:space="0"/>
              <w:right w:val="nil"/>
            </w:tcBorders>
            <w:shd w:val="clear" w:color="auto" w:fill="auto"/>
            <w:vAlign w:val="center"/>
          </w:tcPr>
          <w:p w14:paraId="29524368">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20</w:t>
            </w:r>
          </w:p>
        </w:tc>
        <w:tc>
          <w:tcPr>
            <w:tcW w:w="832" w:type="dxa"/>
            <w:tcBorders>
              <w:top w:val="nil"/>
              <w:left w:val="single" w:color="auto" w:sz="4" w:space="0"/>
              <w:bottom w:val="single" w:color="auto" w:sz="4" w:space="0"/>
              <w:right w:val="nil"/>
            </w:tcBorders>
            <w:shd w:val="clear" w:color="auto" w:fill="auto"/>
            <w:vAlign w:val="center"/>
          </w:tcPr>
          <w:p w14:paraId="64BF35D7">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20</w:t>
            </w:r>
          </w:p>
        </w:tc>
        <w:tc>
          <w:tcPr>
            <w:tcW w:w="908" w:type="dxa"/>
            <w:tcBorders>
              <w:top w:val="nil"/>
              <w:left w:val="single" w:color="auto" w:sz="4" w:space="0"/>
              <w:bottom w:val="single" w:color="auto" w:sz="4" w:space="0"/>
              <w:right w:val="single" w:color="auto" w:sz="4" w:space="0"/>
            </w:tcBorders>
            <w:shd w:val="clear" w:color="auto" w:fill="auto"/>
            <w:vAlign w:val="center"/>
          </w:tcPr>
          <w:p w14:paraId="6C260119">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是</w:t>
            </w:r>
          </w:p>
        </w:tc>
      </w:tr>
      <w:tr w14:paraId="2A9A54EA">
        <w:tblPrEx>
          <w:tblCellMar>
            <w:top w:w="0" w:type="dxa"/>
            <w:left w:w="108" w:type="dxa"/>
            <w:bottom w:w="0" w:type="dxa"/>
            <w:right w:w="108" w:type="dxa"/>
          </w:tblCellMar>
        </w:tblPrEx>
        <w:trPr>
          <w:cantSplit/>
          <w:trHeight w:val="523" w:hRule="atLeast"/>
        </w:trPr>
        <w:tc>
          <w:tcPr>
            <w:tcW w:w="1030" w:type="dxa"/>
            <w:vMerge w:val="continue"/>
            <w:tcBorders>
              <w:top w:val="nil"/>
              <w:left w:val="single" w:color="auto" w:sz="4" w:space="0"/>
              <w:bottom w:val="single" w:color="auto" w:sz="4" w:space="0"/>
              <w:right w:val="single" w:color="auto" w:sz="4" w:space="0"/>
            </w:tcBorders>
            <w:vAlign w:val="center"/>
          </w:tcPr>
          <w:p w14:paraId="46D083EA">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4D37A0ED">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提供就业岗位</w:t>
            </w:r>
          </w:p>
        </w:tc>
        <w:tc>
          <w:tcPr>
            <w:tcW w:w="472" w:type="dxa"/>
            <w:tcBorders>
              <w:top w:val="nil"/>
              <w:left w:val="single" w:color="auto" w:sz="4" w:space="0"/>
              <w:bottom w:val="single" w:color="auto" w:sz="4" w:space="0"/>
              <w:right w:val="nil"/>
            </w:tcBorders>
            <w:shd w:val="clear" w:color="auto" w:fill="auto"/>
            <w:vAlign w:val="center"/>
          </w:tcPr>
          <w:p w14:paraId="240BDF53">
            <w:pPr>
              <w:autoSpaceDN w:val="0"/>
              <w:jc w:val="center"/>
              <w:rPr>
                <w:rFonts w:ascii="方正仿宋_GBK" w:hAnsi="Calibri" w:eastAsia="方正仿宋_GBK"/>
                <w:color w:val="000000"/>
              </w:rPr>
            </w:pPr>
            <w:r>
              <w:rPr>
                <w:rFonts w:hint="eastAsia" w:ascii="方正仿宋_GBK" w:hAnsi="Calibri" w:eastAsia="方正仿宋_GBK"/>
                <w:color w:val="000000"/>
              </w:rPr>
              <w:t>人次</w:t>
            </w:r>
          </w:p>
        </w:tc>
        <w:tc>
          <w:tcPr>
            <w:tcW w:w="623" w:type="dxa"/>
            <w:tcBorders>
              <w:top w:val="nil"/>
              <w:left w:val="single" w:color="auto" w:sz="4" w:space="0"/>
              <w:bottom w:val="single" w:color="auto" w:sz="4" w:space="0"/>
              <w:right w:val="nil"/>
            </w:tcBorders>
            <w:shd w:val="clear" w:color="auto" w:fill="auto"/>
            <w:vAlign w:val="center"/>
          </w:tcPr>
          <w:p w14:paraId="6AFA3921">
            <w:pPr>
              <w:autoSpaceDN w:val="0"/>
              <w:jc w:val="center"/>
              <w:rPr>
                <w:rFonts w:ascii="方正仿宋_GBK" w:hAnsi="Calibri" w:eastAsia="方正仿宋_GBK"/>
                <w:color w:val="000000"/>
              </w:rPr>
            </w:pPr>
            <w:r>
              <w:rPr>
                <w:rFonts w:hint="eastAsia" w:ascii="方正仿宋_GBK" w:hAnsi="Calibri" w:eastAsia="方正仿宋_GBK"/>
                <w:color w:val="000000"/>
              </w:rPr>
              <w:t>≥</w:t>
            </w:r>
          </w:p>
        </w:tc>
        <w:tc>
          <w:tcPr>
            <w:tcW w:w="616" w:type="dxa"/>
            <w:tcBorders>
              <w:top w:val="nil"/>
              <w:left w:val="single" w:color="auto" w:sz="4" w:space="0"/>
              <w:bottom w:val="single" w:color="auto" w:sz="4" w:space="0"/>
              <w:right w:val="nil"/>
            </w:tcBorders>
            <w:shd w:val="clear" w:color="auto" w:fill="auto"/>
            <w:vAlign w:val="center"/>
          </w:tcPr>
          <w:p w14:paraId="15F9EE73">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137</w:t>
            </w:r>
          </w:p>
        </w:tc>
        <w:tc>
          <w:tcPr>
            <w:tcW w:w="616" w:type="dxa"/>
            <w:tcBorders>
              <w:top w:val="nil"/>
              <w:left w:val="single" w:color="auto" w:sz="4" w:space="0"/>
              <w:bottom w:val="single" w:color="auto" w:sz="4" w:space="0"/>
              <w:right w:val="nil"/>
            </w:tcBorders>
            <w:shd w:val="clear" w:color="auto" w:fill="auto"/>
            <w:vAlign w:val="center"/>
          </w:tcPr>
          <w:p w14:paraId="09DDFADD">
            <w:pPr>
              <w:autoSpaceDN w:val="0"/>
              <w:jc w:val="center"/>
              <w:rPr>
                <w:rFonts w:ascii="方正仿宋_GBK" w:hAnsi="Calibri" w:eastAsia="方正仿宋_GBK"/>
                <w:color w:val="000000"/>
                <w:sz w:val="18"/>
                <w:szCs w:val="18"/>
              </w:rPr>
            </w:pPr>
          </w:p>
        </w:tc>
        <w:tc>
          <w:tcPr>
            <w:tcW w:w="832" w:type="dxa"/>
            <w:tcBorders>
              <w:top w:val="nil"/>
              <w:left w:val="single" w:color="auto" w:sz="4" w:space="0"/>
              <w:bottom w:val="single" w:color="auto" w:sz="4" w:space="0"/>
              <w:right w:val="nil"/>
            </w:tcBorders>
            <w:shd w:val="clear" w:color="auto" w:fill="auto"/>
            <w:vAlign w:val="center"/>
          </w:tcPr>
          <w:p w14:paraId="3F8DF75B">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137</w:t>
            </w:r>
          </w:p>
        </w:tc>
        <w:tc>
          <w:tcPr>
            <w:tcW w:w="784" w:type="dxa"/>
            <w:tcBorders>
              <w:top w:val="nil"/>
              <w:left w:val="single" w:color="auto" w:sz="4" w:space="0"/>
              <w:bottom w:val="single" w:color="auto" w:sz="4" w:space="0"/>
              <w:right w:val="nil"/>
            </w:tcBorders>
            <w:shd w:val="clear" w:color="auto" w:fill="auto"/>
            <w:vAlign w:val="center"/>
          </w:tcPr>
          <w:p w14:paraId="59E49FE9">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c>
          <w:tcPr>
            <w:tcW w:w="832" w:type="dxa"/>
            <w:tcBorders>
              <w:top w:val="nil"/>
              <w:left w:val="single" w:color="auto" w:sz="4" w:space="0"/>
              <w:bottom w:val="single" w:color="auto" w:sz="4" w:space="0"/>
              <w:right w:val="nil"/>
            </w:tcBorders>
            <w:shd w:val="clear" w:color="auto" w:fill="auto"/>
            <w:vAlign w:val="center"/>
          </w:tcPr>
          <w:p w14:paraId="6AF5AB4A">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15</w:t>
            </w:r>
          </w:p>
        </w:tc>
        <w:tc>
          <w:tcPr>
            <w:tcW w:w="832" w:type="dxa"/>
            <w:tcBorders>
              <w:top w:val="nil"/>
              <w:left w:val="single" w:color="auto" w:sz="4" w:space="0"/>
              <w:bottom w:val="single" w:color="auto" w:sz="4" w:space="0"/>
              <w:right w:val="nil"/>
            </w:tcBorders>
            <w:shd w:val="clear" w:color="auto" w:fill="auto"/>
            <w:vAlign w:val="center"/>
          </w:tcPr>
          <w:p w14:paraId="4F655A54">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15</w:t>
            </w:r>
          </w:p>
        </w:tc>
        <w:tc>
          <w:tcPr>
            <w:tcW w:w="908" w:type="dxa"/>
            <w:tcBorders>
              <w:top w:val="nil"/>
              <w:left w:val="single" w:color="auto" w:sz="4" w:space="0"/>
              <w:bottom w:val="single" w:color="auto" w:sz="4" w:space="0"/>
              <w:right w:val="single" w:color="auto" w:sz="4" w:space="0"/>
            </w:tcBorders>
            <w:shd w:val="clear" w:color="auto" w:fill="auto"/>
            <w:vAlign w:val="center"/>
          </w:tcPr>
          <w:p w14:paraId="6D7D95D4">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否</w:t>
            </w:r>
          </w:p>
        </w:tc>
      </w:tr>
      <w:tr w14:paraId="4630B0D2">
        <w:tblPrEx>
          <w:tblCellMar>
            <w:top w:w="0" w:type="dxa"/>
            <w:left w:w="108" w:type="dxa"/>
            <w:bottom w:w="0" w:type="dxa"/>
            <w:right w:w="108" w:type="dxa"/>
          </w:tblCellMar>
        </w:tblPrEx>
        <w:trPr>
          <w:cantSplit/>
          <w:trHeight w:val="523" w:hRule="atLeast"/>
        </w:trPr>
        <w:tc>
          <w:tcPr>
            <w:tcW w:w="1030" w:type="dxa"/>
            <w:vMerge w:val="continue"/>
            <w:tcBorders>
              <w:top w:val="nil"/>
              <w:left w:val="single" w:color="auto" w:sz="4" w:space="0"/>
              <w:bottom w:val="single" w:color="auto" w:sz="4" w:space="0"/>
              <w:right w:val="single" w:color="auto" w:sz="4" w:space="0"/>
            </w:tcBorders>
            <w:vAlign w:val="center"/>
          </w:tcPr>
          <w:p w14:paraId="67556419">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044F351F">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房屋使用率</w:t>
            </w:r>
          </w:p>
        </w:tc>
        <w:tc>
          <w:tcPr>
            <w:tcW w:w="472" w:type="dxa"/>
            <w:tcBorders>
              <w:top w:val="nil"/>
              <w:left w:val="single" w:color="auto" w:sz="4" w:space="0"/>
              <w:bottom w:val="single" w:color="auto" w:sz="4" w:space="0"/>
              <w:right w:val="nil"/>
            </w:tcBorders>
            <w:shd w:val="clear" w:color="auto" w:fill="auto"/>
            <w:vAlign w:val="center"/>
          </w:tcPr>
          <w:p w14:paraId="174BBA8B">
            <w:pPr>
              <w:autoSpaceDN w:val="0"/>
              <w:jc w:val="center"/>
              <w:rPr>
                <w:rFonts w:ascii="方正仿宋_GBK" w:hAnsi="Calibri" w:eastAsia="方正仿宋_GBK"/>
                <w:color w:val="000000"/>
              </w:rPr>
            </w:pPr>
            <w:r>
              <w:rPr>
                <w:rFonts w:hint="eastAsia" w:ascii="方正仿宋_GBK" w:hAnsi="Calibri" w:eastAsia="方正仿宋_GBK"/>
                <w:color w:val="000000"/>
              </w:rPr>
              <w:t>%</w:t>
            </w:r>
          </w:p>
        </w:tc>
        <w:tc>
          <w:tcPr>
            <w:tcW w:w="623" w:type="dxa"/>
            <w:tcBorders>
              <w:top w:val="nil"/>
              <w:left w:val="single" w:color="auto" w:sz="4" w:space="0"/>
              <w:bottom w:val="single" w:color="auto" w:sz="4" w:space="0"/>
              <w:right w:val="nil"/>
            </w:tcBorders>
            <w:shd w:val="clear" w:color="auto" w:fill="auto"/>
            <w:vAlign w:val="center"/>
          </w:tcPr>
          <w:p w14:paraId="4CFEEBF6">
            <w:pPr>
              <w:autoSpaceDN w:val="0"/>
              <w:jc w:val="center"/>
              <w:rPr>
                <w:rFonts w:ascii="方正仿宋_GBK" w:hAnsi="Calibri" w:eastAsia="方正仿宋_GBK"/>
                <w:color w:val="000000"/>
              </w:rPr>
            </w:pPr>
            <w:r>
              <w:rPr>
                <w:rFonts w:hint="eastAsia" w:ascii="方正仿宋_GBK" w:hAnsi="Calibri" w:eastAsia="方正仿宋_GBK"/>
                <w:color w:val="000000"/>
              </w:rPr>
              <w:t>=</w:t>
            </w:r>
          </w:p>
        </w:tc>
        <w:tc>
          <w:tcPr>
            <w:tcW w:w="616" w:type="dxa"/>
            <w:tcBorders>
              <w:top w:val="nil"/>
              <w:left w:val="single" w:color="auto" w:sz="4" w:space="0"/>
              <w:bottom w:val="single" w:color="auto" w:sz="4" w:space="0"/>
              <w:right w:val="nil"/>
            </w:tcBorders>
            <w:shd w:val="clear" w:color="auto" w:fill="auto"/>
            <w:vAlign w:val="center"/>
          </w:tcPr>
          <w:p w14:paraId="3DBBF34A">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c>
          <w:tcPr>
            <w:tcW w:w="616" w:type="dxa"/>
            <w:tcBorders>
              <w:top w:val="nil"/>
              <w:left w:val="single" w:color="auto" w:sz="4" w:space="0"/>
              <w:bottom w:val="single" w:color="auto" w:sz="4" w:space="0"/>
              <w:right w:val="nil"/>
            </w:tcBorders>
            <w:shd w:val="clear" w:color="auto" w:fill="auto"/>
            <w:vAlign w:val="center"/>
          </w:tcPr>
          <w:p w14:paraId="7EEADE9C">
            <w:pPr>
              <w:autoSpaceDN w:val="0"/>
              <w:jc w:val="center"/>
              <w:rPr>
                <w:rFonts w:ascii="方正仿宋_GBK" w:hAnsi="Calibri" w:eastAsia="方正仿宋_GBK"/>
                <w:color w:val="000000"/>
                <w:sz w:val="18"/>
                <w:szCs w:val="18"/>
              </w:rPr>
            </w:pPr>
          </w:p>
        </w:tc>
        <w:tc>
          <w:tcPr>
            <w:tcW w:w="832" w:type="dxa"/>
            <w:tcBorders>
              <w:top w:val="nil"/>
              <w:left w:val="single" w:color="auto" w:sz="4" w:space="0"/>
              <w:bottom w:val="single" w:color="auto" w:sz="4" w:space="0"/>
              <w:right w:val="nil"/>
            </w:tcBorders>
            <w:shd w:val="clear" w:color="auto" w:fill="auto"/>
            <w:vAlign w:val="center"/>
          </w:tcPr>
          <w:p w14:paraId="0CB71F35">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c>
          <w:tcPr>
            <w:tcW w:w="784" w:type="dxa"/>
            <w:tcBorders>
              <w:top w:val="nil"/>
              <w:left w:val="single" w:color="auto" w:sz="4" w:space="0"/>
              <w:bottom w:val="single" w:color="auto" w:sz="4" w:space="0"/>
              <w:right w:val="nil"/>
            </w:tcBorders>
            <w:shd w:val="clear" w:color="auto" w:fill="auto"/>
            <w:vAlign w:val="center"/>
          </w:tcPr>
          <w:p w14:paraId="549BB0E6">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c>
          <w:tcPr>
            <w:tcW w:w="832" w:type="dxa"/>
            <w:tcBorders>
              <w:top w:val="nil"/>
              <w:left w:val="single" w:color="auto" w:sz="4" w:space="0"/>
              <w:bottom w:val="single" w:color="auto" w:sz="4" w:space="0"/>
              <w:right w:val="nil"/>
            </w:tcBorders>
            <w:shd w:val="clear" w:color="auto" w:fill="auto"/>
            <w:vAlign w:val="center"/>
          </w:tcPr>
          <w:p w14:paraId="7D1192EF">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15</w:t>
            </w:r>
          </w:p>
        </w:tc>
        <w:tc>
          <w:tcPr>
            <w:tcW w:w="832" w:type="dxa"/>
            <w:tcBorders>
              <w:top w:val="nil"/>
              <w:left w:val="single" w:color="auto" w:sz="4" w:space="0"/>
              <w:bottom w:val="single" w:color="auto" w:sz="4" w:space="0"/>
              <w:right w:val="nil"/>
            </w:tcBorders>
            <w:shd w:val="clear" w:color="auto" w:fill="auto"/>
            <w:vAlign w:val="center"/>
          </w:tcPr>
          <w:p w14:paraId="34C40BFB">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15</w:t>
            </w:r>
          </w:p>
        </w:tc>
        <w:tc>
          <w:tcPr>
            <w:tcW w:w="908" w:type="dxa"/>
            <w:tcBorders>
              <w:top w:val="nil"/>
              <w:left w:val="single" w:color="auto" w:sz="4" w:space="0"/>
              <w:bottom w:val="single" w:color="auto" w:sz="4" w:space="0"/>
              <w:right w:val="single" w:color="auto" w:sz="4" w:space="0"/>
            </w:tcBorders>
            <w:shd w:val="clear" w:color="auto" w:fill="auto"/>
            <w:vAlign w:val="center"/>
          </w:tcPr>
          <w:p w14:paraId="05AECB25">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否</w:t>
            </w:r>
          </w:p>
        </w:tc>
      </w:tr>
      <w:tr w14:paraId="55ACDC4E">
        <w:tblPrEx>
          <w:tblCellMar>
            <w:top w:w="0" w:type="dxa"/>
            <w:left w:w="108" w:type="dxa"/>
            <w:bottom w:w="0" w:type="dxa"/>
            <w:right w:w="108" w:type="dxa"/>
          </w:tblCellMar>
        </w:tblPrEx>
        <w:trPr>
          <w:cantSplit/>
          <w:trHeight w:val="523" w:hRule="atLeast"/>
        </w:trPr>
        <w:tc>
          <w:tcPr>
            <w:tcW w:w="1030" w:type="dxa"/>
            <w:vMerge w:val="continue"/>
            <w:tcBorders>
              <w:top w:val="nil"/>
              <w:left w:val="single" w:color="auto" w:sz="4" w:space="0"/>
              <w:bottom w:val="single" w:color="auto" w:sz="4" w:space="0"/>
              <w:right w:val="single" w:color="auto" w:sz="4" w:space="0"/>
            </w:tcBorders>
            <w:vAlign w:val="center"/>
          </w:tcPr>
          <w:p w14:paraId="5B13D5D1">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02137E6D">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来院检查人员满意度</w:t>
            </w:r>
          </w:p>
        </w:tc>
        <w:tc>
          <w:tcPr>
            <w:tcW w:w="472" w:type="dxa"/>
            <w:tcBorders>
              <w:top w:val="nil"/>
              <w:left w:val="single" w:color="auto" w:sz="4" w:space="0"/>
              <w:bottom w:val="single" w:color="auto" w:sz="4" w:space="0"/>
              <w:right w:val="nil"/>
            </w:tcBorders>
            <w:shd w:val="clear" w:color="auto" w:fill="auto"/>
            <w:vAlign w:val="center"/>
          </w:tcPr>
          <w:p w14:paraId="65FEE7EB">
            <w:pPr>
              <w:autoSpaceDN w:val="0"/>
              <w:jc w:val="center"/>
              <w:rPr>
                <w:rFonts w:ascii="方正仿宋_GBK" w:hAnsi="Calibri" w:eastAsia="方正仿宋_GBK"/>
                <w:color w:val="000000"/>
              </w:rPr>
            </w:pPr>
            <w:r>
              <w:rPr>
                <w:rFonts w:hint="eastAsia" w:ascii="方正仿宋_GBK" w:hAnsi="Calibri" w:eastAsia="方正仿宋_GBK"/>
                <w:color w:val="000000"/>
              </w:rPr>
              <w:t>%</w:t>
            </w:r>
          </w:p>
        </w:tc>
        <w:tc>
          <w:tcPr>
            <w:tcW w:w="623" w:type="dxa"/>
            <w:tcBorders>
              <w:top w:val="nil"/>
              <w:left w:val="single" w:color="auto" w:sz="4" w:space="0"/>
              <w:bottom w:val="single" w:color="auto" w:sz="4" w:space="0"/>
              <w:right w:val="nil"/>
            </w:tcBorders>
            <w:shd w:val="clear" w:color="auto" w:fill="auto"/>
            <w:vAlign w:val="center"/>
          </w:tcPr>
          <w:p w14:paraId="27CC3733">
            <w:pPr>
              <w:autoSpaceDN w:val="0"/>
              <w:jc w:val="center"/>
              <w:rPr>
                <w:rFonts w:ascii="方正仿宋_GBK" w:hAnsi="Calibri" w:eastAsia="方正仿宋_GBK"/>
                <w:color w:val="000000"/>
              </w:rPr>
            </w:pPr>
            <w:r>
              <w:rPr>
                <w:rFonts w:hint="eastAsia" w:ascii="方正仿宋_GBK" w:hAnsi="Calibri" w:eastAsia="方正仿宋_GBK"/>
                <w:color w:val="000000"/>
              </w:rPr>
              <w:t>≥</w:t>
            </w:r>
          </w:p>
        </w:tc>
        <w:tc>
          <w:tcPr>
            <w:tcW w:w="616" w:type="dxa"/>
            <w:tcBorders>
              <w:top w:val="nil"/>
              <w:left w:val="single" w:color="auto" w:sz="4" w:space="0"/>
              <w:bottom w:val="single" w:color="auto" w:sz="4" w:space="0"/>
              <w:right w:val="nil"/>
            </w:tcBorders>
            <w:shd w:val="clear" w:color="auto" w:fill="auto"/>
            <w:vAlign w:val="center"/>
          </w:tcPr>
          <w:p w14:paraId="5D5290FC">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95%</w:t>
            </w:r>
          </w:p>
        </w:tc>
        <w:tc>
          <w:tcPr>
            <w:tcW w:w="616" w:type="dxa"/>
            <w:tcBorders>
              <w:top w:val="nil"/>
              <w:left w:val="single" w:color="auto" w:sz="4" w:space="0"/>
              <w:bottom w:val="single" w:color="auto" w:sz="4" w:space="0"/>
              <w:right w:val="nil"/>
            </w:tcBorders>
            <w:shd w:val="clear" w:color="auto" w:fill="auto"/>
            <w:vAlign w:val="center"/>
          </w:tcPr>
          <w:p w14:paraId="301F7EC2">
            <w:pPr>
              <w:autoSpaceDN w:val="0"/>
              <w:jc w:val="center"/>
              <w:rPr>
                <w:rFonts w:ascii="方正仿宋_GBK" w:hAnsi="Calibri" w:eastAsia="方正仿宋_GBK"/>
                <w:color w:val="000000"/>
                <w:sz w:val="18"/>
                <w:szCs w:val="18"/>
              </w:rPr>
            </w:pPr>
          </w:p>
        </w:tc>
        <w:tc>
          <w:tcPr>
            <w:tcW w:w="832" w:type="dxa"/>
            <w:tcBorders>
              <w:top w:val="nil"/>
              <w:left w:val="single" w:color="auto" w:sz="4" w:space="0"/>
              <w:bottom w:val="single" w:color="auto" w:sz="4" w:space="0"/>
              <w:right w:val="nil"/>
            </w:tcBorders>
            <w:shd w:val="clear" w:color="auto" w:fill="auto"/>
            <w:vAlign w:val="center"/>
          </w:tcPr>
          <w:p w14:paraId="1CAB0570">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95%</w:t>
            </w:r>
          </w:p>
        </w:tc>
        <w:tc>
          <w:tcPr>
            <w:tcW w:w="784" w:type="dxa"/>
            <w:tcBorders>
              <w:top w:val="nil"/>
              <w:left w:val="single" w:color="auto" w:sz="4" w:space="0"/>
              <w:bottom w:val="single" w:color="auto" w:sz="4" w:space="0"/>
              <w:right w:val="nil"/>
            </w:tcBorders>
            <w:shd w:val="clear" w:color="auto" w:fill="auto"/>
            <w:vAlign w:val="center"/>
          </w:tcPr>
          <w:p w14:paraId="6374F18B">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c>
          <w:tcPr>
            <w:tcW w:w="832" w:type="dxa"/>
            <w:tcBorders>
              <w:top w:val="nil"/>
              <w:left w:val="single" w:color="auto" w:sz="4" w:space="0"/>
              <w:bottom w:val="single" w:color="auto" w:sz="4" w:space="0"/>
              <w:right w:val="nil"/>
            </w:tcBorders>
            <w:shd w:val="clear" w:color="auto" w:fill="auto"/>
            <w:vAlign w:val="center"/>
          </w:tcPr>
          <w:p w14:paraId="478406CF">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20</w:t>
            </w:r>
          </w:p>
        </w:tc>
        <w:tc>
          <w:tcPr>
            <w:tcW w:w="832" w:type="dxa"/>
            <w:tcBorders>
              <w:top w:val="nil"/>
              <w:left w:val="single" w:color="auto" w:sz="4" w:space="0"/>
              <w:bottom w:val="single" w:color="auto" w:sz="4" w:space="0"/>
              <w:right w:val="nil"/>
            </w:tcBorders>
            <w:shd w:val="clear" w:color="auto" w:fill="auto"/>
            <w:vAlign w:val="center"/>
          </w:tcPr>
          <w:p w14:paraId="516E574B">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20</w:t>
            </w:r>
          </w:p>
        </w:tc>
        <w:tc>
          <w:tcPr>
            <w:tcW w:w="908" w:type="dxa"/>
            <w:tcBorders>
              <w:top w:val="nil"/>
              <w:left w:val="single" w:color="auto" w:sz="4" w:space="0"/>
              <w:bottom w:val="single" w:color="auto" w:sz="4" w:space="0"/>
              <w:right w:val="single" w:color="auto" w:sz="4" w:space="0"/>
            </w:tcBorders>
            <w:shd w:val="clear" w:color="auto" w:fill="auto"/>
            <w:vAlign w:val="center"/>
          </w:tcPr>
          <w:p w14:paraId="28CBC54E">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否</w:t>
            </w:r>
          </w:p>
        </w:tc>
      </w:tr>
      <w:tr w14:paraId="179832EC">
        <w:tblPrEx>
          <w:tblCellMar>
            <w:top w:w="0" w:type="dxa"/>
            <w:left w:w="108" w:type="dxa"/>
            <w:bottom w:w="0" w:type="dxa"/>
            <w:right w:w="108" w:type="dxa"/>
          </w:tblCellMar>
        </w:tblPrEx>
        <w:trPr>
          <w:cantSplit/>
          <w:trHeight w:val="523" w:hRule="atLeast"/>
        </w:trPr>
        <w:tc>
          <w:tcPr>
            <w:tcW w:w="1030" w:type="dxa"/>
            <w:vMerge w:val="continue"/>
            <w:tcBorders>
              <w:top w:val="nil"/>
              <w:left w:val="single" w:color="auto" w:sz="4" w:space="0"/>
              <w:bottom w:val="single" w:color="auto" w:sz="4" w:space="0"/>
              <w:right w:val="single" w:color="auto" w:sz="4" w:space="0"/>
            </w:tcBorders>
            <w:vAlign w:val="center"/>
          </w:tcPr>
          <w:p w14:paraId="2C37E81E">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07F14D0B">
            <w:pPr>
              <w:autoSpaceDN w:val="0"/>
              <w:jc w:val="both"/>
              <w:rPr>
                <w:rFonts w:ascii="方正仿宋_GBK" w:hAnsi="Calibri" w:eastAsia="方正仿宋_GBK"/>
                <w:color w:val="000000"/>
                <w:sz w:val="18"/>
                <w:szCs w:val="18"/>
              </w:rPr>
            </w:pPr>
            <w:r>
              <w:rPr>
                <w:rFonts w:hint="eastAsia" w:ascii="方正仿宋_GBK" w:hAnsi="Calibri" w:eastAsia="方正仿宋_GBK"/>
                <w:color w:val="000000"/>
                <w:sz w:val="18"/>
                <w:szCs w:val="18"/>
              </w:rPr>
              <w:t>资金执行率</w:t>
            </w:r>
          </w:p>
        </w:tc>
        <w:tc>
          <w:tcPr>
            <w:tcW w:w="472" w:type="dxa"/>
            <w:tcBorders>
              <w:top w:val="nil"/>
              <w:left w:val="single" w:color="auto" w:sz="4" w:space="0"/>
              <w:bottom w:val="single" w:color="auto" w:sz="4" w:space="0"/>
              <w:right w:val="nil"/>
            </w:tcBorders>
            <w:shd w:val="clear" w:color="auto" w:fill="auto"/>
            <w:vAlign w:val="center"/>
          </w:tcPr>
          <w:p w14:paraId="2BA25E29">
            <w:pPr>
              <w:autoSpaceDN w:val="0"/>
              <w:jc w:val="center"/>
              <w:rPr>
                <w:rFonts w:ascii="方正仿宋_GBK" w:hAnsi="Calibri" w:eastAsia="方正仿宋_GBK"/>
                <w:color w:val="000000"/>
              </w:rPr>
            </w:pPr>
            <w:r>
              <w:rPr>
                <w:rFonts w:hint="eastAsia" w:ascii="方正仿宋_GBK" w:hAnsi="Calibri" w:eastAsia="方正仿宋_GBK"/>
                <w:color w:val="000000"/>
              </w:rPr>
              <w:t>%</w:t>
            </w:r>
          </w:p>
        </w:tc>
        <w:tc>
          <w:tcPr>
            <w:tcW w:w="623" w:type="dxa"/>
            <w:tcBorders>
              <w:top w:val="nil"/>
              <w:left w:val="single" w:color="auto" w:sz="4" w:space="0"/>
              <w:bottom w:val="single" w:color="auto" w:sz="4" w:space="0"/>
              <w:right w:val="nil"/>
            </w:tcBorders>
            <w:shd w:val="clear" w:color="auto" w:fill="auto"/>
            <w:vAlign w:val="center"/>
          </w:tcPr>
          <w:p w14:paraId="636ABAAA">
            <w:pPr>
              <w:autoSpaceDN w:val="0"/>
              <w:jc w:val="center"/>
              <w:rPr>
                <w:rFonts w:ascii="方正仿宋_GBK" w:hAnsi="Calibri" w:eastAsia="方正仿宋_GBK"/>
                <w:color w:val="000000"/>
              </w:rPr>
            </w:pPr>
            <w:r>
              <w:rPr>
                <w:rFonts w:hint="eastAsia" w:ascii="方正仿宋_GBK" w:hAnsi="Calibri" w:eastAsia="方正仿宋_GBK"/>
                <w:color w:val="000000"/>
              </w:rPr>
              <w:t>=</w:t>
            </w:r>
          </w:p>
        </w:tc>
        <w:tc>
          <w:tcPr>
            <w:tcW w:w="616" w:type="dxa"/>
            <w:tcBorders>
              <w:top w:val="nil"/>
              <w:left w:val="single" w:color="auto" w:sz="4" w:space="0"/>
              <w:bottom w:val="single" w:color="auto" w:sz="4" w:space="0"/>
              <w:right w:val="nil"/>
            </w:tcBorders>
            <w:shd w:val="clear" w:color="auto" w:fill="auto"/>
            <w:vAlign w:val="center"/>
          </w:tcPr>
          <w:p w14:paraId="0F5B09AD">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c>
          <w:tcPr>
            <w:tcW w:w="616" w:type="dxa"/>
            <w:tcBorders>
              <w:top w:val="nil"/>
              <w:left w:val="single" w:color="auto" w:sz="4" w:space="0"/>
              <w:bottom w:val="single" w:color="auto" w:sz="4" w:space="0"/>
              <w:right w:val="nil"/>
            </w:tcBorders>
            <w:shd w:val="clear" w:color="auto" w:fill="auto"/>
            <w:vAlign w:val="center"/>
          </w:tcPr>
          <w:p w14:paraId="0BF56B1E">
            <w:pPr>
              <w:autoSpaceDN w:val="0"/>
              <w:jc w:val="center"/>
              <w:rPr>
                <w:rFonts w:ascii="方正仿宋_GBK" w:hAnsi="Calibri" w:eastAsia="方正仿宋_GBK"/>
                <w:color w:val="000000"/>
                <w:sz w:val="18"/>
                <w:szCs w:val="18"/>
              </w:rPr>
            </w:pPr>
          </w:p>
        </w:tc>
        <w:tc>
          <w:tcPr>
            <w:tcW w:w="832" w:type="dxa"/>
            <w:tcBorders>
              <w:top w:val="nil"/>
              <w:left w:val="single" w:color="auto" w:sz="4" w:space="0"/>
              <w:bottom w:val="single" w:color="auto" w:sz="4" w:space="0"/>
              <w:right w:val="nil"/>
            </w:tcBorders>
            <w:shd w:val="clear" w:color="auto" w:fill="auto"/>
            <w:vAlign w:val="center"/>
          </w:tcPr>
          <w:p w14:paraId="5335829F">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c>
          <w:tcPr>
            <w:tcW w:w="784" w:type="dxa"/>
            <w:tcBorders>
              <w:top w:val="nil"/>
              <w:left w:val="single" w:color="auto" w:sz="4" w:space="0"/>
              <w:bottom w:val="single" w:color="auto" w:sz="4" w:space="0"/>
              <w:right w:val="nil"/>
            </w:tcBorders>
            <w:shd w:val="clear" w:color="auto" w:fill="auto"/>
            <w:vAlign w:val="center"/>
          </w:tcPr>
          <w:p w14:paraId="42759894">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c>
          <w:tcPr>
            <w:tcW w:w="832" w:type="dxa"/>
            <w:tcBorders>
              <w:top w:val="nil"/>
              <w:left w:val="single" w:color="auto" w:sz="4" w:space="0"/>
              <w:bottom w:val="single" w:color="auto" w:sz="4" w:space="0"/>
              <w:right w:val="nil"/>
            </w:tcBorders>
            <w:shd w:val="clear" w:color="auto" w:fill="auto"/>
            <w:vAlign w:val="center"/>
          </w:tcPr>
          <w:p w14:paraId="663B6116">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w:t>
            </w:r>
          </w:p>
        </w:tc>
        <w:tc>
          <w:tcPr>
            <w:tcW w:w="832" w:type="dxa"/>
            <w:tcBorders>
              <w:top w:val="nil"/>
              <w:left w:val="single" w:color="auto" w:sz="4" w:space="0"/>
              <w:bottom w:val="single" w:color="auto" w:sz="4" w:space="0"/>
              <w:right w:val="nil"/>
            </w:tcBorders>
            <w:shd w:val="clear" w:color="auto" w:fill="auto"/>
            <w:vAlign w:val="center"/>
          </w:tcPr>
          <w:p w14:paraId="61E1248F">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w:t>
            </w:r>
          </w:p>
        </w:tc>
        <w:tc>
          <w:tcPr>
            <w:tcW w:w="908" w:type="dxa"/>
            <w:tcBorders>
              <w:top w:val="nil"/>
              <w:left w:val="single" w:color="auto" w:sz="4" w:space="0"/>
              <w:bottom w:val="single" w:color="auto" w:sz="4" w:space="0"/>
              <w:right w:val="single" w:color="auto" w:sz="4" w:space="0"/>
            </w:tcBorders>
            <w:shd w:val="clear" w:color="auto" w:fill="auto"/>
            <w:vAlign w:val="center"/>
          </w:tcPr>
          <w:p w14:paraId="4378496E">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否</w:t>
            </w:r>
          </w:p>
        </w:tc>
      </w:tr>
      <w:tr w14:paraId="5C21F03E">
        <w:tblPrEx>
          <w:tblCellMar>
            <w:top w:w="0" w:type="dxa"/>
            <w:left w:w="108" w:type="dxa"/>
            <w:bottom w:w="0" w:type="dxa"/>
            <w:right w:w="108" w:type="dxa"/>
          </w:tblCellMar>
        </w:tblPrEx>
        <w:trPr>
          <w:cantSplit/>
          <w:trHeight w:val="523" w:hRule="atLeast"/>
        </w:trPr>
        <w:tc>
          <w:tcPr>
            <w:tcW w:w="1030" w:type="dxa"/>
            <w:vMerge w:val="continue"/>
            <w:tcBorders>
              <w:top w:val="nil"/>
              <w:left w:val="single" w:color="auto" w:sz="4" w:space="0"/>
              <w:bottom w:val="single" w:color="auto" w:sz="4" w:space="0"/>
              <w:right w:val="single" w:color="auto" w:sz="4" w:space="0"/>
            </w:tcBorders>
            <w:vAlign w:val="center"/>
          </w:tcPr>
          <w:p w14:paraId="23D8E4B4">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6783FAC1">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472" w:type="dxa"/>
            <w:tcBorders>
              <w:top w:val="nil"/>
              <w:left w:val="single" w:color="auto" w:sz="4" w:space="0"/>
              <w:bottom w:val="single" w:color="auto" w:sz="4" w:space="0"/>
              <w:right w:val="nil"/>
            </w:tcBorders>
            <w:shd w:val="clear" w:color="auto" w:fill="auto"/>
            <w:vAlign w:val="center"/>
          </w:tcPr>
          <w:p w14:paraId="57A98DEB">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623" w:type="dxa"/>
            <w:tcBorders>
              <w:top w:val="nil"/>
              <w:left w:val="single" w:color="auto" w:sz="4" w:space="0"/>
              <w:bottom w:val="single" w:color="auto" w:sz="4" w:space="0"/>
              <w:right w:val="nil"/>
            </w:tcBorders>
            <w:shd w:val="clear" w:color="auto" w:fill="auto"/>
            <w:vAlign w:val="center"/>
          </w:tcPr>
          <w:p w14:paraId="45B2AB75">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616" w:type="dxa"/>
            <w:tcBorders>
              <w:top w:val="nil"/>
              <w:left w:val="single" w:color="auto" w:sz="4" w:space="0"/>
              <w:bottom w:val="single" w:color="auto" w:sz="4" w:space="0"/>
              <w:right w:val="nil"/>
            </w:tcBorders>
            <w:shd w:val="clear" w:color="auto" w:fill="auto"/>
            <w:vAlign w:val="center"/>
          </w:tcPr>
          <w:p w14:paraId="013857DA">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616" w:type="dxa"/>
            <w:tcBorders>
              <w:top w:val="nil"/>
              <w:left w:val="single" w:color="auto" w:sz="4" w:space="0"/>
              <w:bottom w:val="single" w:color="auto" w:sz="4" w:space="0"/>
              <w:right w:val="nil"/>
            </w:tcBorders>
            <w:shd w:val="clear" w:color="auto" w:fill="auto"/>
            <w:vAlign w:val="center"/>
          </w:tcPr>
          <w:p w14:paraId="147040E1">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832" w:type="dxa"/>
            <w:tcBorders>
              <w:top w:val="nil"/>
              <w:left w:val="single" w:color="auto" w:sz="4" w:space="0"/>
              <w:bottom w:val="single" w:color="auto" w:sz="4" w:space="0"/>
              <w:right w:val="nil"/>
            </w:tcBorders>
            <w:shd w:val="clear" w:color="auto" w:fill="auto"/>
            <w:vAlign w:val="center"/>
          </w:tcPr>
          <w:p w14:paraId="72DB08F3">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784" w:type="dxa"/>
            <w:tcBorders>
              <w:top w:val="nil"/>
              <w:left w:val="single" w:color="auto" w:sz="4" w:space="0"/>
              <w:bottom w:val="single" w:color="auto" w:sz="4" w:space="0"/>
              <w:right w:val="nil"/>
            </w:tcBorders>
            <w:shd w:val="clear" w:color="auto" w:fill="auto"/>
            <w:vAlign w:val="center"/>
          </w:tcPr>
          <w:p w14:paraId="4891B532">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832" w:type="dxa"/>
            <w:tcBorders>
              <w:top w:val="nil"/>
              <w:left w:val="single" w:color="auto" w:sz="4" w:space="0"/>
              <w:bottom w:val="single" w:color="auto" w:sz="4" w:space="0"/>
              <w:right w:val="nil"/>
            </w:tcBorders>
            <w:shd w:val="clear" w:color="auto" w:fill="auto"/>
            <w:vAlign w:val="center"/>
          </w:tcPr>
          <w:p w14:paraId="1FC5F3C2">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832" w:type="dxa"/>
            <w:tcBorders>
              <w:top w:val="nil"/>
              <w:left w:val="single" w:color="auto" w:sz="4" w:space="0"/>
              <w:bottom w:val="single" w:color="auto" w:sz="4" w:space="0"/>
              <w:right w:val="nil"/>
            </w:tcBorders>
            <w:shd w:val="clear" w:color="auto" w:fill="auto"/>
            <w:vAlign w:val="center"/>
          </w:tcPr>
          <w:p w14:paraId="4EC9B7D0">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908" w:type="dxa"/>
            <w:tcBorders>
              <w:top w:val="nil"/>
              <w:left w:val="single" w:color="auto" w:sz="4" w:space="0"/>
              <w:bottom w:val="single" w:color="auto" w:sz="4" w:space="0"/>
              <w:right w:val="single" w:color="auto" w:sz="4" w:space="0"/>
            </w:tcBorders>
            <w:shd w:val="clear" w:color="auto" w:fill="auto"/>
            <w:vAlign w:val="center"/>
          </w:tcPr>
          <w:p w14:paraId="16A60E1B">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r>
      <w:tr w14:paraId="6D036E0F">
        <w:tblPrEx>
          <w:tblCellMar>
            <w:top w:w="0" w:type="dxa"/>
            <w:left w:w="108" w:type="dxa"/>
            <w:bottom w:w="0" w:type="dxa"/>
            <w:right w:w="108" w:type="dxa"/>
          </w:tblCellMar>
        </w:tblPrEx>
        <w:trPr>
          <w:trHeight w:val="755" w:hRule="atLeast"/>
        </w:trPr>
        <w:tc>
          <w:tcPr>
            <w:tcW w:w="1030" w:type="dxa"/>
            <w:tcBorders>
              <w:top w:val="nil"/>
              <w:left w:val="single" w:color="auto" w:sz="4" w:space="0"/>
              <w:bottom w:val="single" w:color="auto" w:sz="4" w:space="0"/>
              <w:right w:val="single" w:color="auto" w:sz="4" w:space="0"/>
            </w:tcBorders>
            <w:shd w:val="clear" w:color="auto" w:fill="auto"/>
            <w:vAlign w:val="center"/>
          </w:tcPr>
          <w:p w14:paraId="4A0C19B1">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说明</w:t>
            </w:r>
          </w:p>
        </w:tc>
        <w:tc>
          <w:tcPr>
            <w:tcW w:w="7470" w:type="dxa"/>
            <w:gridSpan w:val="10"/>
            <w:tcBorders>
              <w:top w:val="single" w:color="auto" w:sz="4" w:space="0"/>
              <w:left w:val="nil"/>
              <w:bottom w:val="single" w:color="auto" w:sz="4" w:space="0"/>
              <w:right w:val="single" w:color="auto" w:sz="4" w:space="0"/>
            </w:tcBorders>
            <w:shd w:val="clear" w:color="auto" w:fill="auto"/>
            <w:vAlign w:val="center"/>
          </w:tcPr>
          <w:p w14:paraId="66AC01CD">
            <w:pPr>
              <w:autoSpaceDN w:val="0"/>
              <w:rPr>
                <w:rFonts w:ascii="方正仿宋_GBK" w:hAnsi="Calibri" w:eastAsia="方正仿宋_GBK"/>
                <w:color w:val="000000"/>
                <w:sz w:val="18"/>
                <w:szCs w:val="18"/>
              </w:rPr>
            </w:pPr>
            <w:r>
              <w:rPr>
                <w:rFonts w:hint="eastAsia" w:ascii="方正仿宋_GBK" w:eastAsia="方正仿宋_GBK"/>
                <w:color w:val="000000"/>
                <w:sz w:val="18"/>
                <w:szCs w:val="18"/>
              </w:rPr>
              <w:t>　</w:t>
            </w:r>
          </w:p>
        </w:tc>
      </w:tr>
    </w:tbl>
    <w:p w14:paraId="7661965F">
      <w:pPr>
        <w:tabs>
          <w:tab w:val="center" w:pos="4153"/>
          <w:tab w:val="left" w:pos="7275"/>
        </w:tabs>
        <w:spacing w:line="600" w:lineRule="exact"/>
        <w:rPr>
          <w:rFonts w:ascii="Times New Roman" w:hAnsi="Times New Roman" w:eastAsia="方正仿宋_GBK"/>
          <w:sz w:val="32"/>
          <w:szCs w:val="32"/>
        </w:rPr>
      </w:pPr>
    </w:p>
    <w:p w14:paraId="1017353C">
      <w:pPr>
        <w:pStyle w:val="13"/>
        <w:tabs>
          <w:tab w:val="center" w:pos="4153"/>
          <w:tab w:val="left" w:pos="7275"/>
        </w:tabs>
        <w:spacing w:line="600" w:lineRule="exact"/>
        <w:ind w:firstLine="643"/>
        <w:rPr>
          <w:rFonts w:ascii="方正仿宋_GBK" w:hAnsi="宋体" w:eastAsia="方正仿宋_GBK" w:cs="宋体"/>
          <w:kern w:val="0"/>
          <w:sz w:val="32"/>
          <w:szCs w:val="32"/>
        </w:rPr>
      </w:pPr>
      <w:r>
        <w:rPr>
          <w:rFonts w:hint="eastAsia" w:ascii="方正仿宋_GBK" w:hAnsi="宋体" w:eastAsia="方正仿宋_GBK" w:cs="宋体"/>
          <w:b/>
          <w:kern w:val="0"/>
          <w:sz w:val="32"/>
          <w:szCs w:val="32"/>
        </w:rPr>
        <w:t>2.绩效自评报告或案例</w:t>
      </w:r>
    </w:p>
    <w:p w14:paraId="27C47A83">
      <w:pPr>
        <w:pStyle w:val="13"/>
        <w:tabs>
          <w:tab w:val="center" w:pos="4153"/>
          <w:tab w:val="left" w:pos="7275"/>
        </w:tabs>
        <w:spacing w:line="600" w:lineRule="exact"/>
        <w:ind w:firstLine="0" w:firstLineChars="0"/>
        <w:jc w:val="center"/>
        <w:rPr>
          <w:rFonts w:ascii="黑体" w:eastAsia="黑体" w:cs="Arial"/>
          <w:bCs/>
          <w:sz w:val="32"/>
          <w:szCs w:val="32"/>
        </w:rPr>
      </w:pPr>
    </w:p>
    <w:p w14:paraId="166FA3BC">
      <w:pPr>
        <w:pStyle w:val="13"/>
        <w:tabs>
          <w:tab w:val="center" w:pos="4153"/>
          <w:tab w:val="left" w:pos="7275"/>
        </w:tabs>
        <w:spacing w:line="600" w:lineRule="exact"/>
        <w:ind w:firstLine="0" w:firstLineChars="0"/>
        <w:jc w:val="center"/>
        <w:rPr>
          <w:rFonts w:ascii="黑体" w:eastAsia="黑体" w:cs="Arial"/>
          <w:bCs/>
          <w:sz w:val="32"/>
          <w:szCs w:val="32"/>
        </w:rPr>
      </w:pPr>
      <w:r>
        <w:rPr>
          <w:rFonts w:hint="eastAsia" w:ascii="黑体" w:eastAsia="黑体" w:cs="Arial"/>
          <w:bCs/>
          <w:sz w:val="32"/>
          <w:szCs w:val="32"/>
        </w:rPr>
        <w:t>2020年度重庆市南岸区卫生健康委员会</w:t>
      </w:r>
    </w:p>
    <w:p w14:paraId="2AB4E1BF">
      <w:pPr>
        <w:pStyle w:val="13"/>
        <w:tabs>
          <w:tab w:val="center" w:pos="4153"/>
          <w:tab w:val="left" w:pos="7275"/>
        </w:tabs>
        <w:spacing w:line="600" w:lineRule="exact"/>
        <w:ind w:firstLine="0" w:firstLineChars="0"/>
        <w:jc w:val="center"/>
        <w:rPr>
          <w:rFonts w:ascii="黑体" w:eastAsia="黑体" w:cs="Arial"/>
          <w:bCs/>
          <w:sz w:val="32"/>
          <w:szCs w:val="32"/>
        </w:rPr>
      </w:pPr>
      <w:r>
        <w:rPr>
          <w:rFonts w:hint="eastAsia" w:ascii="黑体" w:eastAsia="黑体" w:cs="Arial"/>
          <w:bCs/>
          <w:sz w:val="32"/>
          <w:szCs w:val="32"/>
        </w:rPr>
        <w:t>应急物资保障体系建设项目</w:t>
      </w:r>
    </w:p>
    <w:p w14:paraId="68B6F614">
      <w:pPr>
        <w:pStyle w:val="13"/>
        <w:tabs>
          <w:tab w:val="center" w:pos="4153"/>
          <w:tab w:val="left" w:pos="7275"/>
        </w:tabs>
        <w:spacing w:line="600" w:lineRule="exact"/>
        <w:ind w:firstLine="0" w:firstLineChars="0"/>
        <w:jc w:val="center"/>
        <w:rPr>
          <w:rFonts w:ascii="黑体" w:eastAsia="黑体" w:cs="Arial"/>
          <w:bCs/>
          <w:sz w:val="32"/>
          <w:szCs w:val="32"/>
        </w:rPr>
      </w:pPr>
      <w:r>
        <w:rPr>
          <w:rFonts w:hint="eastAsia" w:ascii="黑体" w:eastAsia="黑体" w:cs="Arial"/>
          <w:bCs/>
          <w:sz w:val="32"/>
          <w:szCs w:val="32"/>
        </w:rPr>
        <w:t>绩效评价报告</w:t>
      </w:r>
    </w:p>
    <w:p w14:paraId="0F8618A8">
      <w:pPr>
        <w:pStyle w:val="13"/>
        <w:tabs>
          <w:tab w:val="center" w:pos="4153"/>
          <w:tab w:val="left" w:pos="7275"/>
        </w:tabs>
        <w:spacing w:line="600" w:lineRule="exact"/>
        <w:ind w:firstLine="480"/>
        <w:rPr>
          <w:rFonts w:ascii="黑体" w:eastAsia="黑体" w:cs="Arial"/>
          <w:bCs/>
          <w:sz w:val="24"/>
          <w:szCs w:val="24"/>
        </w:rPr>
      </w:pPr>
    </w:p>
    <w:p w14:paraId="2911CBAB">
      <w:pPr>
        <w:pStyle w:val="13"/>
        <w:tabs>
          <w:tab w:val="center" w:pos="4153"/>
          <w:tab w:val="left" w:pos="7275"/>
        </w:tabs>
        <w:spacing w:line="600" w:lineRule="exact"/>
        <w:ind w:firstLine="560"/>
        <w:rPr>
          <w:rFonts w:ascii="宋体" w:hAnsi="宋体" w:cs="宋体"/>
          <w:bCs/>
          <w:sz w:val="28"/>
          <w:szCs w:val="28"/>
        </w:rPr>
      </w:pPr>
      <w:r>
        <w:rPr>
          <w:rFonts w:hint="eastAsia" w:ascii="宋体" w:hAnsi="宋体" w:cs="宋体"/>
          <w:bCs/>
          <w:sz w:val="28"/>
          <w:szCs w:val="28"/>
        </w:rPr>
        <w:t>一、基本情况</w:t>
      </w:r>
    </w:p>
    <w:p w14:paraId="69BA76E7">
      <w:pPr>
        <w:pStyle w:val="13"/>
        <w:tabs>
          <w:tab w:val="center" w:pos="4153"/>
          <w:tab w:val="left" w:pos="7275"/>
        </w:tabs>
        <w:spacing w:line="600" w:lineRule="exact"/>
        <w:ind w:firstLine="560"/>
        <w:rPr>
          <w:rFonts w:ascii="宋体" w:hAnsi="宋体" w:cs="宋体"/>
          <w:bCs/>
          <w:sz w:val="28"/>
          <w:szCs w:val="28"/>
        </w:rPr>
      </w:pPr>
      <w:r>
        <w:rPr>
          <w:rFonts w:hint="eastAsia" w:ascii="宋体" w:hAnsi="宋体" w:cs="宋体"/>
          <w:bCs/>
          <w:sz w:val="28"/>
          <w:szCs w:val="28"/>
        </w:rPr>
        <w:t>（一）项目背景、概况</w:t>
      </w:r>
    </w:p>
    <w:p w14:paraId="7C6CABD6">
      <w:pPr>
        <w:pStyle w:val="13"/>
        <w:tabs>
          <w:tab w:val="center" w:pos="4153"/>
          <w:tab w:val="left" w:pos="7275"/>
        </w:tabs>
        <w:spacing w:line="600" w:lineRule="exact"/>
        <w:ind w:firstLine="640"/>
        <w:rPr>
          <w:rFonts w:ascii="方正仿宋_GBK" w:hAnsi="宋体" w:eastAsia="方正仿宋_GBK" w:cs="宋体"/>
          <w:kern w:val="0"/>
          <w:sz w:val="32"/>
          <w:szCs w:val="32"/>
        </w:rPr>
      </w:pPr>
      <w:r>
        <w:rPr>
          <w:rFonts w:hint="eastAsia" w:ascii="方正仿宋_GBK" w:hAnsi="宋体" w:eastAsia="方正仿宋_GBK" w:cs="宋体"/>
          <w:kern w:val="0"/>
          <w:sz w:val="32"/>
          <w:szCs w:val="32"/>
        </w:rPr>
        <w:t>按照党中央、国务院战略部署，支持地方加快补齐应急物资保障短板，健全完善中央和地方统筹安排、分级储备、重特大突发事件发生时可统一调度的应急物资保障体系，中央财政在特殊转移支付中安排部分资金用于支持地方应急物资保障体系建设。2020年7月15日财政部印发了《关于下达支持应急物资保障体系建设补助资金预算的通知》（财建〔2020〕289号）。</w:t>
      </w:r>
    </w:p>
    <w:p w14:paraId="1527A320">
      <w:pPr>
        <w:pStyle w:val="13"/>
        <w:tabs>
          <w:tab w:val="center" w:pos="4153"/>
          <w:tab w:val="left" w:pos="7275"/>
        </w:tabs>
        <w:spacing w:line="600" w:lineRule="exact"/>
        <w:ind w:firstLine="640"/>
        <w:rPr>
          <w:rFonts w:ascii="方正仿宋_GBK" w:hAnsi="宋体" w:eastAsia="方正仿宋_GBK" w:cs="宋体"/>
          <w:kern w:val="0"/>
          <w:sz w:val="32"/>
          <w:szCs w:val="32"/>
        </w:rPr>
      </w:pPr>
      <w:r>
        <w:rPr>
          <w:rFonts w:hint="eastAsia" w:ascii="方正仿宋_GBK" w:hAnsi="宋体" w:eastAsia="方正仿宋_GBK" w:cs="宋体"/>
          <w:kern w:val="0"/>
          <w:sz w:val="32"/>
          <w:szCs w:val="32"/>
        </w:rPr>
        <w:t>为支持各区县（自治县）建设政府应急物资保障体系，充实完善专用应急政府储备品种、规模、结构，2020年7月23日重庆市财政局印发了《关于下达应急物资保障体系建设补助资金（直达资金）的通知》（渝财产业[2020]73号）。</w:t>
      </w:r>
    </w:p>
    <w:p w14:paraId="6A4F3DD9">
      <w:pPr>
        <w:pStyle w:val="13"/>
        <w:tabs>
          <w:tab w:val="center" w:pos="4153"/>
          <w:tab w:val="left" w:pos="7275"/>
        </w:tabs>
        <w:spacing w:line="600" w:lineRule="exact"/>
        <w:ind w:firstLine="640"/>
        <w:rPr>
          <w:rFonts w:ascii="方正仿宋_GBK" w:hAnsi="宋体" w:eastAsia="方正仿宋_GBK" w:cs="宋体"/>
          <w:kern w:val="0"/>
          <w:sz w:val="32"/>
          <w:szCs w:val="32"/>
        </w:rPr>
      </w:pPr>
      <w:r>
        <w:rPr>
          <w:rFonts w:hint="eastAsia" w:ascii="方正仿宋_GBK" w:hAnsi="宋体" w:eastAsia="方正仿宋_GBK" w:cs="宋体"/>
          <w:kern w:val="0"/>
          <w:sz w:val="32"/>
          <w:szCs w:val="32"/>
        </w:rPr>
        <w:t>为贯彻落实习近平总书记关于统筹推进疫情防控和经济社会发展系列重要讲话精神，切实做好重庆市疫情防控物资储备补偿管理工作，2020年12月6日重庆市财政局、重庆市经济和信息化委员会制定了《重庆市新冠肺炎疫情防控物资储备补偿管理暂行办法》（渝财规〔2020〕5号）。</w:t>
      </w:r>
    </w:p>
    <w:p w14:paraId="6BA7DD3F">
      <w:pPr>
        <w:pStyle w:val="13"/>
        <w:tabs>
          <w:tab w:val="center" w:pos="4153"/>
          <w:tab w:val="left" w:pos="7275"/>
        </w:tabs>
        <w:spacing w:line="600" w:lineRule="exact"/>
        <w:ind w:firstLine="640"/>
        <w:rPr>
          <w:rFonts w:ascii="方正仿宋_GBK" w:hAnsi="宋体" w:eastAsia="方正仿宋_GBK" w:cs="宋体"/>
          <w:kern w:val="0"/>
          <w:sz w:val="32"/>
          <w:szCs w:val="32"/>
        </w:rPr>
      </w:pPr>
      <w:r>
        <w:rPr>
          <w:rFonts w:hint="eastAsia" w:ascii="方正仿宋_GBK" w:hAnsi="宋体" w:eastAsia="方正仿宋_GBK" w:cs="宋体"/>
          <w:kern w:val="0"/>
          <w:sz w:val="32"/>
          <w:szCs w:val="32"/>
        </w:rPr>
        <w:t>为建立南岸区卫生应急物资储备长效机制，进一步提高南岸区卫生应急准备水平，为卫生健康系统处置突发公共卫生事件提供充分的物资保障，形成全区卫生应急储备物资目录，确定物资品种和数量以及生产厂家，完成卫生应急物资的储备工作，2020年8月17日重庆市南岸区卫生健康委员会（以下简称南岸区卫健委）根据满足突发传染病疫情突发公共卫生事件一级响应一个月所需应急物资准备量，制定了《南岸区卫生应急物资储备工作实施方案》（南卫健文[2020]105号），经南岸区卫健委行政办公会集体决策，呈报南岸区政府审批。</w:t>
      </w:r>
    </w:p>
    <w:p w14:paraId="01842102">
      <w:pPr>
        <w:pStyle w:val="13"/>
        <w:tabs>
          <w:tab w:val="center" w:pos="4153"/>
          <w:tab w:val="left" w:pos="7275"/>
        </w:tabs>
        <w:spacing w:line="600" w:lineRule="exact"/>
        <w:ind w:firstLine="0" w:firstLineChars="0"/>
        <w:rPr>
          <w:rFonts w:ascii="方正仿宋_GBK" w:hAnsi="宋体" w:eastAsia="方正仿宋_GBK" w:cs="宋体"/>
          <w:kern w:val="0"/>
          <w:sz w:val="32"/>
          <w:szCs w:val="32"/>
        </w:rPr>
      </w:pPr>
      <w:r>
        <w:rPr>
          <w:rFonts w:hint="eastAsia" w:ascii="方正仿宋_GBK" w:hAnsi="宋体" w:eastAsia="方正仿宋_GBK" w:cs="宋体"/>
          <w:kern w:val="0"/>
          <w:sz w:val="32"/>
          <w:szCs w:val="32"/>
        </w:rPr>
        <w:t>综上所述，应急物资保障体系建设十分必要。为应对2020年秋冬季可能的新冠肺炎疫情反弹及突发公共卫生事件，做好卫生应急物资保障，保障卫生健康系统及时高效处置突发公共卫生事件，保护人民群众身体健康和生命安全，为全区经济社会发展保驾护航。</w:t>
      </w:r>
    </w:p>
    <w:p w14:paraId="6965C626">
      <w:pPr>
        <w:pStyle w:val="13"/>
        <w:tabs>
          <w:tab w:val="center" w:pos="4153"/>
          <w:tab w:val="left" w:pos="7275"/>
        </w:tabs>
        <w:spacing w:line="600" w:lineRule="exact"/>
        <w:ind w:firstLine="560"/>
        <w:rPr>
          <w:rFonts w:ascii="宋体" w:hAnsi="宋体" w:cs="宋体"/>
          <w:bCs/>
          <w:sz w:val="28"/>
          <w:szCs w:val="28"/>
        </w:rPr>
      </w:pPr>
      <w:r>
        <w:rPr>
          <w:rFonts w:hint="eastAsia" w:ascii="宋体" w:hAnsi="宋体" w:cs="宋体"/>
          <w:bCs/>
          <w:sz w:val="28"/>
          <w:szCs w:val="28"/>
        </w:rPr>
        <w:t>（二）项目立项依据</w:t>
      </w:r>
    </w:p>
    <w:p w14:paraId="6EB29C8D">
      <w:pPr>
        <w:pStyle w:val="13"/>
        <w:tabs>
          <w:tab w:val="center" w:pos="4153"/>
          <w:tab w:val="left" w:pos="7275"/>
        </w:tabs>
        <w:spacing w:line="600" w:lineRule="exact"/>
        <w:ind w:firstLine="640"/>
        <w:rPr>
          <w:rFonts w:ascii="方正仿宋_GBK" w:hAnsi="宋体" w:eastAsia="方正仿宋_GBK" w:cs="宋体"/>
          <w:kern w:val="0"/>
          <w:sz w:val="32"/>
          <w:szCs w:val="32"/>
        </w:rPr>
      </w:pPr>
      <w:r>
        <w:rPr>
          <w:rFonts w:hint="eastAsia" w:ascii="方正仿宋_GBK" w:hAnsi="宋体" w:eastAsia="方正仿宋_GBK" w:cs="宋体"/>
          <w:kern w:val="0"/>
          <w:sz w:val="32"/>
          <w:szCs w:val="32"/>
        </w:rPr>
        <w:t xml:space="preserve">1、财政部印发了《关于下达支持应急物资保障体系建设补助资金预算的通知》（财建〔2020〕289号）； </w:t>
      </w:r>
    </w:p>
    <w:p w14:paraId="41AA087F">
      <w:pPr>
        <w:pStyle w:val="13"/>
        <w:tabs>
          <w:tab w:val="center" w:pos="4153"/>
          <w:tab w:val="left" w:pos="7275"/>
        </w:tabs>
        <w:spacing w:line="600" w:lineRule="exact"/>
        <w:ind w:firstLine="640"/>
        <w:rPr>
          <w:rFonts w:ascii="方正仿宋_GBK" w:hAnsi="宋体" w:eastAsia="方正仿宋_GBK" w:cs="宋体"/>
          <w:kern w:val="0"/>
          <w:sz w:val="32"/>
          <w:szCs w:val="32"/>
        </w:rPr>
      </w:pPr>
      <w:r>
        <w:rPr>
          <w:rFonts w:hint="eastAsia" w:ascii="方正仿宋_GBK" w:hAnsi="宋体" w:eastAsia="方正仿宋_GBK" w:cs="宋体"/>
          <w:kern w:val="0"/>
          <w:sz w:val="32"/>
          <w:szCs w:val="32"/>
        </w:rPr>
        <w:t>2、重庆市财政局印发了《关于下达应急物资保障体系建设补助资金（直达资金）的通知》（渝财产业[2020]73号）。</w:t>
      </w:r>
    </w:p>
    <w:p w14:paraId="2E30B8C8">
      <w:pPr>
        <w:pStyle w:val="13"/>
        <w:tabs>
          <w:tab w:val="center" w:pos="4153"/>
          <w:tab w:val="left" w:pos="7275"/>
        </w:tabs>
        <w:spacing w:line="600" w:lineRule="exact"/>
        <w:ind w:firstLine="640"/>
        <w:rPr>
          <w:rFonts w:ascii="方正仿宋_GBK" w:hAnsi="宋体" w:eastAsia="方正仿宋_GBK" w:cs="宋体"/>
          <w:kern w:val="0"/>
          <w:sz w:val="32"/>
          <w:szCs w:val="32"/>
        </w:rPr>
      </w:pPr>
      <w:r>
        <w:rPr>
          <w:rFonts w:hint="eastAsia" w:ascii="方正仿宋_GBK" w:hAnsi="宋体" w:eastAsia="方正仿宋_GBK" w:cs="宋体"/>
          <w:kern w:val="0"/>
          <w:sz w:val="32"/>
          <w:szCs w:val="32"/>
        </w:rPr>
        <w:t>3、重庆市财政局、重庆市经济和信息化委员会制定了《重庆市新冠肺炎疫情防控物资储备补偿管理暂行办法》（渝财规〔2020〕5号）；</w:t>
      </w:r>
    </w:p>
    <w:p w14:paraId="543312B7">
      <w:pPr>
        <w:pStyle w:val="13"/>
        <w:tabs>
          <w:tab w:val="center" w:pos="4153"/>
          <w:tab w:val="left" w:pos="7275"/>
        </w:tabs>
        <w:spacing w:line="600" w:lineRule="exact"/>
        <w:ind w:firstLine="640"/>
        <w:rPr>
          <w:rFonts w:ascii="方正仿宋_GBK" w:hAnsi="宋体" w:eastAsia="方正仿宋_GBK" w:cs="宋体"/>
          <w:kern w:val="0"/>
          <w:sz w:val="32"/>
          <w:szCs w:val="32"/>
        </w:rPr>
      </w:pPr>
      <w:r>
        <w:rPr>
          <w:rFonts w:hint="eastAsia" w:ascii="方正仿宋_GBK" w:hAnsi="宋体" w:eastAsia="方正仿宋_GBK" w:cs="宋体"/>
          <w:kern w:val="0"/>
          <w:sz w:val="32"/>
          <w:szCs w:val="32"/>
        </w:rPr>
        <w:t>4、重庆市南岸区卫健委制定《南岸区卫生应急物资储备工作实施方案》（南卫健文[2020]105号）。</w:t>
      </w:r>
    </w:p>
    <w:p w14:paraId="10B4A024">
      <w:pPr>
        <w:pStyle w:val="13"/>
        <w:tabs>
          <w:tab w:val="center" w:pos="4153"/>
          <w:tab w:val="left" w:pos="7275"/>
        </w:tabs>
        <w:spacing w:line="600" w:lineRule="exact"/>
        <w:ind w:firstLine="560"/>
        <w:rPr>
          <w:rFonts w:ascii="宋体" w:hAnsi="宋体" w:cs="宋体"/>
          <w:bCs/>
          <w:sz w:val="28"/>
          <w:szCs w:val="28"/>
        </w:rPr>
      </w:pPr>
      <w:r>
        <w:rPr>
          <w:rFonts w:hint="eastAsia" w:ascii="宋体" w:hAnsi="宋体" w:cs="宋体"/>
          <w:bCs/>
          <w:sz w:val="28"/>
          <w:szCs w:val="28"/>
        </w:rPr>
        <w:t>（三）项目预算及资金来源与支出</w:t>
      </w:r>
    </w:p>
    <w:p w14:paraId="03ACDB59">
      <w:pPr>
        <w:pStyle w:val="13"/>
        <w:tabs>
          <w:tab w:val="center" w:pos="4153"/>
          <w:tab w:val="left" w:pos="7275"/>
        </w:tabs>
        <w:spacing w:line="600" w:lineRule="exact"/>
        <w:ind w:firstLine="640"/>
        <w:rPr>
          <w:rFonts w:ascii="方正仿宋_GBK" w:hAnsi="宋体" w:eastAsia="方正仿宋_GBK" w:cs="宋体"/>
          <w:kern w:val="0"/>
          <w:sz w:val="32"/>
          <w:szCs w:val="32"/>
        </w:rPr>
      </w:pPr>
      <w:r>
        <w:rPr>
          <w:rFonts w:hint="eastAsia" w:ascii="方正仿宋_GBK" w:hAnsi="宋体" w:eastAsia="方正仿宋_GBK" w:cs="宋体"/>
          <w:kern w:val="0"/>
          <w:sz w:val="32"/>
          <w:szCs w:val="32"/>
        </w:rPr>
        <w:t>分项目明细反映年初预算资金、追加追减预算资金、实际支出资金、预算执行率等情况，附资金支出明细表。</w:t>
      </w:r>
    </w:p>
    <w:p w14:paraId="040939A2">
      <w:pPr>
        <w:pStyle w:val="13"/>
        <w:tabs>
          <w:tab w:val="center" w:pos="4153"/>
          <w:tab w:val="left" w:pos="7275"/>
        </w:tabs>
        <w:spacing w:line="600" w:lineRule="exact"/>
        <w:ind w:firstLine="560"/>
        <w:rPr>
          <w:rFonts w:ascii="宋体" w:hAnsi="宋体" w:cs="宋体"/>
          <w:bCs/>
          <w:sz w:val="28"/>
          <w:szCs w:val="28"/>
        </w:rPr>
      </w:pPr>
      <w:r>
        <w:rPr>
          <w:rFonts w:hint="eastAsia" w:ascii="宋体" w:hAnsi="宋体" w:cs="宋体"/>
          <w:bCs/>
          <w:sz w:val="28"/>
          <w:szCs w:val="28"/>
        </w:rPr>
        <w:t>1、项目预算及资金来源</w:t>
      </w:r>
    </w:p>
    <w:p w14:paraId="6E680129">
      <w:pPr>
        <w:pStyle w:val="13"/>
        <w:tabs>
          <w:tab w:val="center" w:pos="4153"/>
          <w:tab w:val="left" w:pos="7275"/>
        </w:tabs>
        <w:spacing w:line="600" w:lineRule="exact"/>
        <w:ind w:firstLine="640"/>
        <w:rPr>
          <w:rFonts w:ascii="方正仿宋_GBK" w:hAnsi="宋体" w:eastAsia="方正仿宋_GBK" w:cs="宋体"/>
          <w:kern w:val="0"/>
          <w:sz w:val="32"/>
          <w:szCs w:val="32"/>
        </w:rPr>
      </w:pPr>
      <w:r>
        <w:rPr>
          <w:rFonts w:hint="eastAsia" w:ascii="方正仿宋_GBK" w:hAnsi="宋体" w:eastAsia="方正仿宋_GBK" w:cs="宋体"/>
          <w:kern w:val="0"/>
          <w:sz w:val="32"/>
          <w:szCs w:val="32"/>
        </w:rPr>
        <w:t>2020年项目资金预算共865.60万元，均为财政专项资金（直达资金）。项目实施单位资金来源预算详见下表（单位：万元）</w:t>
      </w:r>
    </w:p>
    <w:tbl>
      <w:tblPr>
        <w:tblStyle w:val="7"/>
        <w:tblW w:w="8662" w:type="dxa"/>
        <w:tblInd w:w="93" w:type="dxa"/>
        <w:tblLayout w:type="fixed"/>
        <w:tblCellMar>
          <w:top w:w="0" w:type="dxa"/>
          <w:left w:w="108" w:type="dxa"/>
          <w:bottom w:w="0" w:type="dxa"/>
          <w:right w:w="108" w:type="dxa"/>
        </w:tblCellMar>
      </w:tblPr>
      <w:tblGrid>
        <w:gridCol w:w="440"/>
        <w:gridCol w:w="1560"/>
        <w:gridCol w:w="1276"/>
        <w:gridCol w:w="1275"/>
        <w:gridCol w:w="1560"/>
        <w:gridCol w:w="850"/>
        <w:gridCol w:w="992"/>
        <w:gridCol w:w="709"/>
      </w:tblGrid>
      <w:tr w14:paraId="42100193">
        <w:tblPrEx>
          <w:tblCellMar>
            <w:top w:w="0" w:type="dxa"/>
            <w:left w:w="108" w:type="dxa"/>
            <w:bottom w:w="0" w:type="dxa"/>
            <w:right w:w="108" w:type="dxa"/>
          </w:tblCellMar>
        </w:tblPrEx>
        <w:trPr>
          <w:trHeight w:val="845" w:hRule="atLeast"/>
        </w:trPr>
        <w:tc>
          <w:tcPr>
            <w:tcW w:w="4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777BC1">
            <w:pPr>
              <w:spacing w:line="320" w:lineRule="atLeast"/>
              <w:rPr>
                <w:szCs w:val="21"/>
              </w:rPr>
            </w:pPr>
            <w:r>
              <w:rPr>
                <w:rFonts w:hint="eastAsia"/>
                <w:szCs w:val="21"/>
              </w:rPr>
              <w:t>序号</w:t>
            </w:r>
          </w:p>
        </w:tc>
        <w:tc>
          <w:tcPr>
            <w:tcW w:w="156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39FF3E5">
            <w:pPr>
              <w:spacing w:line="320" w:lineRule="atLeast"/>
              <w:jc w:val="center"/>
              <w:rPr>
                <w:color w:val="000000"/>
                <w:szCs w:val="21"/>
              </w:rPr>
            </w:pPr>
            <w:r>
              <w:rPr>
                <w:rFonts w:hint="eastAsia"/>
                <w:color w:val="000000"/>
                <w:szCs w:val="21"/>
              </w:rPr>
              <w:t>项目实施单位</w:t>
            </w:r>
          </w:p>
        </w:tc>
        <w:tc>
          <w:tcPr>
            <w:tcW w:w="1276" w:type="dxa"/>
            <w:tcBorders>
              <w:top w:val="single" w:color="auto" w:sz="4" w:space="0"/>
              <w:left w:val="nil"/>
              <w:bottom w:val="single" w:color="auto" w:sz="4" w:space="0"/>
              <w:right w:val="single" w:color="auto" w:sz="4" w:space="0"/>
            </w:tcBorders>
            <w:shd w:val="clear" w:color="auto" w:fill="auto"/>
            <w:vAlign w:val="center"/>
          </w:tcPr>
          <w:p w14:paraId="0C4FBD83">
            <w:pPr>
              <w:spacing w:line="320" w:lineRule="atLeast"/>
              <w:jc w:val="center"/>
              <w:rPr>
                <w:szCs w:val="21"/>
              </w:rPr>
            </w:pPr>
            <w:r>
              <w:rPr>
                <w:rFonts w:hint="eastAsia"/>
                <w:szCs w:val="21"/>
              </w:rPr>
              <w:t>市财政局下达应急储备预拨资金</w:t>
            </w:r>
          </w:p>
        </w:tc>
        <w:tc>
          <w:tcPr>
            <w:tcW w:w="1275" w:type="dxa"/>
            <w:tcBorders>
              <w:top w:val="single" w:color="auto" w:sz="4" w:space="0"/>
              <w:left w:val="nil"/>
              <w:bottom w:val="single" w:color="auto" w:sz="4" w:space="0"/>
              <w:right w:val="single" w:color="auto" w:sz="4" w:space="0"/>
            </w:tcBorders>
            <w:shd w:val="clear" w:color="auto" w:fill="auto"/>
            <w:vAlign w:val="center"/>
          </w:tcPr>
          <w:p w14:paraId="67638B21">
            <w:pPr>
              <w:spacing w:line="320" w:lineRule="atLeast"/>
              <w:jc w:val="center"/>
              <w:rPr>
                <w:szCs w:val="21"/>
              </w:rPr>
            </w:pPr>
            <w:r>
              <w:rPr>
                <w:rFonts w:hint="eastAsia"/>
                <w:szCs w:val="21"/>
              </w:rPr>
              <w:t>应急储备补偿追加追减预算资金</w:t>
            </w:r>
          </w:p>
        </w:tc>
        <w:tc>
          <w:tcPr>
            <w:tcW w:w="1560" w:type="dxa"/>
            <w:tcBorders>
              <w:top w:val="single" w:color="auto" w:sz="4" w:space="0"/>
              <w:left w:val="nil"/>
              <w:bottom w:val="single" w:color="auto" w:sz="4" w:space="0"/>
              <w:right w:val="single" w:color="auto" w:sz="4" w:space="0"/>
            </w:tcBorders>
            <w:shd w:val="clear" w:color="auto" w:fill="auto"/>
            <w:vAlign w:val="center"/>
          </w:tcPr>
          <w:p w14:paraId="01BEA880">
            <w:pPr>
              <w:spacing w:line="320" w:lineRule="atLeast"/>
              <w:jc w:val="center"/>
              <w:rPr>
                <w:szCs w:val="21"/>
              </w:rPr>
            </w:pPr>
            <w:r>
              <w:rPr>
                <w:rFonts w:hint="eastAsia"/>
                <w:szCs w:val="21"/>
              </w:rPr>
              <w:t>清算2020年市级定点储备企业防控物资储备补偿资金</w:t>
            </w:r>
          </w:p>
        </w:tc>
        <w:tc>
          <w:tcPr>
            <w:tcW w:w="2551" w:type="dxa"/>
            <w:gridSpan w:val="3"/>
            <w:tcBorders>
              <w:top w:val="single" w:color="auto" w:sz="4" w:space="0"/>
              <w:left w:val="nil"/>
              <w:bottom w:val="single" w:color="auto" w:sz="4" w:space="0"/>
              <w:right w:val="single" w:color="auto" w:sz="4" w:space="0"/>
            </w:tcBorders>
            <w:shd w:val="clear" w:color="auto" w:fill="auto"/>
            <w:vAlign w:val="center"/>
          </w:tcPr>
          <w:p w14:paraId="1DA68259">
            <w:pPr>
              <w:spacing w:line="320" w:lineRule="atLeast"/>
              <w:jc w:val="center"/>
              <w:rPr>
                <w:szCs w:val="21"/>
              </w:rPr>
            </w:pPr>
            <w:r>
              <w:rPr>
                <w:rFonts w:hint="eastAsia"/>
                <w:szCs w:val="21"/>
              </w:rPr>
              <w:t>2020年定点储备物资补偿资金（直达资金）</w:t>
            </w:r>
          </w:p>
        </w:tc>
      </w:tr>
      <w:tr w14:paraId="7101171B">
        <w:tblPrEx>
          <w:tblCellMar>
            <w:top w:w="0" w:type="dxa"/>
            <w:left w:w="108" w:type="dxa"/>
            <w:bottom w:w="0" w:type="dxa"/>
            <w:right w:w="108" w:type="dxa"/>
          </w:tblCellMar>
        </w:tblPrEx>
        <w:trPr>
          <w:trHeight w:val="702" w:hRule="atLeast"/>
        </w:trPr>
        <w:tc>
          <w:tcPr>
            <w:tcW w:w="440" w:type="dxa"/>
            <w:vMerge w:val="continue"/>
            <w:tcBorders>
              <w:top w:val="single" w:color="auto" w:sz="4" w:space="0"/>
              <w:left w:val="single" w:color="auto" w:sz="4" w:space="0"/>
              <w:bottom w:val="single" w:color="auto" w:sz="4" w:space="0"/>
              <w:right w:val="single" w:color="auto" w:sz="4" w:space="0"/>
            </w:tcBorders>
            <w:vAlign w:val="center"/>
          </w:tcPr>
          <w:p w14:paraId="58246919">
            <w:pPr>
              <w:spacing w:line="320" w:lineRule="atLeast"/>
              <w:rPr>
                <w:szCs w:val="21"/>
              </w:rPr>
            </w:pPr>
          </w:p>
        </w:tc>
        <w:tc>
          <w:tcPr>
            <w:tcW w:w="1560" w:type="dxa"/>
            <w:vMerge w:val="continue"/>
            <w:tcBorders>
              <w:top w:val="single" w:color="auto" w:sz="4" w:space="0"/>
              <w:left w:val="single" w:color="auto" w:sz="4" w:space="0"/>
              <w:bottom w:val="single" w:color="000000" w:sz="4" w:space="0"/>
              <w:right w:val="single" w:color="auto" w:sz="4" w:space="0"/>
            </w:tcBorders>
            <w:vAlign w:val="center"/>
          </w:tcPr>
          <w:p w14:paraId="2A71D29C">
            <w:pPr>
              <w:spacing w:line="320" w:lineRule="atLeast"/>
              <w:jc w:val="center"/>
              <w:rPr>
                <w:color w:val="000000"/>
                <w:szCs w:val="21"/>
              </w:rPr>
            </w:pPr>
          </w:p>
        </w:tc>
        <w:tc>
          <w:tcPr>
            <w:tcW w:w="1276" w:type="dxa"/>
            <w:tcBorders>
              <w:top w:val="nil"/>
              <w:left w:val="nil"/>
              <w:bottom w:val="single" w:color="auto" w:sz="4" w:space="0"/>
              <w:right w:val="single" w:color="auto" w:sz="4" w:space="0"/>
            </w:tcBorders>
            <w:shd w:val="clear" w:color="auto" w:fill="auto"/>
            <w:vAlign w:val="center"/>
          </w:tcPr>
          <w:p w14:paraId="3BD0076D">
            <w:pPr>
              <w:spacing w:line="320" w:lineRule="atLeast"/>
              <w:jc w:val="center"/>
              <w:rPr>
                <w:szCs w:val="21"/>
              </w:rPr>
            </w:pPr>
            <w:r>
              <w:rPr>
                <w:rFonts w:hint="eastAsia"/>
                <w:szCs w:val="21"/>
              </w:rPr>
              <w:t>渝财产业[2020]73号</w:t>
            </w:r>
          </w:p>
        </w:tc>
        <w:tc>
          <w:tcPr>
            <w:tcW w:w="1275" w:type="dxa"/>
            <w:tcBorders>
              <w:top w:val="nil"/>
              <w:left w:val="nil"/>
              <w:bottom w:val="single" w:color="auto" w:sz="4" w:space="0"/>
              <w:right w:val="single" w:color="auto" w:sz="4" w:space="0"/>
            </w:tcBorders>
            <w:shd w:val="clear" w:color="auto" w:fill="auto"/>
            <w:vAlign w:val="center"/>
          </w:tcPr>
          <w:p w14:paraId="27A6DEA0">
            <w:pPr>
              <w:spacing w:line="320" w:lineRule="atLeast"/>
              <w:jc w:val="center"/>
              <w:rPr>
                <w:szCs w:val="21"/>
              </w:rPr>
            </w:pPr>
            <w:r>
              <w:rPr>
                <w:rFonts w:hint="eastAsia"/>
                <w:szCs w:val="21"/>
              </w:rPr>
              <w:t>渝财产业[2020]87号</w:t>
            </w:r>
          </w:p>
        </w:tc>
        <w:tc>
          <w:tcPr>
            <w:tcW w:w="1560" w:type="dxa"/>
            <w:tcBorders>
              <w:top w:val="nil"/>
              <w:left w:val="nil"/>
              <w:bottom w:val="single" w:color="auto" w:sz="4" w:space="0"/>
              <w:right w:val="single" w:color="auto" w:sz="4" w:space="0"/>
            </w:tcBorders>
            <w:shd w:val="clear" w:color="auto" w:fill="auto"/>
            <w:vAlign w:val="center"/>
          </w:tcPr>
          <w:p w14:paraId="67442C37">
            <w:pPr>
              <w:spacing w:line="320" w:lineRule="atLeast"/>
              <w:jc w:val="center"/>
              <w:rPr>
                <w:szCs w:val="21"/>
              </w:rPr>
            </w:pPr>
            <w:r>
              <w:rPr>
                <w:rFonts w:hint="eastAsia"/>
                <w:szCs w:val="21"/>
              </w:rPr>
              <w:t>渝财产业[2020]195号</w:t>
            </w:r>
          </w:p>
        </w:tc>
        <w:tc>
          <w:tcPr>
            <w:tcW w:w="850" w:type="dxa"/>
            <w:tcBorders>
              <w:top w:val="nil"/>
              <w:left w:val="nil"/>
              <w:bottom w:val="single" w:color="auto" w:sz="4" w:space="0"/>
              <w:right w:val="single" w:color="auto" w:sz="4" w:space="0"/>
            </w:tcBorders>
            <w:shd w:val="clear" w:color="auto" w:fill="auto"/>
            <w:vAlign w:val="center"/>
          </w:tcPr>
          <w:p w14:paraId="6845D953">
            <w:pPr>
              <w:spacing w:line="320" w:lineRule="atLeast"/>
              <w:jc w:val="center"/>
              <w:rPr>
                <w:szCs w:val="21"/>
              </w:rPr>
            </w:pPr>
            <w:r>
              <w:rPr>
                <w:rFonts w:hint="eastAsia"/>
                <w:szCs w:val="21"/>
              </w:rPr>
              <w:t>预算金额</w:t>
            </w:r>
          </w:p>
        </w:tc>
        <w:tc>
          <w:tcPr>
            <w:tcW w:w="992" w:type="dxa"/>
            <w:tcBorders>
              <w:top w:val="nil"/>
              <w:left w:val="nil"/>
              <w:bottom w:val="single" w:color="auto" w:sz="4" w:space="0"/>
              <w:right w:val="single" w:color="auto" w:sz="4" w:space="0"/>
            </w:tcBorders>
            <w:shd w:val="clear" w:color="auto" w:fill="auto"/>
            <w:vAlign w:val="center"/>
          </w:tcPr>
          <w:p w14:paraId="49B0A99F">
            <w:pPr>
              <w:spacing w:line="320" w:lineRule="atLeast"/>
              <w:jc w:val="center"/>
              <w:rPr>
                <w:szCs w:val="21"/>
              </w:rPr>
            </w:pPr>
            <w:r>
              <w:rPr>
                <w:rFonts w:hint="eastAsia"/>
                <w:szCs w:val="21"/>
              </w:rPr>
              <w:t>定点储备项目级别</w:t>
            </w:r>
          </w:p>
        </w:tc>
        <w:tc>
          <w:tcPr>
            <w:tcW w:w="709" w:type="dxa"/>
            <w:tcBorders>
              <w:top w:val="nil"/>
              <w:left w:val="nil"/>
              <w:bottom w:val="nil"/>
              <w:right w:val="single" w:color="auto" w:sz="4" w:space="0"/>
            </w:tcBorders>
            <w:shd w:val="clear" w:color="auto" w:fill="auto"/>
            <w:vAlign w:val="center"/>
          </w:tcPr>
          <w:p w14:paraId="598BF232">
            <w:pPr>
              <w:spacing w:line="320" w:lineRule="atLeast"/>
              <w:jc w:val="center"/>
              <w:rPr>
                <w:szCs w:val="21"/>
              </w:rPr>
            </w:pPr>
            <w:r>
              <w:rPr>
                <w:rFonts w:hint="eastAsia"/>
                <w:szCs w:val="21"/>
              </w:rPr>
              <w:t>资金来源</w:t>
            </w:r>
          </w:p>
        </w:tc>
      </w:tr>
      <w:tr w14:paraId="4174E4A4">
        <w:tblPrEx>
          <w:tblCellMar>
            <w:top w:w="0" w:type="dxa"/>
            <w:left w:w="108" w:type="dxa"/>
            <w:bottom w:w="0" w:type="dxa"/>
            <w:right w:w="108" w:type="dxa"/>
          </w:tblCellMar>
        </w:tblPrEx>
        <w:trPr>
          <w:trHeight w:val="1088" w:hRule="atLeast"/>
        </w:trPr>
        <w:tc>
          <w:tcPr>
            <w:tcW w:w="440" w:type="dxa"/>
            <w:tcBorders>
              <w:top w:val="nil"/>
              <w:left w:val="single" w:color="auto" w:sz="4" w:space="0"/>
              <w:bottom w:val="single" w:color="auto" w:sz="4" w:space="0"/>
              <w:right w:val="single" w:color="auto" w:sz="4" w:space="0"/>
            </w:tcBorders>
            <w:shd w:val="clear" w:color="auto" w:fill="auto"/>
            <w:vAlign w:val="center"/>
          </w:tcPr>
          <w:p w14:paraId="1D219E49">
            <w:pPr>
              <w:spacing w:line="320" w:lineRule="atLeast"/>
              <w:rPr>
                <w:szCs w:val="21"/>
              </w:rPr>
            </w:pPr>
            <w:r>
              <w:rPr>
                <w:rFonts w:hint="eastAsia"/>
                <w:szCs w:val="21"/>
              </w:rPr>
              <w:t>1</w:t>
            </w:r>
          </w:p>
        </w:tc>
        <w:tc>
          <w:tcPr>
            <w:tcW w:w="1560" w:type="dxa"/>
            <w:tcBorders>
              <w:top w:val="nil"/>
              <w:left w:val="nil"/>
              <w:bottom w:val="single" w:color="auto" w:sz="4" w:space="0"/>
              <w:right w:val="single" w:color="auto" w:sz="4" w:space="0"/>
            </w:tcBorders>
            <w:shd w:val="clear" w:color="auto" w:fill="auto"/>
            <w:vAlign w:val="center"/>
          </w:tcPr>
          <w:p w14:paraId="28001BFE">
            <w:pPr>
              <w:spacing w:line="320" w:lineRule="atLeast"/>
              <w:jc w:val="center"/>
              <w:rPr>
                <w:color w:val="000000"/>
                <w:szCs w:val="21"/>
              </w:rPr>
            </w:pPr>
            <w:r>
              <w:rPr>
                <w:rFonts w:hint="eastAsia"/>
                <w:color w:val="000000"/>
                <w:szCs w:val="21"/>
              </w:rPr>
              <w:t>南岸区基层医疗卫生服务管理中心</w:t>
            </w:r>
          </w:p>
        </w:tc>
        <w:tc>
          <w:tcPr>
            <w:tcW w:w="1276" w:type="dxa"/>
            <w:tcBorders>
              <w:top w:val="nil"/>
              <w:left w:val="nil"/>
              <w:bottom w:val="single" w:color="auto" w:sz="4" w:space="0"/>
              <w:right w:val="single" w:color="auto" w:sz="4" w:space="0"/>
            </w:tcBorders>
            <w:shd w:val="clear" w:color="auto" w:fill="auto"/>
            <w:vAlign w:val="center"/>
          </w:tcPr>
          <w:p w14:paraId="40ABB293">
            <w:pPr>
              <w:spacing w:line="320" w:lineRule="atLeast"/>
              <w:jc w:val="center"/>
              <w:rPr>
                <w:szCs w:val="21"/>
              </w:rPr>
            </w:pPr>
            <w:r>
              <w:rPr>
                <w:rFonts w:hint="eastAsia"/>
                <w:szCs w:val="21"/>
              </w:rPr>
              <w:t>196.00</w:t>
            </w:r>
          </w:p>
        </w:tc>
        <w:tc>
          <w:tcPr>
            <w:tcW w:w="1275" w:type="dxa"/>
            <w:tcBorders>
              <w:top w:val="nil"/>
              <w:left w:val="nil"/>
              <w:bottom w:val="single" w:color="auto" w:sz="4" w:space="0"/>
              <w:right w:val="single" w:color="auto" w:sz="4" w:space="0"/>
            </w:tcBorders>
            <w:shd w:val="clear" w:color="auto" w:fill="auto"/>
            <w:vAlign w:val="center"/>
          </w:tcPr>
          <w:p w14:paraId="6A6FE960">
            <w:pPr>
              <w:spacing w:line="320" w:lineRule="atLeast"/>
              <w:jc w:val="center"/>
              <w:rPr>
                <w:szCs w:val="21"/>
              </w:rPr>
            </w:pPr>
            <w:r>
              <w:rPr>
                <w:rFonts w:hint="eastAsia"/>
                <w:szCs w:val="21"/>
              </w:rPr>
              <w:t>0.00</w:t>
            </w:r>
          </w:p>
        </w:tc>
        <w:tc>
          <w:tcPr>
            <w:tcW w:w="1560" w:type="dxa"/>
            <w:tcBorders>
              <w:top w:val="nil"/>
              <w:left w:val="nil"/>
              <w:bottom w:val="single" w:color="auto" w:sz="4" w:space="0"/>
              <w:right w:val="single" w:color="auto" w:sz="4" w:space="0"/>
            </w:tcBorders>
            <w:shd w:val="clear" w:color="auto" w:fill="auto"/>
            <w:vAlign w:val="center"/>
          </w:tcPr>
          <w:p w14:paraId="03DFAD32">
            <w:pPr>
              <w:spacing w:line="320" w:lineRule="atLeast"/>
              <w:jc w:val="center"/>
              <w:rPr>
                <w:szCs w:val="21"/>
              </w:rPr>
            </w:pPr>
            <w:r>
              <w:rPr>
                <w:rFonts w:hint="eastAsia"/>
                <w:szCs w:val="21"/>
              </w:rPr>
              <w:t>0.00</w:t>
            </w:r>
          </w:p>
        </w:tc>
        <w:tc>
          <w:tcPr>
            <w:tcW w:w="850" w:type="dxa"/>
            <w:tcBorders>
              <w:top w:val="nil"/>
              <w:left w:val="nil"/>
              <w:bottom w:val="single" w:color="auto" w:sz="4" w:space="0"/>
              <w:right w:val="single" w:color="auto" w:sz="4" w:space="0"/>
            </w:tcBorders>
            <w:shd w:val="clear" w:color="auto" w:fill="auto"/>
            <w:vAlign w:val="center"/>
          </w:tcPr>
          <w:p w14:paraId="29CCD81B">
            <w:pPr>
              <w:spacing w:line="320" w:lineRule="atLeast"/>
              <w:jc w:val="center"/>
              <w:rPr>
                <w:szCs w:val="21"/>
              </w:rPr>
            </w:pPr>
            <w:r>
              <w:rPr>
                <w:rFonts w:hint="eastAsia"/>
                <w:szCs w:val="21"/>
              </w:rPr>
              <w:t>196.00</w:t>
            </w:r>
          </w:p>
        </w:tc>
        <w:tc>
          <w:tcPr>
            <w:tcW w:w="992" w:type="dxa"/>
            <w:tcBorders>
              <w:top w:val="nil"/>
              <w:left w:val="nil"/>
              <w:bottom w:val="single" w:color="auto" w:sz="4" w:space="0"/>
              <w:right w:val="single" w:color="auto" w:sz="4" w:space="0"/>
            </w:tcBorders>
            <w:shd w:val="clear" w:color="auto" w:fill="auto"/>
            <w:vAlign w:val="center"/>
          </w:tcPr>
          <w:p w14:paraId="40B97D31">
            <w:pPr>
              <w:spacing w:line="320" w:lineRule="atLeast"/>
              <w:jc w:val="center"/>
              <w:rPr>
                <w:szCs w:val="21"/>
              </w:rPr>
            </w:pPr>
            <w:r>
              <w:rPr>
                <w:rFonts w:hint="eastAsia"/>
                <w:szCs w:val="21"/>
              </w:rPr>
              <w:t>区县定点储备补助</w:t>
            </w:r>
          </w:p>
        </w:tc>
        <w:tc>
          <w:tcPr>
            <w:tcW w:w="709" w:type="dxa"/>
            <w:tcBorders>
              <w:top w:val="single" w:color="auto" w:sz="4" w:space="0"/>
              <w:left w:val="nil"/>
              <w:bottom w:val="single" w:color="auto" w:sz="4" w:space="0"/>
              <w:right w:val="single" w:color="auto" w:sz="4" w:space="0"/>
            </w:tcBorders>
            <w:shd w:val="clear" w:color="auto" w:fill="auto"/>
            <w:vAlign w:val="center"/>
          </w:tcPr>
          <w:p w14:paraId="11D3B2C5">
            <w:pPr>
              <w:spacing w:line="320" w:lineRule="atLeast"/>
              <w:jc w:val="center"/>
              <w:rPr>
                <w:szCs w:val="21"/>
              </w:rPr>
            </w:pPr>
            <w:r>
              <w:rPr>
                <w:rFonts w:hint="eastAsia"/>
                <w:szCs w:val="21"/>
              </w:rPr>
              <w:t>财政专项</w:t>
            </w:r>
          </w:p>
        </w:tc>
      </w:tr>
      <w:tr w14:paraId="3C47CB9C">
        <w:tblPrEx>
          <w:tblCellMar>
            <w:top w:w="0" w:type="dxa"/>
            <w:left w:w="108" w:type="dxa"/>
            <w:bottom w:w="0" w:type="dxa"/>
            <w:right w:w="108" w:type="dxa"/>
          </w:tblCellMar>
        </w:tblPrEx>
        <w:trPr>
          <w:trHeight w:val="600" w:hRule="atLeast"/>
        </w:trPr>
        <w:tc>
          <w:tcPr>
            <w:tcW w:w="440" w:type="dxa"/>
            <w:tcBorders>
              <w:top w:val="nil"/>
              <w:left w:val="single" w:color="auto" w:sz="4" w:space="0"/>
              <w:bottom w:val="single" w:color="auto" w:sz="4" w:space="0"/>
              <w:right w:val="single" w:color="auto" w:sz="4" w:space="0"/>
            </w:tcBorders>
            <w:shd w:val="clear" w:color="auto" w:fill="auto"/>
            <w:vAlign w:val="center"/>
          </w:tcPr>
          <w:p w14:paraId="46C387D1">
            <w:pPr>
              <w:spacing w:line="320" w:lineRule="atLeast"/>
              <w:rPr>
                <w:szCs w:val="21"/>
              </w:rPr>
            </w:pPr>
            <w:r>
              <w:rPr>
                <w:rFonts w:hint="eastAsia"/>
                <w:szCs w:val="21"/>
              </w:rPr>
              <w:t>2</w:t>
            </w:r>
          </w:p>
        </w:tc>
        <w:tc>
          <w:tcPr>
            <w:tcW w:w="1560" w:type="dxa"/>
            <w:tcBorders>
              <w:top w:val="nil"/>
              <w:left w:val="nil"/>
              <w:bottom w:val="nil"/>
              <w:right w:val="single" w:color="auto" w:sz="4" w:space="0"/>
            </w:tcBorders>
            <w:shd w:val="clear" w:color="auto" w:fill="auto"/>
            <w:vAlign w:val="center"/>
          </w:tcPr>
          <w:p w14:paraId="66CE6137">
            <w:pPr>
              <w:spacing w:line="320" w:lineRule="atLeast"/>
              <w:jc w:val="center"/>
              <w:rPr>
                <w:color w:val="000000"/>
                <w:szCs w:val="21"/>
              </w:rPr>
            </w:pPr>
            <w:r>
              <w:rPr>
                <w:rFonts w:hint="eastAsia"/>
                <w:color w:val="000000"/>
                <w:szCs w:val="21"/>
              </w:rPr>
              <w:t>国药控股重庆医疗器械公司</w:t>
            </w:r>
          </w:p>
        </w:tc>
        <w:tc>
          <w:tcPr>
            <w:tcW w:w="1276" w:type="dxa"/>
            <w:tcBorders>
              <w:top w:val="nil"/>
              <w:left w:val="nil"/>
              <w:bottom w:val="nil"/>
              <w:right w:val="single" w:color="auto" w:sz="4" w:space="0"/>
            </w:tcBorders>
            <w:shd w:val="clear" w:color="auto" w:fill="auto"/>
            <w:vAlign w:val="center"/>
          </w:tcPr>
          <w:p w14:paraId="182A6331">
            <w:pPr>
              <w:spacing w:line="320" w:lineRule="atLeast"/>
              <w:jc w:val="center"/>
              <w:rPr>
                <w:szCs w:val="21"/>
              </w:rPr>
            </w:pPr>
            <w:r>
              <w:rPr>
                <w:rFonts w:hint="eastAsia"/>
                <w:szCs w:val="21"/>
              </w:rPr>
              <w:t>85.00</w:t>
            </w:r>
          </w:p>
        </w:tc>
        <w:tc>
          <w:tcPr>
            <w:tcW w:w="1275" w:type="dxa"/>
            <w:tcBorders>
              <w:top w:val="nil"/>
              <w:left w:val="nil"/>
              <w:bottom w:val="nil"/>
              <w:right w:val="single" w:color="auto" w:sz="4" w:space="0"/>
            </w:tcBorders>
            <w:shd w:val="clear" w:color="auto" w:fill="auto"/>
            <w:vAlign w:val="center"/>
          </w:tcPr>
          <w:p w14:paraId="11A078C2">
            <w:pPr>
              <w:spacing w:line="320" w:lineRule="atLeast"/>
              <w:jc w:val="center"/>
              <w:rPr>
                <w:szCs w:val="21"/>
              </w:rPr>
            </w:pPr>
            <w:r>
              <w:rPr>
                <w:rFonts w:hint="eastAsia"/>
                <w:szCs w:val="21"/>
              </w:rPr>
              <w:t>0.00</w:t>
            </w:r>
          </w:p>
        </w:tc>
        <w:tc>
          <w:tcPr>
            <w:tcW w:w="1560" w:type="dxa"/>
            <w:tcBorders>
              <w:top w:val="nil"/>
              <w:left w:val="nil"/>
              <w:bottom w:val="nil"/>
              <w:right w:val="single" w:color="auto" w:sz="4" w:space="0"/>
            </w:tcBorders>
            <w:shd w:val="clear" w:color="auto" w:fill="auto"/>
            <w:vAlign w:val="center"/>
          </w:tcPr>
          <w:p w14:paraId="6F1A2712">
            <w:pPr>
              <w:spacing w:line="320" w:lineRule="atLeast"/>
              <w:jc w:val="center"/>
              <w:rPr>
                <w:szCs w:val="21"/>
              </w:rPr>
            </w:pPr>
            <w:r>
              <w:rPr>
                <w:rFonts w:hint="eastAsia"/>
                <w:szCs w:val="21"/>
              </w:rPr>
              <w:t>-29.00</w:t>
            </w:r>
          </w:p>
        </w:tc>
        <w:tc>
          <w:tcPr>
            <w:tcW w:w="850" w:type="dxa"/>
            <w:tcBorders>
              <w:top w:val="nil"/>
              <w:left w:val="nil"/>
              <w:bottom w:val="nil"/>
              <w:right w:val="single" w:color="auto" w:sz="4" w:space="0"/>
            </w:tcBorders>
            <w:shd w:val="clear" w:color="auto" w:fill="auto"/>
            <w:vAlign w:val="center"/>
          </w:tcPr>
          <w:p w14:paraId="36F5385D">
            <w:pPr>
              <w:spacing w:line="320" w:lineRule="atLeast"/>
              <w:jc w:val="center"/>
              <w:rPr>
                <w:szCs w:val="21"/>
              </w:rPr>
            </w:pPr>
            <w:r>
              <w:rPr>
                <w:rFonts w:hint="eastAsia"/>
                <w:szCs w:val="21"/>
              </w:rPr>
              <w:t>56.00</w:t>
            </w:r>
          </w:p>
        </w:tc>
        <w:tc>
          <w:tcPr>
            <w:tcW w:w="992" w:type="dxa"/>
            <w:tcBorders>
              <w:top w:val="nil"/>
              <w:left w:val="nil"/>
              <w:bottom w:val="nil"/>
              <w:right w:val="single" w:color="auto" w:sz="4" w:space="0"/>
            </w:tcBorders>
            <w:shd w:val="clear" w:color="auto" w:fill="auto"/>
            <w:vAlign w:val="center"/>
          </w:tcPr>
          <w:p w14:paraId="678CA9AD">
            <w:pPr>
              <w:spacing w:line="320" w:lineRule="atLeast"/>
              <w:jc w:val="center"/>
              <w:rPr>
                <w:szCs w:val="21"/>
              </w:rPr>
            </w:pPr>
            <w:r>
              <w:rPr>
                <w:rFonts w:hint="eastAsia"/>
                <w:szCs w:val="21"/>
              </w:rPr>
              <w:t>市级定点储备补助</w:t>
            </w:r>
          </w:p>
        </w:tc>
        <w:tc>
          <w:tcPr>
            <w:tcW w:w="709" w:type="dxa"/>
            <w:tcBorders>
              <w:top w:val="nil"/>
              <w:left w:val="nil"/>
              <w:bottom w:val="single" w:color="auto" w:sz="4" w:space="0"/>
              <w:right w:val="single" w:color="auto" w:sz="4" w:space="0"/>
            </w:tcBorders>
            <w:shd w:val="clear" w:color="auto" w:fill="auto"/>
            <w:vAlign w:val="center"/>
          </w:tcPr>
          <w:p w14:paraId="6A5A6A07">
            <w:pPr>
              <w:spacing w:line="320" w:lineRule="atLeast"/>
              <w:jc w:val="center"/>
              <w:rPr>
                <w:szCs w:val="21"/>
              </w:rPr>
            </w:pPr>
            <w:r>
              <w:rPr>
                <w:rFonts w:hint="eastAsia"/>
                <w:szCs w:val="21"/>
              </w:rPr>
              <w:t>财政专项</w:t>
            </w:r>
          </w:p>
        </w:tc>
      </w:tr>
      <w:tr w14:paraId="3E5A82F1">
        <w:tblPrEx>
          <w:tblCellMar>
            <w:top w:w="0" w:type="dxa"/>
            <w:left w:w="108" w:type="dxa"/>
            <w:bottom w:w="0" w:type="dxa"/>
            <w:right w:w="108" w:type="dxa"/>
          </w:tblCellMar>
        </w:tblPrEx>
        <w:trPr>
          <w:trHeight w:val="1103" w:hRule="atLeast"/>
        </w:trPr>
        <w:tc>
          <w:tcPr>
            <w:tcW w:w="440" w:type="dxa"/>
            <w:tcBorders>
              <w:top w:val="nil"/>
              <w:left w:val="single" w:color="auto" w:sz="4" w:space="0"/>
              <w:bottom w:val="single" w:color="auto" w:sz="4" w:space="0"/>
              <w:right w:val="single" w:color="auto" w:sz="4" w:space="0"/>
            </w:tcBorders>
            <w:shd w:val="clear" w:color="auto" w:fill="auto"/>
            <w:vAlign w:val="center"/>
          </w:tcPr>
          <w:p w14:paraId="1449C4C0">
            <w:pPr>
              <w:spacing w:line="320" w:lineRule="atLeast"/>
              <w:rPr>
                <w:szCs w:val="21"/>
              </w:rPr>
            </w:pPr>
            <w:r>
              <w:rPr>
                <w:rFonts w:hint="eastAsia"/>
                <w:szCs w:val="21"/>
              </w:rPr>
              <w:t>3</w:t>
            </w:r>
          </w:p>
        </w:tc>
        <w:tc>
          <w:tcPr>
            <w:tcW w:w="1560" w:type="dxa"/>
            <w:tcBorders>
              <w:top w:val="single" w:color="auto" w:sz="4" w:space="0"/>
              <w:left w:val="nil"/>
              <w:bottom w:val="nil"/>
              <w:right w:val="single" w:color="auto" w:sz="4" w:space="0"/>
            </w:tcBorders>
            <w:shd w:val="clear" w:color="auto" w:fill="auto"/>
            <w:vAlign w:val="center"/>
          </w:tcPr>
          <w:p w14:paraId="28545789">
            <w:pPr>
              <w:spacing w:line="320" w:lineRule="atLeast"/>
              <w:jc w:val="center"/>
              <w:rPr>
                <w:color w:val="000000"/>
                <w:szCs w:val="21"/>
              </w:rPr>
            </w:pPr>
            <w:r>
              <w:rPr>
                <w:rFonts w:hint="eastAsia"/>
                <w:color w:val="000000"/>
                <w:szCs w:val="21"/>
              </w:rPr>
              <w:t>国药控制重庆泰民医药公司</w:t>
            </w:r>
          </w:p>
        </w:tc>
        <w:tc>
          <w:tcPr>
            <w:tcW w:w="1276" w:type="dxa"/>
            <w:tcBorders>
              <w:top w:val="single" w:color="auto" w:sz="4" w:space="0"/>
              <w:left w:val="nil"/>
              <w:bottom w:val="nil"/>
              <w:right w:val="single" w:color="auto" w:sz="4" w:space="0"/>
            </w:tcBorders>
            <w:shd w:val="clear" w:color="auto" w:fill="auto"/>
            <w:vAlign w:val="center"/>
          </w:tcPr>
          <w:p w14:paraId="619EB24F">
            <w:pPr>
              <w:spacing w:line="320" w:lineRule="atLeast"/>
              <w:jc w:val="center"/>
              <w:rPr>
                <w:szCs w:val="21"/>
              </w:rPr>
            </w:pPr>
            <w:r>
              <w:rPr>
                <w:rFonts w:hint="eastAsia"/>
                <w:szCs w:val="21"/>
              </w:rPr>
              <w:t>0.00</w:t>
            </w:r>
          </w:p>
        </w:tc>
        <w:tc>
          <w:tcPr>
            <w:tcW w:w="1275" w:type="dxa"/>
            <w:tcBorders>
              <w:top w:val="single" w:color="auto" w:sz="4" w:space="0"/>
              <w:left w:val="nil"/>
              <w:bottom w:val="nil"/>
              <w:right w:val="single" w:color="auto" w:sz="4" w:space="0"/>
            </w:tcBorders>
            <w:shd w:val="clear" w:color="auto" w:fill="auto"/>
            <w:vAlign w:val="center"/>
          </w:tcPr>
          <w:p w14:paraId="0D4A0E99">
            <w:pPr>
              <w:spacing w:line="320" w:lineRule="atLeast"/>
              <w:jc w:val="center"/>
              <w:rPr>
                <w:szCs w:val="21"/>
              </w:rPr>
            </w:pPr>
            <w:r>
              <w:rPr>
                <w:rFonts w:hint="eastAsia"/>
                <w:szCs w:val="21"/>
              </w:rPr>
              <w:t>701.00</w:t>
            </w:r>
          </w:p>
        </w:tc>
        <w:tc>
          <w:tcPr>
            <w:tcW w:w="1560" w:type="dxa"/>
            <w:tcBorders>
              <w:top w:val="single" w:color="auto" w:sz="4" w:space="0"/>
              <w:left w:val="nil"/>
              <w:bottom w:val="nil"/>
              <w:right w:val="single" w:color="auto" w:sz="4" w:space="0"/>
            </w:tcBorders>
            <w:shd w:val="clear" w:color="auto" w:fill="auto"/>
            <w:vAlign w:val="center"/>
          </w:tcPr>
          <w:p w14:paraId="465D10AD">
            <w:pPr>
              <w:spacing w:line="320" w:lineRule="atLeast"/>
              <w:jc w:val="center"/>
              <w:rPr>
                <w:szCs w:val="21"/>
              </w:rPr>
            </w:pPr>
            <w:r>
              <w:rPr>
                <w:rFonts w:hint="eastAsia"/>
                <w:szCs w:val="21"/>
              </w:rPr>
              <w:t>-87.40</w:t>
            </w:r>
          </w:p>
        </w:tc>
        <w:tc>
          <w:tcPr>
            <w:tcW w:w="850" w:type="dxa"/>
            <w:tcBorders>
              <w:top w:val="single" w:color="auto" w:sz="4" w:space="0"/>
              <w:left w:val="nil"/>
              <w:bottom w:val="nil"/>
              <w:right w:val="single" w:color="auto" w:sz="4" w:space="0"/>
            </w:tcBorders>
            <w:shd w:val="clear" w:color="auto" w:fill="auto"/>
            <w:vAlign w:val="center"/>
          </w:tcPr>
          <w:p w14:paraId="2D33DD94">
            <w:pPr>
              <w:spacing w:line="320" w:lineRule="atLeast"/>
              <w:jc w:val="center"/>
              <w:rPr>
                <w:szCs w:val="21"/>
              </w:rPr>
            </w:pPr>
            <w:r>
              <w:rPr>
                <w:rFonts w:hint="eastAsia"/>
                <w:szCs w:val="21"/>
              </w:rPr>
              <w:t>613.60</w:t>
            </w:r>
          </w:p>
        </w:tc>
        <w:tc>
          <w:tcPr>
            <w:tcW w:w="992" w:type="dxa"/>
            <w:tcBorders>
              <w:top w:val="single" w:color="auto" w:sz="4" w:space="0"/>
              <w:left w:val="nil"/>
              <w:bottom w:val="nil"/>
              <w:right w:val="single" w:color="auto" w:sz="4" w:space="0"/>
            </w:tcBorders>
            <w:shd w:val="clear" w:color="auto" w:fill="auto"/>
            <w:vAlign w:val="center"/>
          </w:tcPr>
          <w:p w14:paraId="30F5DEF6">
            <w:pPr>
              <w:spacing w:line="320" w:lineRule="atLeast"/>
              <w:jc w:val="center"/>
              <w:rPr>
                <w:szCs w:val="21"/>
              </w:rPr>
            </w:pPr>
            <w:r>
              <w:rPr>
                <w:rFonts w:hint="eastAsia"/>
                <w:szCs w:val="21"/>
              </w:rPr>
              <w:t>市级定点储备补助</w:t>
            </w:r>
          </w:p>
        </w:tc>
        <w:tc>
          <w:tcPr>
            <w:tcW w:w="709" w:type="dxa"/>
            <w:tcBorders>
              <w:top w:val="nil"/>
              <w:left w:val="nil"/>
              <w:bottom w:val="single" w:color="auto" w:sz="4" w:space="0"/>
              <w:right w:val="single" w:color="auto" w:sz="4" w:space="0"/>
            </w:tcBorders>
            <w:shd w:val="clear" w:color="auto" w:fill="auto"/>
            <w:vAlign w:val="center"/>
          </w:tcPr>
          <w:p w14:paraId="4B93B97C">
            <w:pPr>
              <w:spacing w:line="320" w:lineRule="atLeast"/>
              <w:jc w:val="center"/>
              <w:rPr>
                <w:szCs w:val="21"/>
              </w:rPr>
            </w:pPr>
            <w:r>
              <w:rPr>
                <w:rFonts w:hint="eastAsia"/>
                <w:szCs w:val="21"/>
              </w:rPr>
              <w:t>财政专项</w:t>
            </w:r>
          </w:p>
        </w:tc>
      </w:tr>
      <w:tr w14:paraId="603A041E">
        <w:tblPrEx>
          <w:tblCellMar>
            <w:top w:w="0" w:type="dxa"/>
            <w:left w:w="108" w:type="dxa"/>
            <w:bottom w:w="0" w:type="dxa"/>
            <w:right w:w="108" w:type="dxa"/>
          </w:tblCellMar>
        </w:tblPrEx>
        <w:trPr>
          <w:trHeight w:val="708" w:hRule="atLeast"/>
        </w:trPr>
        <w:tc>
          <w:tcPr>
            <w:tcW w:w="440" w:type="dxa"/>
            <w:tcBorders>
              <w:top w:val="nil"/>
              <w:left w:val="single" w:color="auto" w:sz="4" w:space="0"/>
              <w:bottom w:val="single" w:color="auto" w:sz="4" w:space="0"/>
              <w:right w:val="single" w:color="auto" w:sz="4" w:space="0"/>
            </w:tcBorders>
            <w:shd w:val="clear" w:color="auto" w:fill="auto"/>
            <w:vAlign w:val="center"/>
          </w:tcPr>
          <w:p w14:paraId="3D421CA9">
            <w:pPr>
              <w:spacing w:line="320" w:lineRule="atLeast"/>
              <w:rPr>
                <w:szCs w:val="21"/>
              </w:rPr>
            </w:pPr>
            <w:r>
              <w:rPr>
                <w:rFonts w:hint="eastAsia"/>
                <w:szCs w:val="21"/>
              </w:rPr>
              <w:t>　</w:t>
            </w:r>
          </w:p>
        </w:tc>
        <w:tc>
          <w:tcPr>
            <w:tcW w:w="1560" w:type="dxa"/>
            <w:tcBorders>
              <w:top w:val="single" w:color="auto" w:sz="4" w:space="0"/>
              <w:left w:val="nil"/>
              <w:bottom w:val="single" w:color="auto" w:sz="4" w:space="0"/>
              <w:right w:val="single" w:color="auto" w:sz="4" w:space="0"/>
            </w:tcBorders>
            <w:shd w:val="clear" w:color="auto" w:fill="auto"/>
            <w:vAlign w:val="center"/>
          </w:tcPr>
          <w:p w14:paraId="7594BF4B">
            <w:pPr>
              <w:spacing w:line="320" w:lineRule="atLeast"/>
              <w:jc w:val="center"/>
              <w:rPr>
                <w:color w:val="000000"/>
                <w:szCs w:val="21"/>
              </w:rPr>
            </w:pPr>
            <w:r>
              <w:rPr>
                <w:rFonts w:hint="eastAsia"/>
                <w:color w:val="000000"/>
                <w:szCs w:val="21"/>
              </w:rPr>
              <w:t>合计</w:t>
            </w:r>
          </w:p>
        </w:tc>
        <w:tc>
          <w:tcPr>
            <w:tcW w:w="1276" w:type="dxa"/>
            <w:tcBorders>
              <w:top w:val="single" w:color="auto" w:sz="4" w:space="0"/>
              <w:left w:val="nil"/>
              <w:bottom w:val="single" w:color="auto" w:sz="4" w:space="0"/>
              <w:right w:val="single" w:color="auto" w:sz="4" w:space="0"/>
            </w:tcBorders>
            <w:shd w:val="clear" w:color="auto" w:fill="auto"/>
            <w:vAlign w:val="center"/>
          </w:tcPr>
          <w:p w14:paraId="794E244A">
            <w:pPr>
              <w:spacing w:line="320" w:lineRule="atLeast"/>
              <w:jc w:val="center"/>
              <w:rPr>
                <w:szCs w:val="21"/>
              </w:rPr>
            </w:pPr>
            <w:r>
              <w:rPr>
                <w:rFonts w:hint="eastAsia"/>
                <w:szCs w:val="21"/>
              </w:rPr>
              <w:t>281.00</w:t>
            </w:r>
          </w:p>
        </w:tc>
        <w:tc>
          <w:tcPr>
            <w:tcW w:w="1275" w:type="dxa"/>
            <w:tcBorders>
              <w:top w:val="single" w:color="auto" w:sz="4" w:space="0"/>
              <w:left w:val="nil"/>
              <w:bottom w:val="single" w:color="auto" w:sz="4" w:space="0"/>
              <w:right w:val="single" w:color="auto" w:sz="4" w:space="0"/>
            </w:tcBorders>
            <w:shd w:val="clear" w:color="auto" w:fill="auto"/>
            <w:vAlign w:val="center"/>
          </w:tcPr>
          <w:p w14:paraId="01D41393">
            <w:pPr>
              <w:spacing w:line="320" w:lineRule="atLeast"/>
              <w:jc w:val="center"/>
              <w:rPr>
                <w:szCs w:val="21"/>
              </w:rPr>
            </w:pPr>
            <w:r>
              <w:rPr>
                <w:rFonts w:hint="eastAsia"/>
                <w:szCs w:val="21"/>
              </w:rPr>
              <w:t>701.00</w:t>
            </w:r>
          </w:p>
        </w:tc>
        <w:tc>
          <w:tcPr>
            <w:tcW w:w="1560" w:type="dxa"/>
            <w:tcBorders>
              <w:top w:val="single" w:color="auto" w:sz="4" w:space="0"/>
              <w:left w:val="nil"/>
              <w:bottom w:val="single" w:color="auto" w:sz="4" w:space="0"/>
              <w:right w:val="single" w:color="auto" w:sz="4" w:space="0"/>
            </w:tcBorders>
            <w:shd w:val="clear" w:color="auto" w:fill="auto"/>
            <w:vAlign w:val="center"/>
          </w:tcPr>
          <w:p w14:paraId="105D9938">
            <w:pPr>
              <w:spacing w:line="320" w:lineRule="atLeast"/>
              <w:jc w:val="center"/>
              <w:rPr>
                <w:szCs w:val="21"/>
              </w:rPr>
            </w:pPr>
            <w:r>
              <w:rPr>
                <w:rFonts w:hint="eastAsia"/>
                <w:szCs w:val="21"/>
              </w:rPr>
              <w:t>-116.40</w:t>
            </w:r>
          </w:p>
        </w:tc>
        <w:tc>
          <w:tcPr>
            <w:tcW w:w="850" w:type="dxa"/>
            <w:tcBorders>
              <w:top w:val="single" w:color="auto" w:sz="4" w:space="0"/>
              <w:left w:val="nil"/>
              <w:bottom w:val="single" w:color="auto" w:sz="4" w:space="0"/>
              <w:right w:val="single" w:color="auto" w:sz="4" w:space="0"/>
            </w:tcBorders>
            <w:shd w:val="clear" w:color="auto" w:fill="auto"/>
            <w:vAlign w:val="center"/>
          </w:tcPr>
          <w:p w14:paraId="4EF1E400">
            <w:pPr>
              <w:spacing w:line="320" w:lineRule="atLeast"/>
              <w:jc w:val="center"/>
              <w:rPr>
                <w:szCs w:val="21"/>
              </w:rPr>
            </w:pPr>
            <w:r>
              <w:rPr>
                <w:rFonts w:hint="eastAsia"/>
                <w:szCs w:val="21"/>
              </w:rPr>
              <w:t>865.60</w:t>
            </w:r>
          </w:p>
        </w:tc>
        <w:tc>
          <w:tcPr>
            <w:tcW w:w="992" w:type="dxa"/>
            <w:tcBorders>
              <w:top w:val="single" w:color="auto" w:sz="4" w:space="0"/>
              <w:left w:val="nil"/>
              <w:bottom w:val="single" w:color="auto" w:sz="4" w:space="0"/>
              <w:right w:val="single" w:color="auto" w:sz="4" w:space="0"/>
            </w:tcBorders>
            <w:shd w:val="clear" w:color="auto" w:fill="auto"/>
            <w:vAlign w:val="center"/>
          </w:tcPr>
          <w:p w14:paraId="4A594A6B">
            <w:pPr>
              <w:spacing w:line="320" w:lineRule="atLeast"/>
              <w:jc w:val="center"/>
              <w:rPr>
                <w:szCs w:val="21"/>
              </w:rPr>
            </w:pPr>
          </w:p>
        </w:tc>
        <w:tc>
          <w:tcPr>
            <w:tcW w:w="709" w:type="dxa"/>
            <w:tcBorders>
              <w:top w:val="nil"/>
              <w:left w:val="nil"/>
              <w:bottom w:val="single" w:color="auto" w:sz="4" w:space="0"/>
              <w:right w:val="single" w:color="auto" w:sz="4" w:space="0"/>
            </w:tcBorders>
            <w:shd w:val="clear" w:color="auto" w:fill="auto"/>
            <w:vAlign w:val="center"/>
          </w:tcPr>
          <w:p w14:paraId="7AE8428C">
            <w:pPr>
              <w:spacing w:line="320" w:lineRule="atLeast"/>
              <w:jc w:val="center"/>
              <w:rPr>
                <w:szCs w:val="21"/>
              </w:rPr>
            </w:pPr>
          </w:p>
        </w:tc>
      </w:tr>
    </w:tbl>
    <w:p w14:paraId="71D94DC1">
      <w:pPr>
        <w:tabs>
          <w:tab w:val="center" w:pos="4153"/>
          <w:tab w:val="left" w:pos="7275"/>
        </w:tabs>
        <w:spacing w:line="600" w:lineRule="exact"/>
        <w:rPr>
          <w:sz w:val="28"/>
          <w:szCs w:val="28"/>
        </w:rPr>
      </w:pPr>
    </w:p>
    <w:p w14:paraId="63E6200A">
      <w:pPr>
        <w:pStyle w:val="13"/>
        <w:tabs>
          <w:tab w:val="center" w:pos="4153"/>
          <w:tab w:val="left" w:pos="7275"/>
        </w:tabs>
        <w:spacing w:line="600" w:lineRule="exact"/>
        <w:ind w:firstLine="0" w:firstLineChars="0"/>
        <w:rPr>
          <w:rFonts w:ascii="方正仿宋_GBK" w:hAnsi="华文宋体" w:eastAsia="方正仿宋_GBK" w:cs="宋体"/>
          <w:b/>
          <w:kern w:val="0"/>
          <w:sz w:val="32"/>
          <w:szCs w:val="32"/>
        </w:rPr>
      </w:pPr>
      <w:r>
        <w:rPr>
          <w:rFonts w:hint="eastAsia" w:ascii="方正仿宋_GBK" w:hAnsi="华文宋体" w:eastAsia="方正仿宋_GBK" w:cs="宋体"/>
          <w:sz w:val="32"/>
          <w:szCs w:val="32"/>
        </w:rPr>
        <w:t>2、实际支出资金865.60万元，各实施单位支出明细如下表</w:t>
      </w:r>
    </w:p>
    <w:tbl>
      <w:tblPr>
        <w:tblStyle w:val="7"/>
        <w:tblW w:w="8095" w:type="dxa"/>
        <w:tblInd w:w="93" w:type="dxa"/>
        <w:tblLayout w:type="fixed"/>
        <w:tblCellMar>
          <w:top w:w="0" w:type="dxa"/>
          <w:left w:w="108" w:type="dxa"/>
          <w:bottom w:w="0" w:type="dxa"/>
          <w:right w:w="108" w:type="dxa"/>
        </w:tblCellMar>
      </w:tblPr>
      <w:tblGrid>
        <w:gridCol w:w="960"/>
        <w:gridCol w:w="3450"/>
        <w:gridCol w:w="1984"/>
        <w:gridCol w:w="1701"/>
      </w:tblGrid>
      <w:tr w14:paraId="209804AB">
        <w:tblPrEx>
          <w:tblCellMar>
            <w:top w:w="0" w:type="dxa"/>
            <w:left w:w="108" w:type="dxa"/>
            <w:bottom w:w="0" w:type="dxa"/>
            <w:right w:w="108" w:type="dxa"/>
          </w:tblCellMar>
        </w:tblPrEx>
        <w:trPr>
          <w:trHeight w:val="540" w:hRule="atLeast"/>
        </w:trPr>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17A671D6">
            <w:pPr>
              <w:spacing w:line="320" w:lineRule="atLeast"/>
              <w:jc w:val="center"/>
              <w:rPr>
                <w:color w:val="000000"/>
                <w:szCs w:val="21"/>
              </w:rPr>
            </w:pPr>
            <w:r>
              <w:rPr>
                <w:rFonts w:hint="eastAsia"/>
                <w:color w:val="000000"/>
                <w:szCs w:val="21"/>
              </w:rPr>
              <w:t>序号</w:t>
            </w:r>
          </w:p>
        </w:tc>
        <w:tc>
          <w:tcPr>
            <w:tcW w:w="3450" w:type="dxa"/>
            <w:tcBorders>
              <w:top w:val="single" w:color="auto" w:sz="4" w:space="0"/>
              <w:left w:val="nil"/>
              <w:bottom w:val="single" w:color="auto" w:sz="4" w:space="0"/>
              <w:right w:val="single" w:color="auto" w:sz="4" w:space="0"/>
            </w:tcBorders>
            <w:shd w:val="clear" w:color="auto" w:fill="auto"/>
            <w:vAlign w:val="center"/>
          </w:tcPr>
          <w:p w14:paraId="4E7B3B96">
            <w:pPr>
              <w:spacing w:line="320" w:lineRule="atLeast"/>
              <w:jc w:val="center"/>
              <w:rPr>
                <w:color w:val="000000"/>
                <w:szCs w:val="21"/>
              </w:rPr>
            </w:pPr>
            <w:r>
              <w:rPr>
                <w:rFonts w:hint="eastAsia"/>
                <w:color w:val="000000"/>
                <w:szCs w:val="21"/>
              </w:rPr>
              <w:t>项目实施单位</w:t>
            </w:r>
          </w:p>
        </w:tc>
        <w:tc>
          <w:tcPr>
            <w:tcW w:w="1984" w:type="dxa"/>
            <w:tcBorders>
              <w:top w:val="single" w:color="auto" w:sz="4" w:space="0"/>
              <w:left w:val="nil"/>
              <w:bottom w:val="single" w:color="auto" w:sz="4" w:space="0"/>
              <w:right w:val="single" w:color="auto" w:sz="4" w:space="0"/>
            </w:tcBorders>
            <w:shd w:val="clear" w:color="auto" w:fill="auto"/>
            <w:vAlign w:val="center"/>
          </w:tcPr>
          <w:p w14:paraId="514A1202">
            <w:pPr>
              <w:spacing w:line="320" w:lineRule="atLeast"/>
              <w:jc w:val="center"/>
              <w:rPr>
                <w:color w:val="000000"/>
                <w:szCs w:val="21"/>
              </w:rPr>
            </w:pPr>
            <w:r>
              <w:rPr>
                <w:rFonts w:hint="eastAsia"/>
                <w:color w:val="000000"/>
                <w:szCs w:val="21"/>
              </w:rPr>
              <w:t>储备物资总数量   (个/台/瓶/套/件)</w:t>
            </w:r>
          </w:p>
        </w:tc>
        <w:tc>
          <w:tcPr>
            <w:tcW w:w="1701" w:type="dxa"/>
            <w:tcBorders>
              <w:top w:val="single" w:color="auto" w:sz="4" w:space="0"/>
              <w:left w:val="nil"/>
              <w:bottom w:val="single" w:color="auto" w:sz="4" w:space="0"/>
              <w:right w:val="single" w:color="auto" w:sz="4" w:space="0"/>
            </w:tcBorders>
            <w:shd w:val="clear" w:color="auto" w:fill="auto"/>
            <w:vAlign w:val="center"/>
          </w:tcPr>
          <w:p w14:paraId="7F952BAB">
            <w:pPr>
              <w:spacing w:line="320" w:lineRule="atLeast"/>
              <w:jc w:val="center"/>
              <w:rPr>
                <w:color w:val="000000"/>
                <w:szCs w:val="21"/>
              </w:rPr>
            </w:pPr>
            <w:r>
              <w:rPr>
                <w:rFonts w:hint="eastAsia"/>
                <w:color w:val="000000"/>
                <w:szCs w:val="21"/>
              </w:rPr>
              <w:t>支付金额    （万元）</w:t>
            </w:r>
          </w:p>
        </w:tc>
      </w:tr>
      <w:tr w14:paraId="4B12F986">
        <w:tblPrEx>
          <w:tblCellMar>
            <w:top w:w="0" w:type="dxa"/>
            <w:left w:w="108" w:type="dxa"/>
            <w:bottom w:w="0" w:type="dxa"/>
            <w:right w:w="108" w:type="dxa"/>
          </w:tblCellMar>
        </w:tblPrEx>
        <w:trPr>
          <w:trHeight w:val="490" w:hRule="atLeast"/>
        </w:trPr>
        <w:tc>
          <w:tcPr>
            <w:tcW w:w="960" w:type="dxa"/>
            <w:tcBorders>
              <w:top w:val="nil"/>
              <w:left w:val="single" w:color="auto" w:sz="4" w:space="0"/>
              <w:bottom w:val="single" w:color="auto" w:sz="4" w:space="0"/>
              <w:right w:val="single" w:color="auto" w:sz="4" w:space="0"/>
            </w:tcBorders>
            <w:shd w:val="clear" w:color="auto" w:fill="auto"/>
            <w:vAlign w:val="center"/>
          </w:tcPr>
          <w:p w14:paraId="712DECB3">
            <w:pPr>
              <w:spacing w:line="320" w:lineRule="atLeast"/>
              <w:jc w:val="center"/>
              <w:rPr>
                <w:color w:val="000000"/>
                <w:szCs w:val="21"/>
              </w:rPr>
            </w:pPr>
            <w:r>
              <w:rPr>
                <w:rFonts w:hint="eastAsia"/>
                <w:color w:val="000000"/>
                <w:szCs w:val="21"/>
              </w:rPr>
              <w:t>1</w:t>
            </w:r>
          </w:p>
        </w:tc>
        <w:tc>
          <w:tcPr>
            <w:tcW w:w="3450" w:type="dxa"/>
            <w:tcBorders>
              <w:top w:val="nil"/>
              <w:left w:val="nil"/>
              <w:bottom w:val="single" w:color="auto" w:sz="4" w:space="0"/>
              <w:right w:val="single" w:color="auto" w:sz="4" w:space="0"/>
            </w:tcBorders>
            <w:shd w:val="clear" w:color="auto" w:fill="auto"/>
            <w:vAlign w:val="center"/>
          </w:tcPr>
          <w:p w14:paraId="3A5CC0D5">
            <w:pPr>
              <w:spacing w:line="320" w:lineRule="atLeast"/>
              <w:jc w:val="center"/>
              <w:rPr>
                <w:color w:val="000000"/>
                <w:szCs w:val="21"/>
              </w:rPr>
            </w:pPr>
            <w:r>
              <w:rPr>
                <w:rFonts w:hint="eastAsia"/>
                <w:color w:val="000000"/>
                <w:szCs w:val="21"/>
              </w:rPr>
              <w:t>南岸区基层医疗卫生服务管理中心</w:t>
            </w:r>
          </w:p>
        </w:tc>
        <w:tc>
          <w:tcPr>
            <w:tcW w:w="1984" w:type="dxa"/>
            <w:tcBorders>
              <w:top w:val="nil"/>
              <w:left w:val="nil"/>
              <w:bottom w:val="single" w:color="auto" w:sz="4" w:space="0"/>
              <w:right w:val="single" w:color="auto" w:sz="4" w:space="0"/>
            </w:tcBorders>
            <w:shd w:val="clear" w:color="auto" w:fill="auto"/>
            <w:vAlign w:val="center"/>
          </w:tcPr>
          <w:p w14:paraId="0F492B84">
            <w:pPr>
              <w:spacing w:line="320" w:lineRule="atLeast"/>
              <w:jc w:val="center"/>
              <w:rPr>
                <w:color w:val="000000"/>
                <w:szCs w:val="21"/>
              </w:rPr>
            </w:pPr>
            <w:r>
              <w:rPr>
                <w:rFonts w:hint="eastAsia"/>
                <w:color w:val="000000"/>
                <w:szCs w:val="21"/>
              </w:rPr>
              <w:t>520622</w:t>
            </w:r>
          </w:p>
        </w:tc>
        <w:tc>
          <w:tcPr>
            <w:tcW w:w="1701" w:type="dxa"/>
            <w:tcBorders>
              <w:top w:val="nil"/>
              <w:left w:val="nil"/>
              <w:bottom w:val="single" w:color="auto" w:sz="4" w:space="0"/>
              <w:right w:val="single" w:color="auto" w:sz="4" w:space="0"/>
            </w:tcBorders>
            <w:shd w:val="clear" w:color="auto" w:fill="auto"/>
            <w:vAlign w:val="center"/>
          </w:tcPr>
          <w:p w14:paraId="2E955A5C">
            <w:pPr>
              <w:spacing w:line="320" w:lineRule="atLeast"/>
              <w:jc w:val="right"/>
              <w:rPr>
                <w:color w:val="000000"/>
                <w:szCs w:val="21"/>
              </w:rPr>
            </w:pPr>
            <w:r>
              <w:rPr>
                <w:rFonts w:hint="eastAsia"/>
                <w:color w:val="000000"/>
                <w:szCs w:val="21"/>
              </w:rPr>
              <w:t xml:space="preserve">196.00 </w:t>
            </w:r>
          </w:p>
        </w:tc>
      </w:tr>
      <w:tr w14:paraId="279A868A">
        <w:tblPrEx>
          <w:tblCellMar>
            <w:top w:w="0" w:type="dxa"/>
            <w:left w:w="108" w:type="dxa"/>
            <w:bottom w:w="0" w:type="dxa"/>
            <w:right w:w="108" w:type="dxa"/>
          </w:tblCellMar>
        </w:tblPrEx>
        <w:trPr>
          <w:trHeight w:val="404" w:hRule="atLeast"/>
        </w:trPr>
        <w:tc>
          <w:tcPr>
            <w:tcW w:w="960" w:type="dxa"/>
            <w:tcBorders>
              <w:top w:val="nil"/>
              <w:left w:val="single" w:color="auto" w:sz="4" w:space="0"/>
              <w:bottom w:val="single" w:color="auto" w:sz="4" w:space="0"/>
              <w:right w:val="single" w:color="auto" w:sz="4" w:space="0"/>
            </w:tcBorders>
            <w:shd w:val="clear" w:color="auto" w:fill="auto"/>
            <w:vAlign w:val="center"/>
          </w:tcPr>
          <w:p w14:paraId="2891869A">
            <w:pPr>
              <w:spacing w:line="320" w:lineRule="atLeast"/>
              <w:jc w:val="center"/>
              <w:rPr>
                <w:color w:val="000000"/>
                <w:szCs w:val="21"/>
              </w:rPr>
            </w:pPr>
            <w:r>
              <w:rPr>
                <w:rFonts w:hint="eastAsia"/>
                <w:color w:val="000000"/>
                <w:szCs w:val="21"/>
              </w:rPr>
              <w:t>2</w:t>
            </w:r>
          </w:p>
        </w:tc>
        <w:tc>
          <w:tcPr>
            <w:tcW w:w="3450" w:type="dxa"/>
            <w:tcBorders>
              <w:top w:val="nil"/>
              <w:left w:val="nil"/>
              <w:bottom w:val="single" w:color="auto" w:sz="4" w:space="0"/>
              <w:right w:val="single" w:color="auto" w:sz="4" w:space="0"/>
            </w:tcBorders>
            <w:shd w:val="clear" w:color="auto" w:fill="auto"/>
            <w:vAlign w:val="center"/>
          </w:tcPr>
          <w:p w14:paraId="7C85A8A1">
            <w:pPr>
              <w:spacing w:line="320" w:lineRule="atLeast"/>
              <w:jc w:val="center"/>
              <w:rPr>
                <w:color w:val="000000"/>
                <w:szCs w:val="21"/>
              </w:rPr>
            </w:pPr>
            <w:r>
              <w:rPr>
                <w:rFonts w:hint="eastAsia"/>
                <w:color w:val="000000"/>
                <w:szCs w:val="21"/>
              </w:rPr>
              <w:t>国药控股重庆医疗器械公司</w:t>
            </w:r>
          </w:p>
        </w:tc>
        <w:tc>
          <w:tcPr>
            <w:tcW w:w="1984" w:type="dxa"/>
            <w:tcBorders>
              <w:top w:val="nil"/>
              <w:left w:val="nil"/>
              <w:bottom w:val="single" w:color="auto" w:sz="4" w:space="0"/>
              <w:right w:val="single" w:color="auto" w:sz="4" w:space="0"/>
            </w:tcBorders>
            <w:shd w:val="clear" w:color="auto" w:fill="auto"/>
            <w:vAlign w:val="center"/>
          </w:tcPr>
          <w:p w14:paraId="5D2C0C49">
            <w:pPr>
              <w:spacing w:line="320" w:lineRule="atLeast"/>
              <w:jc w:val="center"/>
              <w:rPr>
                <w:color w:val="000000"/>
                <w:szCs w:val="21"/>
              </w:rPr>
            </w:pPr>
            <w:r>
              <w:rPr>
                <w:rFonts w:hint="eastAsia"/>
                <w:color w:val="000000"/>
                <w:szCs w:val="21"/>
              </w:rPr>
              <w:t>8584</w:t>
            </w:r>
          </w:p>
        </w:tc>
        <w:tc>
          <w:tcPr>
            <w:tcW w:w="1701" w:type="dxa"/>
            <w:tcBorders>
              <w:top w:val="nil"/>
              <w:left w:val="nil"/>
              <w:bottom w:val="single" w:color="auto" w:sz="4" w:space="0"/>
              <w:right w:val="single" w:color="auto" w:sz="4" w:space="0"/>
            </w:tcBorders>
            <w:shd w:val="clear" w:color="auto" w:fill="auto"/>
            <w:vAlign w:val="center"/>
          </w:tcPr>
          <w:p w14:paraId="53B87DE7">
            <w:pPr>
              <w:spacing w:line="320" w:lineRule="atLeast"/>
              <w:jc w:val="right"/>
              <w:rPr>
                <w:color w:val="000000"/>
                <w:szCs w:val="21"/>
              </w:rPr>
            </w:pPr>
            <w:r>
              <w:rPr>
                <w:rFonts w:hint="eastAsia"/>
                <w:color w:val="000000"/>
                <w:szCs w:val="21"/>
              </w:rPr>
              <w:t xml:space="preserve">56.00 </w:t>
            </w:r>
          </w:p>
        </w:tc>
      </w:tr>
      <w:tr w14:paraId="76368D3B">
        <w:tblPrEx>
          <w:tblCellMar>
            <w:top w:w="0" w:type="dxa"/>
            <w:left w:w="108" w:type="dxa"/>
            <w:bottom w:w="0" w:type="dxa"/>
            <w:right w:w="108" w:type="dxa"/>
          </w:tblCellMar>
        </w:tblPrEx>
        <w:trPr>
          <w:trHeight w:val="409" w:hRule="atLeast"/>
        </w:trPr>
        <w:tc>
          <w:tcPr>
            <w:tcW w:w="960" w:type="dxa"/>
            <w:tcBorders>
              <w:top w:val="nil"/>
              <w:left w:val="single" w:color="auto" w:sz="4" w:space="0"/>
              <w:bottom w:val="single" w:color="auto" w:sz="4" w:space="0"/>
              <w:right w:val="single" w:color="auto" w:sz="4" w:space="0"/>
            </w:tcBorders>
            <w:shd w:val="clear" w:color="auto" w:fill="auto"/>
            <w:vAlign w:val="center"/>
          </w:tcPr>
          <w:p w14:paraId="31579B90">
            <w:pPr>
              <w:spacing w:line="320" w:lineRule="atLeast"/>
              <w:jc w:val="center"/>
              <w:rPr>
                <w:color w:val="000000"/>
                <w:szCs w:val="21"/>
              </w:rPr>
            </w:pPr>
            <w:r>
              <w:rPr>
                <w:rFonts w:hint="eastAsia"/>
                <w:color w:val="000000"/>
                <w:szCs w:val="21"/>
              </w:rPr>
              <w:t>3</w:t>
            </w:r>
          </w:p>
        </w:tc>
        <w:tc>
          <w:tcPr>
            <w:tcW w:w="3450" w:type="dxa"/>
            <w:tcBorders>
              <w:top w:val="nil"/>
              <w:left w:val="nil"/>
              <w:bottom w:val="single" w:color="auto" w:sz="4" w:space="0"/>
              <w:right w:val="single" w:color="auto" w:sz="4" w:space="0"/>
            </w:tcBorders>
            <w:shd w:val="clear" w:color="auto" w:fill="auto"/>
            <w:vAlign w:val="center"/>
          </w:tcPr>
          <w:p w14:paraId="4D757B2B">
            <w:pPr>
              <w:spacing w:line="320" w:lineRule="atLeast"/>
              <w:jc w:val="center"/>
              <w:rPr>
                <w:color w:val="000000"/>
                <w:szCs w:val="21"/>
              </w:rPr>
            </w:pPr>
            <w:r>
              <w:rPr>
                <w:rFonts w:hint="eastAsia"/>
                <w:color w:val="000000"/>
                <w:szCs w:val="21"/>
              </w:rPr>
              <w:t>国药控制重庆泰民医药有限公司</w:t>
            </w:r>
          </w:p>
        </w:tc>
        <w:tc>
          <w:tcPr>
            <w:tcW w:w="1984" w:type="dxa"/>
            <w:tcBorders>
              <w:top w:val="nil"/>
              <w:left w:val="nil"/>
              <w:bottom w:val="single" w:color="auto" w:sz="4" w:space="0"/>
              <w:right w:val="single" w:color="auto" w:sz="4" w:space="0"/>
            </w:tcBorders>
            <w:shd w:val="clear" w:color="auto" w:fill="auto"/>
            <w:vAlign w:val="center"/>
          </w:tcPr>
          <w:p w14:paraId="64E58D83">
            <w:pPr>
              <w:spacing w:line="320" w:lineRule="atLeast"/>
              <w:jc w:val="center"/>
              <w:rPr>
                <w:color w:val="000000"/>
                <w:szCs w:val="21"/>
              </w:rPr>
            </w:pPr>
            <w:r>
              <w:rPr>
                <w:rFonts w:hint="eastAsia"/>
                <w:color w:val="000000"/>
                <w:szCs w:val="21"/>
              </w:rPr>
              <w:t>53043</w:t>
            </w:r>
          </w:p>
        </w:tc>
        <w:tc>
          <w:tcPr>
            <w:tcW w:w="1701" w:type="dxa"/>
            <w:tcBorders>
              <w:top w:val="nil"/>
              <w:left w:val="nil"/>
              <w:bottom w:val="single" w:color="auto" w:sz="4" w:space="0"/>
              <w:right w:val="single" w:color="auto" w:sz="4" w:space="0"/>
            </w:tcBorders>
            <w:shd w:val="clear" w:color="auto" w:fill="auto"/>
            <w:vAlign w:val="center"/>
          </w:tcPr>
          <w:p w14:paraId="2966D572">
            <w:pPr>
              <w:spacing w:line="320" w:lineRule="atLeast"/>
              <w:jc w:val="right"/>
              <w:rPr>
                <w:color w:val="000000"/>
                <w:szCs w:val="21"/>
              </w:rPr>
            </w:pPr>
            <w:r>
              <w:rPr>
                <w:rFonts w:hint="eastAsia"/>
                <w:color w:val="000000"/>
                <w:szCs w:val="21"/>
              </w:rPr>
              <w:t xml:space="preserve">613.60 </w:t>
            </w:r>
          </w:p>
        </w:tc>
      </w:tr>
      <w:tr w14:paraId="617F17EC">
        <w:tblPrEx>
          <w:tblCellMar>
            <w:top w:w="0" w:type="dxa"/>
            <w:left w:w="108" w:type="dxa"/>
            <w:bottom w:w="0" w:type="dxa"/>
            <w:right w:w="108" w:type="dxa"/>
          </w:tblCellMar>
        </w:tblPrEx>
        <w:trPr>
          <w:trHeight w:val="414" w:hRule="atLeast"/>
        </w:trPr>
        <w:tc>
          <w:tcPr>
            <w:tcW w:w="960" w:type="dxa"/>
            <w:tcBorders>
              <w:top w:val="nil"/>
              <w:left w:val="single" w:color="auto" w:sz="4" w:space="0"/>
              <w:bottom w:val="single" w:color="auto" w:sz="4" w:space="0"/>
              <w:right w:val="single" w:color="auto" w:sz="4" w:space="0"/>
            </w:tcBorders>
            <w:shd w:val="clear" w:color="auto" w:fill="auto"/>
            <w:vAlign w:val="center"/>
          </w:tcPr>
          <w:p w14:paraId="3D3E6354">
            <w:pPr>
              <w:spacing w:line="320" w:lineRule="atLeast"/>
              <w:jc w:val="center"/>
              <w:rPr>
                <w:color w:val="000000"/>
                <w:szCs w:val="21"/>
              </w:rPr>
            </w:pPr>
            <w:r>
              <w:rPr>
                <w:rFonts w:hint="eastAsia"/>
                <w:color w:val="000000"/>
                <w:szCs w:val="21"/>
              </w:rPr>
              <w:t>　</w:t>
            </w:r>
          </w:p>
        </w:tc>
        <w:tc>
          <w:tcPr>
            <w:tcW w:w="3450" w:type="dxa"/>
            <w:tcBorders>
              <w:top w:val="nil"/>
              <w:left w:val="nil"/>
              <w:bottom w:val="single" w:color="auto" w:sz="4" w:space="0"/>
              <w:right w:val="single" w:color="auto" w:sz="4" w:space="0"/>
            </w:tcBorders>
            <w:shd w:val="clear" w:color="auto" w:fill="auto"/>
            <w:vAlign w:val="center"/>
          </w:tcPr>
          <w:p w14:paraId="3FB9224E">
            <w:pPr>
              <w:spacing w:line="320" w:lineRule="atLeast"/>
              <w:jc w:val="center"/>
              <w:rPr>
                <w:color w:val="000000"/>
                <w:szCs w:val="21"/>
              </w:rPr>
            </w:pPr>
            <w:r>
              <w:rPr>
                <w:rFonts w:hint="eastAsia"/>
                <w:color w:val="000000"/>
                <w:szCs w:val="21"/>
              </w:rPr>
              <w:t>合计</w:t>
            </w:r>
          </w:p>
        </w:tc>
        <w:tc>
          <w:tcPr>
            <w:tcW w:w="1984" w:type="dxa"/>
            <w:tcBorders>
              <w:top w:val="nil"/>
              <w:left w:val="nil"/>
              <w:bottom w:val="single" w:color="auto" w:sz="4" w:space="0"/>
              <w:right w:val="single" w:color="auto" w:sz="4" w:space="0"/>
            </w:tcBorders>
            <w:shd w:val="clear" w:color="auto" w:fill="auto"/>
            <w:vAlign w:val="center"/>
          </w:tcPr>
          <w:p w14:paraId="3DF93F8B">
            <w:pPr>
              <w:spacing w:line="320" w:lineRule="atLeast"/>
              <w:jc w:val="center"/>
              <w:rPr>
                <w:color w:val="000000"/>
                <w:szCs w:val="21"/>
              </w:rPr>
            </w:pPr>
            <w:r>
              <w:rPr>
                <w:rFonts w:hint="eastAsia"/>
                <w:color w:val="000000"/>
                <w:szCs w:val="21"/>
              </w:rPr>
              <w:t>582249</w:t>
            </w:r>
          </w:p>
        </w:tc>
        <w:tc>
          <w:tcPr>
            <w:tcW w:w="1701" w:type="dxa"/>
            <w:tcBorders>
              <w:top w:val="nil"/>
              <w:left w:val="nil"/>
              <w:bottom w:val="single" w:color="auto" w:sz="4" w:space="0"/>
              <w:right w:val="single" w:color="auto" w:sz="4" w:space="0"/>
            </w:tcBorders>
            <w:shd w:val="clear" w:color="auto" w:fill="auto"/>
            <w:vAlign w:val="center"/>
          </w:tcPr>
          <w:p w14:paraId="5549F4AF">
            <w:pPr>
              <w:spacing w:line="320" w:lineRule="atLeast"/>
              <w:jc w:val="right"/>
              <w:rPr>
                <w:color w:val="000000"/>
                <w:szCs w:val="21"/>
              </w:rPr>
            </w:pPr>
            <w:r>
              <w:rPr>
                <w:rFonts w:hint="eastAsia"/>
                <w:color w:val="000000"/>
                <w:szCs w:val="21"/>
              </w:rPr>
              <w:t xml:space="preserve">865.60 </w:t>
            </w:r>
          </w:p>
        </w:tc>
      </w:tr>
    </w:tbl>
    <w:p w14:paraId="16747BBD">
      <w:pPr>
        <w:pStyle w:val="13"/>
        <w:tabs>
          <w:tab w:val="center" w:pos="4153"/>
          <w:tab w:val="left" w:pos="7275"/>
        </w:tabs>
        <w:spacing w:line="600" w:lineRule="exact"/>
        <w:ind w:firstLine="0" w:firstLineChars="0"/>
        <w:rPr>
          <w:rFonts w:ascii="方正仿宋_GBK" w:hAnsi="宋体" w:eastAsia="方正仿宋_GBK" w:cs="宋体"/>
          <w:b/>
          <w:kern w:val="0"/>
          <w:sz w:val="32"/>
          <w:szCs w:val="32"/>
        </w:rPr>
      </w:pPr>
    </w:p>
    <w:p w14:paraId="5054DBE7">
      <w:pPr>
        <w:pStyle w:val="13"/>
        <w:tabs>
          <w:tab w:val="center" w:pos="4153"/>
          <w:tab w:val="left" w:pos="7275"/>
        </w:tabs>
        <w:spacing w:line="600" w:lineRule="exact"/>
        <w:ind w:firstLine="640"/>
        <w:rPr>
          <w:rFonts w:ascii="方正仿宋_GBK" w:hAnsi="宋体" w:eastAsia="方正仿宋_GBK" w:cs="宋体"/>
          <w:b/>
          <w:kern w:val="0"/>
          <w:sz w:val="32"/>
          <w:szCs w:val="32"/>
        </w:rPr>
      </w:pPr>
      <w:r>
        <w:rPr>
          <w:rFonts w:hint="eastAsia" w:ascii="方正仿宋_GBK" w:hAnsi="宋体" w:eastAsia="方正仿宋_GBK" w:cs="宋体"/>
          <w:sz w:val="32"/>
          <w:szCs w:val="32"/>
        </w:rPr>
        <w:t>3、项目预算执行率</w:t>
      </w:r>
    </w:p>
    <w:p w14:paraId="0138A16B">
      <w:pPr>
        <w:ind w:firstLine="640" w:firstLineChars="200"/>
        <w:rPr>
          <w:rFonts w:ascii="方正仿宋_GBK" w:eastAsia="方正仿宋_GBK"/>
          <w:sz w:val="32"/>
          <w:szCs w:val="32"/>
        </w:rPr>
      </w:pPr>
      <w:r>
        <w:rPr>
          <w:rFonts w:hint="eastAsia" w:ascii="方正仿宋_GBK" w:eastAsia="方正仿宋_GBK"/>
          <w:sz w:val="32"/>
          <w:szCs w:val="32"/>
        </w:rPr>
        <w:t>2020年项目资金预算共865.60万元，实际到位资金865.60万元，实际支出资金865.60万元，预算执行率100%。</w:t>
      </w:r>
      <w:bookmarkStart w:id="0" w:name="_Toc75123281"/>
    </w:p>
    <w:p w14:paraId="55793505">
      <w:pPr>
        <w:ind w:firstLine="560" w:firstLineChars="200"/>
        <w:rPr>
          <w:sz w:val="28"/>
          <w:szCs w:val="28"/>
        </w:rPr>
      </w:pPr>
      <w:r>
        <w:rPr>
          <w:rFonts w:hint="eastAsia"/>
          <w:sz w:val="28"/>
          <w:szCs w:val="28"/>
        </w:rPr>
        <w:t>（四）项目绩效目标。</w:t>
      </w:r>
      <w:bookmarkEnd w:id="0"/>
    </w:p>
    <w:p w14:paraId="0BB9CF44">
      <w:pPr>
        <w:ind w:firstLine="640" w:firstLineChars="200"/>
        <w:rPr>
          <w:rFonts w:ascii="方正仿宋_GBK" w:eastAsia="方正仿宋_GBK"/>
          <w:sz w:val="32"/>
          <w:szCs w:val="32"/>
        </w:rPr>
      </w:pPr>
      <w:r>
        <w:rPr>
          <w:rFonts w:hint="eastAsia" w:ascii="方正仿宋_GBK" w:eastAsia="方正仿宋_GBK"/>
          <w:sz w:val="32"/>
          <w:szCs w:val="32"/>
        </w:rPr>
        <w:t>1.项目绩效总目标</w:t>
      </w:r>
    </w:p>
    <w:p w14:paraId="3F432AB8">
      <w:pPr>
        <w:spacing w:line="520" w:lineRule="exact"/>
        <w:ind w:firstLine="640" w:firstLineChars="200"/>
        <w:rPr>
          <w:rFonts w:ascii="方正仿宋_GBK" w:eastAsia="方正仿宋_GBK"/>
          <w:sz w:val="32"/>
          <w:szCs w:val="32"/>
        </w:rPr>
      </w:pPr>
      <w:r>
        <w:rPr>
          <w:rFonts w:hint="eastAsia" w:ascii="方正仿宋_GBK" w:eastAsia="方正仿宋_GBK"/>
          <w:sz w:val="32"/>
          <w:szCs w:val="32"/>
        </w:rPr>
        <w:t>项目绩效总目标：建立我区卫生应急物资储备长效机制，进一步提高我区卫生应急准备水平，为卫生健康系统处置突发公共卫生事件提供充分的物资保障，确保突发公共卫生事件及时有效处置，保护人民群众身体健康和生命安全，促进全区经济社会持续健康发展。</w:t>
      </w:r>
    </w:p>
    <w:p w14:paraId="03DA3990">
      <w:pPr>
        <w:spacing w:line="520" w:lineRule="exact"/>
        <w:ind w:firstLine="640" w:firstLineChars="200"/>
        <w:rPr>
          <w:rFonts w:ascii="方正仿宋_GBK" w:eastAsia="方正仿宋_GBK"/>
          <w:sz w:val="32"/>
          <w:szCs w:val="32"/>
        </w:rPr>
      </w:pPr>
      <w:r>
        <w:rPr>
          <w:rFonts w:hint="eastAsia" w:ascii="方正仿宋_GBK" w:eastAsia="方正仿宋_GBK"/>
          <w:sz w:val="32"/>
          <w:szCs w:val="32"/>
        </w:rPr>
        <w:t>2.项目绩效阶段性目标。</w:t>
      </w:r>
    </w:p>
    <w:p w14:paraId="03FA092E">
      <w:pPr>
        <w:pStyle w:val="13"/>
        <w:tabs>
          <w:tab w:val="center" w:pos="4153"/>
          <w:tab w:val="left" w:pos="7275"/>
        </w:tabs>
        <w:spacing w:line="600" w:lineRule="exact"/>
        <w:ind w:firstLine="640"/>
        <w:rPr>
          <w:rFonts w:ascii="方正仿宋_GBK" w:hAnsi="宋体" w:eastAsia="方正仿宋_GBK" w:cs="宋体"/>
          <w:sz w:val="32"/>
          <w:szCs w:val="32"/>
        </w:rPr>
      </w:pPr>
      <w:r>
        <w:rPr>
          <w:rFonts w:hint="eastAsia" w:ascii="方正仿宋_GBK" w:hAnsi="宋体" w:eastAsia="方正仿宋_GBK" w:cs="宋体"/>
          <w:sz w:val="32"/>
          <w:szCs w:val="32"/>
        </w:rPr>
        <w:t>项目绩效阶段性目标为2020年完成筹集储备以下疫情防控应急物资。详见下表:</w:t>
      </w:r>
    </w:p>
    <w:tbl>
      <w:tblPr>
        <w:tblStyle w:val="7"/>
        <w:tblW w:w="8931" w:type="dxa"/>
        <w:tblInd w:w="-34" w:type="dxa"/>
        <w:tblLayout w:type="fixed"/>
        <w:tblCellMar>
          <w:top w:w="0" w:type="dxa"/>
          <w:left w:w="108" w:type="dxa"/>
          <w:bottom w:w="0" w:type="dxa"/>
          <w:right w:w="108" w:type="dxa"/>
        </w:tblCellMar>
      </w:tblPr>
      <w:tblGrid>
        <w:gridCol w:w="569"/>
        <w:gridCol w:w="991"/>
        <w:gridCol w:w="992"/>
        <w:gridCol w:w="992"/>
        <w:gridCol w:w="993"/>
        <w:gridCol w:w="4394"/>
      </w:tblGrid>
      <w:tr w14:paraId="4641D43D">
        <w:tblPrEx>
          <w:tblCellMar>
            <w:top w:w="0" w:type="dxa"/>
            <w:left w:w="108" w:type="dxa"/>
            <w:bottom w:w="0" w:type="dxa"/>
            <w:right w:w="108" w:type="dxa"/>
          </w:tblCellMar>
        </w:tblPrEx>
        <w:trPr>
          <w:trHeight w:val="866" w:hRule="atLeast"/>
        </w:trPr>
        <w:tc>
          <w:tcPr>
            <w:tcW w:w="569" w:type="dxa"/>
            <w:tcBorders>
              <w:top w:val="single" w:color="auto" w:sz="4" w:space="0"/>
              <w:left w:val="single" w:color="auto" w:sz="4" w:space="0"/>
              <w:bottom w:val="single" w:color="auto" w:sz="4" w:space="0"/>
              <w:right w:val="single" w:color="auto" w:sz="4" w:space="0"/>
            </w:tcBorders>
            <w:shd w:val="clear" w:color="auto" w:fill="auto"/>
            <w:vAlign w:val="center"/>
          </w:tcPr>
          <w:p w14:paraId="05CB2C10">
            <w:pPr>
              <w:spacing w:line="320" w:lineRule="atLeast"/>
              <w:jc w:val="center"/>
              <w:rPr>
                <w:szCs w:val="21"/>
              </w:rPr>
            </w:pPr>
            <w:r>
              <w:rPr>
                <w:rFonts w:hint="eastAsia"/>
                <w:szCs w:val="21"/>
              </w:rPr>
              <w:t>序号</w:t>
            </w:r>
          </w:p>
        </w:tc>
        <w:tc>
          <w:tcPr>
            <w:tcW w:w="991" w:type="dxa"/>
            <w:tcBorders>
              <w:top w:val="single" w:color="auto" w:sz="4" w:space="0"/>
              <w:left w:val="nil"/>
              <w:bottom w:val="single" w:color="auto" w:sz="4" w:space="0"/>
              <w:right w:val="single" w:color="auto" w:sz="4" w:space="0"/>
            </w:tcBorders>
            <w:shd w:val="clear" w:color="auto" w:fill="auto"/>
            <w:vAlign w:val="center"/>
          </w:tcPr>
          <w:p w14:paraId="4AFDA2FB">
            <w:pPr>
              <w:spacing w:line="320" w:lineRule="atLeast"/>
              <w:jc w:val="center"/>
              <w:rPr>
                <w:szCs w:val="21"/>
              </w:rPr>
            </w:pPr>
            <w:r>
              <w:rPr>
                <w:rFonts w:hint="eastAsia"/>
                <w:szCs w:val="21"/>
              </w:rPr>
              <w:t>项目实施单位</w:t>
            </w:r>
          </w:p>
        </w:tc>
        <w:tc>
          <w:tcPr>
            <w:tcW w:w="992" w:type="dxa"/>
            <w:tcBorders>
              <w:top w:val="single" w:color="auto" w:sz="4" w:space="0"/>
              <w:left w:val="nil"/>
              <w:bottom w:val="single" w:color="auto" w:sz="4" w:space="0"/>
              <w:right w:val="single" w:color="auto" w:sz="4" w:space="0"/>
            </w:tcBorders>
            <w:shd w:val="clear" w:color="auto" w:fill="auto"/>
            <w:vAlign w:val="center"/>
          </w:tcPr>
          <w:p w14:paraId="65E56D5E">
            <w:pPr>
              <w:spacing w:line="320" w:lineRule="atLeast"/>
              <w:jc w:val="center"/>
              <w:rPr>
                <w:szCs w:val="21"/>
              </w:rPr>
            </w:pPr>
            <w:r>
              <w:rPr>
                <w:rFonts w:hint="eastAsia"/>
                <w:szCs w:val="21"/>
              </w:rPr>
              <w:t>计划储备物资类别</w:t>
            </w:r>
          </w:p>
        </w:tc>
        <w:tc>
          <w:tcPr>
            <w:tcW w:w="992" w:type="dxa"/>
            <w:tcBorders>
              <w:top w:val="single" w:color="auto" w:sz="4" w:space="0"/>
              <w:left w:val="nil"/>
              <w:bottom w:val="single" w:color="auto" w:sz="4" w:space="0"/>
              <w:right w:val="single" w:color="auto" w:sz="4" w:space="0"/>
            </w:tcBorders>
            <w:shd w:val="clear" w:color="auto" w:fill="auto"/>
            <w:vAlign w:val="center"/>
          </w:tcPr>
          <w:p w14:paraId="12B392C0">
            <w:pPr>
              <w:spacing w:line="320" w:lineRule="atLeast"/>
              <w:jc w:val="center"/>
              <w:rPr>
                <w:szCs w:val="21"/>
              </w:rPr>
            </w:pPr>
            <w:r>
              <w:rPr>
                <w:rFonts w:hint="eastAsia"/>
                <w:szCs w:val="21"/>
              </w:rPr>
              <w:t>计划总数量(个/瓶/套）</w:t>
            </w:r>
          </w:p>
        </w:tc>
        <w:tc>
          <w:tcPr>
            <w:tcW w:w="993" w:type="dxa"/>
            <w:tcBorders>
              <w:top w:val="single" w:color="auto" w:sz="4" w:space="0"/>
              <w:left w:val="nil"/>
              <w:bottom w:val="single" w:color="auto" w:sz="4" w:space="0"/>
              <w:right w:val="single" w:color="auto" w:sz="4" w:space="0"/>
            </w:tcBorders>
            <w:shd w:val="clear" w:color="auto" w:fill="auto"/>
            <w:vAlign w:val="center"/>
          </w:tcPr>
          <w:p w14:paraId="66FBF798">
            <w:pPr>
              <w:spacing w:line="320" w:lineRule="atLeast"/>
              <w:jc w:val="center"/>
              <w:rPr>
                <w:szCs w:val="21"/>
              </w:rPr>
            </w:pPr>
            <w:r>
              <w:rPr>
                <w:rFonts w:hint="eastAsia"/>
                <w:szCs w:val="21"/>
              </w:rPr>
              <w:t>金额 （万元）</w:t>
            </w:r>
          </w:p>
        </w:tc>
        <w:tc>
          <w:tcPr>
            <w:tcW w:w="4394" w:type="dxa"/>
            <w:tcBorders>
              <w:top w:val="single" w:color="auto" w:sz="4" w:space="0"/>
              <w:left w:val="nil"/>
              <w:bottom w:val="single" w:color="auto" w:sz="4" w:space="0"/>
              <w:right w:val="single" w:color="auto" w:sz="4" w:space="0"/>
            </w:tcBorders>
            <w:shd w:val="clear" w:color="auto" w:fill="auto"/>
            <w:vAlign w:val="center"/>
          </w:tcPr>
          <w:p w14:paraId="22B67DE2">
            <w:pPr>
              <w:spacing w:line="320" w:lineRule="atLeast"/>
              <w:jc w:val="center"/>
              <w:rPr>
                <w:szCs w:val="21"/>
              </w:rPr>
            </w:pPr>
            <w:r>
              <w:rPr>
                <w:rFonts w:hint="eastAsia"/>
                <w:szCs w:val="21"/>
              </w:rPr>
              <w:t>计划储备物资具体数量</w:t>
            </w:r>
          </w:p>
        </w:tc>
      </w:tr>
      <w:tr w14:paraId="1A9FB03C">
        <w:tblPrEx>
          <w:tblCellMar>
            <w:top w:w="0" w:type="dxa"/>
            <w:left w:w="108" w:type="dxa"/>
            <w:bottom w:w="0" w:type="dxa"/>
            <w:right w:w="108" w:type="dxa"/>
          </w:tblCellMar>
        </w:tblPrEx>
        <w:trPr>
          <w:trHeight w:val="2117" w:hRule="atLeast"/>
        </w:trPr>
        <w:tc>
          <w:tcPr>
            <w:tcW w:w="56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0D80E6">
            <w:pPr>
              <w:spacing w:line="320" w:lineRule="atLeast"/>
              <w:jc w:val="center"/>
              <w:rPr>
                <w:szCs w:val="21"/>
              </w:rPr>
            </w:pPr>
            <w:r>
              <w:rPr>
                <w:rFonts w:hint="eastAsia"/>
                <w:szCs w:val="21"/>
              </w:rPr>
              <w:t>1</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DCF9C5">
            <w:pPr>
              <w:spacing w:line="320" w:lineRule="atLeast"/>
              <w:jc w:val="center"/>
              <w:rPr>
                <w:szCs w:val="21"/>
              </w:rPr>
            </w:pPr>
            <w:r>
              <w:rPr>
                <w:rFonts w:hint="eastAsia"/>
                <w:szCs w:val="21"/>
              </w:rPr>
              <w:t>南岸区基层医疗卫生服务管理中心</w:t>
            </w:r>
          </w:p>
        </w:tc>
        <w:tc>
          <w:tcPr>
            <w:tcW w:w="992" w:type="dxa"/>
            <w:tcBorders>
              <w:top w:val="single" w:color="auto" w:sz="4" w:space="0"/>
              <w:left w:val="nil"/>
              <w:bottom w:val="single" w:color="auto" w:sz="4" w:space="0"/>
              <w:right w:val="single" w:color="auto" w:sz="4" w:space="0"/>
            </w:tcBorders>
            <w:shd w:val="clear" w:color="auto" w:fill="auto"/>
            <w:vAlign w:val="center"/>
          </w:tcPr>
          <w:p w14:paraId="36760921">
            <w:pPr>
              <w:spacing w:line="320" w:lineRule="atLeast"/>
              <w:jc w:val="center"/>
              <w:rPr>
                <w:szCs w:val="21"/>
              </w:rPr>
            </w:pPr>
            <w:r>
              <w:rPr>
                <w:rFonts w:hint="eastAsia"/>
                <w:szCs w:val="21"/>
              </w:rPr>
              <w:t>防护  物资</w:t>
            </w:r>
          </w:p>
        </w:tc>
        <w:tc>
          <w:tcPr>
            <w:tcW w:w="992" w:type="dxa"/>
            <w:tcBorders>
              <w:top w:val="single" w:color="auto" w:sz="4" w:space="0"/>
              <w:left w:val="nil"/>
              <w:bottom w:val="single" w:color="auto" w:sz="4" w:space="0"/>
              <w:right w:val="single" w:color="auto" w:sz="4" w:space="0"/>
            </w:tcBorders>
            <w:shd w:val="clear" w:color="auto" w:fill="auto"/>
            <w:vAlign w:val="center"/>
          </w:tcPr>
          <w:p w14:paraId="3756288B">
            <w:pPr>
              <w:spacing w:line="320" w:lineRule="atLeast"/>
              <w:jc w:val="center"/>
              <w:rPr>
                <w:szCs w:val="21"/>
              </w:rPr>
            </w:pPr>
            <w:r>
              <w:rPr>
                <w:rFonts w:hint="eastAsia"/>
                <w:szCs w:val="21"/>
              </w:rPr>
              <w:t>509745</w:t>
            </w:r>
          </w:p>
        </w:tc>
        <w:tc>
          <w:tcPr>
            <w:tcW w:w="993" w:type="dxa"/>
            <w:tcBorders>
              <w:top w:val="single" w:color="auto" w:sz="4" w:space="0"/>
              <w:left w:val="nil"/>
              <w:bottom w:val="single" w:color="auto" w:sz="4" w:space="0"/>
              <w:right w:val="single" w:color="auto" w:sz="4" w:space="0"/>
            </w:tcBorders>
            <w:shd w:val="clear" w:color="auto" w:fill="auto"/>
            <w:vAlign w:val="center"/>
          </w:tcPr>
          <w:p w14:paraId="36E5B7F0">
            <w:pPr>
              <w:spacing w:line="320" w:lineRule="atLeast"/>
              <w:rPr>
                <w:color w:val="000000"/>
                <w:szCs w:val="21"/>
              </w:rPr>
            </w:pPr>
            <w:r>
              <w:rPr>
                <w:rFonts w:hint="eastAsia"/>
                <w:color w:val="000000"/>
                <w:szCs w:val="21"/>
              </w:rPr>
              <w:t>165.52</w:t>
            </w:r>
          </w:p>
        </w:tc>
        <w:tc>
          <w:tcPr>
            <w:tcW w:w="4394" w:type="dxa"/>
            <w:tcBorders>
              <w:top w:val="single" w:color="auto" w:sz="4" w:space="0"/>
              <w:left w:val="nil"/>
              <w:bottom w:val="single" w:color="auto" w:sz="4" w:space="0"/>
              <w:right w:val="single" w:color="auto" w:sz="4" w:space="0"/>
            </w:tcBorders>
            <w:shd w:val="clear" w:color="auto" w:fill="auto"/>
            <w:vAlign w:val="center"/>
          </w:tcPr>
          <w:p w14:paraId="511771E3">
            <w:pPr>
              <w:spacing w:line="320" w:lineRule="atLeast"/>
              <w:jc w:val="center"/>
              <w:rPr>
                <w:szCs w:val="21"/>
              </w:rPr>
            </w:pPr>
            <w:r>
              <w:rPr>
                <w:rFonts w:hint="eastAsia"/>
                <w:szCs w:val="21"/>
              </w:rPr>
              <w:t>医用防护口罩18000个，医用外科口罩300000个，一次性防护面罩3000个，防雾护目镜800个，医用防护服5000件，医用隔离衣40000件，一次性使用灭菌橡胶外科手套30935双，医用检查手套20000双，医用工作帽60000个，长筒靴套7000双，一次性保护鞋套25000双，正压头盔10个。</w:t>
            </w:r>
          </w:p>
        </w:tc>
      </w:tr>
      <w:tr w14:paraId="1B287F77">
        <w:tblPrEx>
          <w:tblCellMar>
            <w:top w:w="0" w:type="dxa"/>
            <w:left w:w="108" w:type="dxa"/>
            <w:bottom w:w="0" w:type="dxa"/>
            <w:right w:w="108" w:type="dxa"/>
          </w:tblCellMar>
        </w:tblPrEx>
        <w:trPr>
          <w:trHeight w:val="824" w:hRule="atLeast"/>
        </w:trPr>
        <w:tc>
          <w:tcPr>
            <w:tcW w:w="569" w:type="dxa"/>
            <w:vMerge w:val="continue"/>
            <w:tcBorders>
              <w:top w:val="single" w:color="auto" w:sz="4" w:space="0"/>
              <w:left w:val="single" w:color="auto" w:sz="4" w:space="0"/>
              <w:bottom w:val="single" w:color="auto" w:sz="4" w:space="0"/>
              <w:right w:val="single" w:color="auto" w:sz="4" w:space="0"/>
            </w:tcBorders>
            <w:vAlign w:val="center"/>
          </w:tcPr>
          <w:p w14:paraId="21D1385C">
            <w:pPr>
              <w:spacing w:line="320" w:lineRule="atLeast"/>
              <w:jc w:val="center"/>
              <w:rPr>
                <w:szCs w:val="21"/>
              </w:rPr>
            </w:pPr>
          </w:p>
        </w:tc>
        <w:tc>
          <w:tcPr>
            <w:tcW w:w="991" w:type="dxa"/>
            <w:vMerge w:val="continue"/>
            <w:tcBorders>
              <w:top w:val="single" w:color="auto" w:sz="4" w:space="0"/>
              <w:left w:val="single" w:color="auto" w:sz="4" w:space="0"/>
              <w:bottom w:val="single" w:color="auto" w:sz="4" w:space="0"/>
              <w:right w:val="single" w:color="auto" w:sz="4" w:space="0"/>
            </w:tcBorders>
            <w:vAlign w:val="center"/>
          </w:tcPr>
          <w:p w14:paraId="7D8E6365">
            <w:pPr>
              <w:spacing w:line="320" w:lineRule="atLeast"/>
              <w:jc w:val="center"/>
              <w:rPr>
                <w:szCs w:val="21"/>
              </w:rPr>
            </w:pPr>
          </w:p>
        </w:tc>
        <w:tc>
          <w:tcPr>
            <w:tcW w:w="992" w:type="dxa"/>
            <w:tcBorders>
              <w:top w:val="single" w:color="auto" w:sz="4" w:space="0"/>
              <w:left w:val="nil"/>
              <w:bottom w:val="single" w:color="auto" w:sz="4" w:space="0"/>
              <w:right w:val="single" w:color="auto" w:sz="4" w:space="0"/>
            </w:tcBorders>
            <w:shd w:val="clear" w:color="auto" w:fill="auto"/>
            <w:vAlign w:val="center"/>
          </w:tcPr>
          <w:p w14:paraId="15524645">
            <w:pPr>
              <w:spacing w:line="320" w:lineRule="atLeast"/>
              <w:jc w:val="center"/>
              <w:rPr>
                <w:szCs w:val="21"/>
              </w:rPr>
            </w:pPr>
            <w:r>
              <w:rPr>
                <w:rFonts w:hint="eastAsia"/>
                <w:szCs w:val="21"/>
              </w:rPr>
              <w:t>消杀  用品</w:t>
            </w:r>
          </w:p>
        </w:tc>
        <w:tc>
          <w:tcPr>
            <w:tcW w:w="992" w:type="dxa"/>
            <w:tcBorders>
              <w:top w:val="single" w:color="auto" w:sz="4" w:space="0"/>
              <w:left w:val="nil"/>
              <w:bottom w:val="single" w:color="auto" w:sz="4" w:space="0"/>
              <w:right w:val="single" w:color="auto" w:sz="4" w:space="0"/>
            </w:tcBorders>
            <w:shd w:val="clear" w:color="auto" w:fill="auto"/>
            <w:vAlign w:val="center"/>
          </w:tcPr>
          <w:p w14:paraId="670C2963">
            <w:pPr>
              <w:spacing w:line="320" w:lineRule="atLeast"/>
              <w:jc w:val="center"/>
              <w:rPr>
                <w:szCs w:val="21"/>
              </w:rPr>
            </w:pPr>
            <w:r>
              <w:rPr>
                <w:rFonts w:hint="eastAsia"/>
                <w:szCs w:val="21"/>
              </w:rPr>
              <w:t>8800</w:t>
            </w:r>
          </w:p>
        </w:tc>
        <w:tc>
          <w:tcPr>
            <w:tcW w:w="993" w:type="dxa"/>
            <w:tcBorders>
              <w:top w:val="single" w:color="auto" w:sz="4" w:space="0"/>
              <w:left w:val="nil"/>
              <w:bottom w:val="single" w:color="auto" w:sz="4" w:space="0"/>
              <w:right w:val="single" w:color="auto" w:sz="4" w:space="0"/>
            </w:tcBorders>
            <w:shd w:val="clear" w:color="auto" w:fill="auto"/>
            <w:vAlign w:val="center"/>
          </w:tcPr>
          <w:p w14:paraId="62D2D174">
            <w:pPr>
              <w:spacing w:line="320" w:lineRule="atLeast"/>
              <w:jc w:val="center"/>
              <w:rPr>
                <w:color w:val="000000"/>
                <w:szCs w:val="21"/>
              </w:rPr>
            </w:pPr>
            <w:r>
              <w:rPr>
                <w:rFonts w:hint="eastAsia"/>
                <w:color w:val="000000"/>
                <w:szCs w:val="21"/>
              </w:rPr>
              <w:t>9.73</w:t>
            </w:r>
          </w:p>
        </w:tc>
        <w:tc>
          <w:tcPr>
            <w:tcW w:w="4394" w:type="dxa"/>
            <w:tcBorders>
              <w:top w:val="single" w:color="auto" w:sz="4" w:space="0"/>
              <w:left w:val="nil"/>
              <w:bottom w:val="single" w:color="auto" w:sz="4" w:space="0"/>
              <w:right w:val="single" w:color="auto" w:sz="4" w:space="0"/>
            </w:tcBorders>
            <w:shd w:val="clear" w:color="auto" w:fill="auto"/>
            <w:vAlign w:val="center"/>
          </w:tcPr>
          <w:p w14:paraId="2AD97828">
            <w:pPr>
              <w:spacing w:line="320" w:lineRule="atLeast"/>
              <w:jc w:val="center"/>
              <w:rPr>
                <w:szCs w:val="21"/>
              </w:rPr>
            </w:pPr>
            <w:r>
              <w:rPr>
                <w:rFonts w:hint="eastAsia"/>
                <w:szCs w:val="21"/>
              </w:rPr>
              <w:t>速干手消毒液4000瓶，医用酒精1000瓶，泡腾消毒片2000瓶，季铵盐消毒湿巾1500包，优氯净300盒。</w:t>
            </w:r>
          </w:p>
        </w:tc>
      </w:tr>
      <w:tr w14:paraId="3D49F850">
        <w:tblPrEx>
          <w:tblCellMar>
            <w:top w:w="0" w:type="dxa"/>
            <w:left w:w="108" w:type="dxa"/>
            <w:bottom w:w="0" w:type="dxa"/>
            <w:right w:w="108" w:type="dxa"/>
          </w:tblCellMar>
        </w:tblPrEx>
        <w:trPr>
          <w:trHeight w:val="1135" w:hRule="atLeast"/>
        </w:trPr>
        <w:tc>
          <w:tcPr>
            <w:tcW w:w="569" w:type="dxa"/>
            <w:vMerge w:val="continue"/>
            <w:tcBorders>
              <w:top w:val="single" w:color="auto" w:sz="4" w:space="0"/>
              <w:left w:val="single" w:color="auto" w:sz="4" w:space="0"/>
              <w:bottom w:val="single" w:color="auto" w:sz="4" w:space="0"/>
              <w:right w:val="single" w:color="auto" w:sz="4" w:space="0"/>
            </w:tcBorders>
            <w:vAlign w:val="center"/>
          </w:tcPr>
          <w:p w14:paraId="0A446EA1">
            <w:pPr>
              <w:spacing w:line="320" w:lineRule="atLeast"/>
              <w:jc w:val="center"/>
              <w:rPr>
                <w:szCs w:val="21"/>
              </w:rPr>
            </w:pPr>
          </w:p>
        </w:tc>
        <w:tc>
          <w:tcPr>
            <w:tcW w:w="991" w:type="dxa"/>
            <w:vMerge w:val="continue"/>
            <w:tcBorders>
              <w:top w:val="single" w:color="auto" w:sz="4" w:space="0"/>
              <w:left w:val="single" w:color="auto" w:sz="4" w:space="0"/>
              <w:bottom w:val="single" w:color="auto" w:sz="4" w:space="0"/>
              <w:right w:val="single" w:color="auto" w:sz="4" w:space="0"/>
            </w:tcBorders>
            <w:vAlign w:val="center"/>
          </w:tcPr>
          <w:p w14:paraId="0B46BF77">
            <w:pPr>
              <w:spacing w:line="320" w:lineRule="atLeast"/>
              <w:jc w:val="center"/>
              <w:rPr>
                <w:szCs w:val="21"/>
              </w:rPr>
            </w:pPr>
          </w:p>
        </w:tc>
        <w:tc>
          <w:tcPr>
            <w:tcW w:w="992" w:type="dxa"/>
            <w:tcBorders>
              <w:top w:val="single" w:color="auto" w:sz="4" w:space="0"/>
              <w:left w:val="nil"/>
              <w:bottom w:val="single" w:color="auto" w:sz="4" w:space="0"/>
              <w:right w:val="single" w:color="auto" w:sz="4" w:space="0"/>
            </w:tcBorders>
            <w:shd w:val="clear" w:color="auto" w:fill="auto"/>
            <w:vAlign w:val="center"/>
          </w:tcPr>
          <w:p w14:paraId="4DAA2331">
            <w:pPr>
              <w:spacing w:line="320" w:lineRule="atLeast"/>
              <w:jc w:val="center"/>
              <w:rPr>
                <w:szCs w:val="21"/>
              </w:rPr>
            </w:pPr>
            <w:r>
              <w:rPr>
                <w:rFonts w:hint="eastAsia"/>
                <w:szCs w:val="21"/>
              </w:rPr>
              <w:t>防护  器械</w:t>
            </w:r>
          </w:p>
        </w:tc>
        <w:tc>
          <w:tcPr>
            <w:tcW w:w="992" w:type="dxa"/>
            <w:tcBorders>
              <w:top w:val="single" w:color="auto" w:sz="4" w:space="0"/>
              <w:left w:val="nil"/>
              <w:bottom w:val="single" w:color="auto" w:sz="4" w:space="0"/>
              <w:right w:val="single" w:color="auto" w:sz="4" w:space="0"/>
            </w:tcBorders>
            <w:shd w:val="clear" w:color="auto" w:fill="auto"/>
            <w:vAlign w:val="center"/>
          </w:tcPr>
          <w:p w14:paraId="7EDAE4E5">
            <w:pPr>
              <w:spacing w:line="320" w:lineRule="atLeast"/>
              <w:jc w:val="center"/>
              <w:rPr>
                <w:szCs w:val="21"/>
              </w:rPr>
            </w:pPr>
            <w:r>
              <w:rPr>
                <w:rFonts w:hint="eastAsia"/>
                <w:szCs w:val="21"/>
              </w:rPr>
              <w:t>1077</w:t>
            </w:r>
          </w:p>
        </w:tc>
        <w:tc>
          <w:tcPr>
            <w:tcW w:w="993" w:type="dxa"/>
            <w:tcBorders>
              <w:top w:val="single" w:color="auto" w:sz="4" w:space="0"/>
              <w:left w:val="nil"/>
              <w:bottom w:val="single" w:color="auto" w:sz="4" w:space="0"/>
              <w:right w:val="single" w:color="auto" w:sz="4" w:space="0"/>
            </w:tcBorders>
            <w:shd w:val="clear" w:color="auto" w:fill="auto"/>
            <w:vAlign w:val="center"/>
          </w:tcPr>
          <w:p w14:paraId="6C57A2D7">
            <w:pPr>
              <w:spacing w:line="320" w:lineRule="atLeast"/>
              <w:jc w:val="center"/>
              <w:rPr>
                <w:color w:val="000000"/>
                <w:szCs w:val="21"/>
              </w:rPr>
            </w:pPr>
            <w:r>
              <w:rPr>
                <w:rFonts w:hint="eastAsia"/>
                <w:color w:val="000000"/>
                <w:szCs w:val="21"/>
              </w:rPr>
              <w:t>19.91</w:t>
            </w:r>
          </w:p>
        </w:tc>
        <w:tc>
          <w:tcPr>
            <w:tcW w:w="4394" w:type="dxa"/>
            <w:tcBorders>
              <w:top w:val="single" w:color="auto" w:sz="4" w:space="0"/>
              <w:left w:val="nil"/>
              <w:bottom w:val="single" w:color="auto" w:sz="4" w:space="0"/>
              <w:right w:val="single" w:color="auto" w:sz="4" w:space="0"/>
            </w:tcBorders>
            <w:shd w:val="clear" w:color="auto" w:fill="auto"/>
            <w:vAlign w:val="center"/>
          </w:tcPr>
          <w:p w14:paraId="7C3C4846">
            <w:pPr>
              <w:spacing w:line="320" w:lineRule="atLeast"/>
              <w:jc w:val="center"/>
              <w:rPr>
                <w:szCs w:val="21"/>
              </w:rPr>
            </w:pPr>
            <w:r>
              <w:rPr>
                <w:rFonts w:hint="eastAsia"/>
                <w:szCs w:val="21"/>
              </w:rPr>
              <w:t>手持式红外线测温仪500个，红外热成像仪1台，正压滤盒5个，正压头套20个，正压送风系统1台，玻璃体温计500支，生物安全运输箱50个。</w:t>
            </w:r>
          </w:p>
        </w:tc>
      </w:tr>
      <w:tr w14:paraId="472C0062">
        <w:tblPrEx>
          <w:tblCellMar>
            <w:top w:w="0" w:type="dxa"/>
            <w:left w:w="108" w:type="dxa"/>
            <w:bottom w:w="0" w:type="dxa"/>
            <w:right w:w="108" w:type="dxa"/>
          </w:tblCellMar>
        </w:tblPrEx>
        <w:trPr>
          <w:trHeight w:val="686" w:hRule="atLeast"/>
        </w:trPr>
        <w:tc>
          <w:tcPr>
            <w:tcW w:w="569" w:type="dxa"/>
            <w:vMerge w:val="continue"/>
            <w:tcBorders>
              <w:top w:val="single" w:color="auto" w:sz="4" w:space="0"/>
              <w:left w:val="single" w:color="auto" w:sz="4" w:space="0"/>
              <w:bottom w:val="single" w:color="auto" w:sz="4" w:space="0"/>
              <w:right w:val="single" w:color="auto" w:sz="4" w:space="0"/>
            </w:tcBorders>
            <w:vAlign w:val="center"/>
          </w:tcPr>
          <w:p w14:paraId="7C599554">
            <w:pPr>
              <w:spacing w:line="320" w:lineRule="atLeast"/>
              <w:jc w:val="center"/>
              <w:rPr>
                <w:szCs w:val="21"/>
              </w:rPr>
            </w:pPr>
          </w:p>
        </w:tc>
        <w:tc>
          <w:tcPr>
            <w:tcW w:w="991" w:type="dxa"/>
            <w:vMerge w:val="continue"/>
            <w:tcBorders>
              <w:top w:val="single" w:color="auto" w:sz="4" w:space="0"/>
              <w:left w:val="single" w:color="auto" w:sz="4" w:space="0"/>
              <w:bottom w:val="single" w:color="auto" w:sz="4" w:space="0"/>
              <w:right w:val="single" w:color="auto" w:sz="4" w:space="0"/>
            </w:tcBorders>
            <w:vAlign w:val="center"/>
          </w:tcPr>
          <w:p w14:paraId="57156750">
            <w:pPr>
              <w:spacing w:line="320" w:lineRule="atLeast"/>
              <w:jc w:val="center"/>
              <w:rPr>
                <w:szCs w:val="21"/>
              </w:rPr>
            </w:pPr>
          </w:p>
        </w:tc>
        <w:tc>
          <w:tcPr>
            <w:tcW w:w="992" w:type="dxa"/>
            <w:tcBorders>
              <w:top w:val="single" w:color="auto" w:sz="4" w:space="0"/>
              <w:left w:val="nil"/>
              <w:bottom w:val="single" w:color="auto" w:sz="4" w:space="0"/>
              <w:right w:val="single" w:color="auto" w:sz="4" w:space="0"/>
            </w:tcBorders>
            <w:shd w:val="clear" w:color="auto" w:fill="auto"/>
            <w:vAlign w:val="center"/>
          </w:tcPr>
          <w:p w14:paraId="0CD3AD44">
            <w:pPr>
              <w:spacing w:line="320" w:lineRule="atLeast"/>
              <w:jc w:val="center"/>
              <w:rPr>
                <w:szCs w:val="21"/>
              </w:rPr>
            </w:pPr>
            <w:r>
              <w:rPr>
                <w:rFonts w:hint="eastAsia"/>
                <w:szCs w:val="21"/>
              </w:rPr>
              <w:t xml:space="preserve">检测  试剂      </w:t>
            </w:r>
          </w:p>
        </w:tc>
        <w:tc>
          <w:tcPr>
            <w:tcW w:w="992" w:type="dxa"/>
            <w:tcBorders>
              <w:top w:val="single" w:color="auto" w:sz="4" w:space="0"/>
              <w:left w:val="nil"/>
              <w:bottom w:val="single" w:color="auto" w:sz="4" w:space="0"/>
              <w:right w:val="single" w:color="auto" w:sz="4" w:space="0"/>
            </w:tcBorders>
            <w:shd w:val="clear" w:color="auto" w:fill="auto"/>
            <w:vAlign w:val="center"/>
          </w:tcPr>
          <w:p w14:paraId="5F33FA9B">
            <w:pPr>
              <w:spacing w:line="320" w:lineRule="atLeast"/>
              <w:jc w:val="center"/>
              <w:rPr>
                <w:szCs w:val="21"/>
              </w:rPr>
            </w:pPr>
            <w:r>
              <w:rPr>
                <w:rFonts w:hint="eastAsia"/>
                <w:szCs w:val="21"/>
              </w:rPr>
              <w:t>1000</w:t>
            </w:r>
          </w:p>
        </w:tc>
        <w:tc>
          <w:tcPr>
            <w:tcW w:w="993" w:type="dxa"/>
            <w:tcBorders>
              <w:top w:val="single" w:color="auto" w:sz="4" w:space="0"/>
              <w:left w:val="nil"/>
              <w:bottom w:val="single" w:color="auto" w:sz="4" w:space="0"/>
              <w:right w:val="single" w:color="auto" w:sz="4" w:space="0"/>
            </w:tcBorders>
            <w:shd w:val="clear" w:color="auto" w:fill="auto"/>
            <w:vAlign w:val="center"/>
          </w:tcPr>
          <w:p w14:paraId="23DE94BE">
            <w:pPr>
              <w:spacing w:line="320" w:lineRule="atLeast"/>
              <w:jc w:val="center"/>
              <w:rPr>
                <w:color w:val="000000"/>
                <w:szCs w:val="21"/>
              </w:rPr>
            </w:pPr>
            <w:r>
              <w:rPr>
                <w:rFonts w:hint="eastAsia"/>
                <w:color w:val="000000"/>
                <w:szCs w:val="21"/>
              </w:rPr>
              <w:t>0.84</w:t>
            </w:r>
          </w:p>
        </w:tc>
        <w:tc>
          <w:tcPr>
            <w:tcW w:w="4394" w:type="dxa"/>
            <w:tcBorders>
              <w:top w:val="single" w:color="auto" w:sz="4" w:space="0"/>
              <w:left w:val="nil"/>
              <w:bottom w:val="single" w:color="auto" w:sz="4" w:space="0"/>
              <w:right w:val="single" w:color="auto" w:sz="4" w:space="0"/>
            </w:tcBorders>
            <w:shd w:val="clear" w:color="auto" w:fill="auto"/>
            <w:vAlign w:val="center"/>
          </w:tcPr>
          <w:p w14:paraId="55B93074">
            <w:pPr>
              <w:spacing w:line="320" w:lineRule="atLeast"/>
              <w:jc w:val="center"/>
              <w:rPr>
                <w:szCs w:val="21"/>
              </w:rPr>
            </w:pPr>
            <w:r>
              <w:rPr>
                <w:rFonts w:hint="eastAsia"/>
                <w:szCs w:val="21"/>
              </w:rPr>
              <w:t>一次性病毒采样管（非灭活）500支，1:10混检病毒采样管（非灭活）500支。</w:t>
            </w:r>
          </w:p>
        </w:tc>
      </w:tr>
      <w:tr w14:paraId="15FEF05C">
        <w:tblPrEx>
          <w:tblCellMar>
            <w:top w:w="0" w:type="dxa"/>
            <w:left w:w="108" w:type="dxa"/>
            <w:bottom w:w="0" w:type="dxa"/>
            <w:right w:w="108" w:type="dxa"/>
          </w:tblCellMar>
        </w:tblPrEx>
        <w:trPr>
          <w:trHeight w:val="397" w:hRule="atLeast"/>
        </w:trPr>
        <w:tc>
          <w:tcPr>
            <w:tcW w:w="255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AF1F051">
            <w:pPr>
              <w:spacing w:line="320" w:lineRule="atLeast"/>
              <w:jc w:val="center"/>
              <w:rPr>
                <w:szCs w:val="21"/>
              </w:rPr>
            </w:pPr>
            <w:r>
              <w:rPr>
                <w:rFonts w:hint="eastAsia"/>
                <w:szCs w:val="21"/>
              </w:rPr>
              <w:t>小计</w:t>
            </w:r>
          </w:p>
        </w:tc>
        <w:tc>
          <w:tcPr>
            <w:tcW w:w="992" w:type="dxa"/>
            <w:tcBorders>
              <w:top w:val="single" w:color="auto" w:sz="4" w:space="0"/>
              <w:left w:val="nil"/>
              <w:bottom w:val="single" w:color="auto" w:sz="4" w:space="0"/>
              <w:right w:val="single" w:color="auto" w:sz="4" w:space="0"/>
            </w:tcBorders>
            <w:shd w:val="clear" w:color="auto" w:fill="auto"/>
            <w:vAlign w:val="center"/>
          </w:tcPr>
          <w:p w14:paraId="5812292E">
            <w:pPr>
              <w:spacing w:line="320" w:lineRule="atLeast"/>
              <w:jc w:val="center"/>
              <w:rPr>
                <w:szCs w:val="21"/>
              </w:rPr>
            </w:pPr>
            <w:r>
              <w:rPr>
                <w:rFonts w:hint="eastAsia"/>
                <w:szCs w:val="21"/>
              </w:rPr>
              <w:t>520622</w:t>
            </w:r>
          </w:p>
        </w:tc>
        <w:tc>
          <w:tcPr>
            <w:tcW w:w="993" w:type="dxa"/>
            <w:tcBorders>
              <w:top w:val="single" w:color="auto" w:sz="4" w:space="0"/>
              <w:left w:val="nil"/>
              <w:bottom w:val="single" w:color="auto" w:sz="4" w:space="0"/>
              <w:right w:val="single" w:color="auto" w:sz="4" w:space="0"/>
            </w:tcBorders>
            <w:shd w:val="clear" w:color="auto" w:fill="auto"/>
            <w:vAlign w:val="center"/>
          </w:tcPr>
          <w:p w14:paraId="7BDA3568">
            <w:pPr>
              <w:spacing w:line="320" w:lineRule="atLeast"/>
              <w:jc w:val="center"/>
              <w:rPr>
                <w:color w:val="000000"/>
                <w:szCs w:val="21"/>
              </w:rPr>
            </w:pPr>
            <w:r>
              <w:rPr>
                <w:rFonts w:hint="eastAsia"/>
                <w:color w:val="000000"/>
                <w:szCs w:val="21"/>
              </w:rPr>
              <w:t>196.00</w:t>
            </w:r>
          </w:p>
        </w:tc>
        <w:tc>
          <w:tcPr>
            <w:tcW w:w="4394" w:type="dxa"/>
            <w:tcBorders>
              <w:top w:val="single" w:color="auto" w:sz="4" w:space="0"/>
              <w:left w:val="nil"/>
              <w:bottom w:val="single" w:color="auto" w:sz="4" w:space="0"/>
              <w:right w:val="single" w:color="auto" w:sz="4" w:space="0"/>
            </w:tcBorders>
            <w:shd w:val="clear" w:color="auto" w:fill="auto"/>
            <w:vAlign w:val="center"/>
          </w:tcPr>
          <w:p w14:paraId="383A4614">
            <w:pPr>
              <w:spacing w:line="320" w:lineRule="atLeast"/>
              <w:jc w:val="center"/>
              <w:rPr>
                <w:szCs w:val="21"/>
              </w:rPr>
            </w:pPr>
          </w:p>
        </w:tc>
      </w:tr>
      <w:tr w14:paraId="7DD16B33">
        <w:tblPrEx>
          <w:tblCellMar>
            <w:top w:w="0" w:type="dxa"/>
            <w:left w:w="108" w:type="dxa"/>
            <w:bottom w:w="0" w:type="dxa"/>
            <w:right w:w="108" w:type="dxa"/>
          </w:tblCellMar>
        </w:tblPrEx>
        <w:trPr>
          <w:trHeight w:val="589" w:hRule="atLeast"/>
        </w:trPr>
        <w:tc>
          <w:tcPr>
            <w:tcW w:w="56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74DEAC">
            <w:pPr>
              <w:spacing w:line="320" w:lineRule="atLeast"/>
              <w:jc w:val="center"/>
              <w:rPr>
                <w:szCs w:val="21"/>
              </w:rPr>
            </w:pPr>
            <w:r>
              <w:rPr>
                <w:rFonts w:hint="eastAsia"/>
                <w:szCs w:val="21"/>
              </w:rPr>
              <w:t>2</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E103B8">
            <w:pPr>
              <w:spacing w:line="320" w:lineRule="atLeast"/>
              <w:jc w:val="center"/>
              <w:rPr>
                <w:szCs w:val="21"/>
              </w:rPr>
            </w:pPr>
            <w:r>
              <w:rPr>
                <w:rFonts w:hint="eastAsia"/>
                <w:szCs w:val="21"/>
              </w:rPr>
              <w:t>国药控股重庆医疗器械公司</w:t>
            </w:r>
          </w:p>
        </w:tc>
        <w:tc>
          <w:tcPr>
            <w:tcW w:w="992" w:type="dxa"/>
            <w:tcBorders>
              <w:top w:val="single" w:color="auto" w:sz="4" w:space="0"/>
              <w:left w:val="nil"/>
              <w:bottom w:val="single" w:color="auto" w:sz="4" w:space="0"/>
              <w:right w:val="single" w:color="auto" w:sz="4" w:space="0"/>
            </w:tcBorders>
            <w:shd w:val="clear" w:color="auto" w:fill="auto"/>
            <w:vAlign w:val="center"/>
          </w:tcPr>
          <w:p w14:paraId="20F7AA83">
            <w:pPr>
              <w:spacing w:line="320" w:lineRule="atLeast"/>
              <w:jc w:val="center"/>
              <w:rPr>
                <w:szCs w:val="21"/>
              </w:rPr>
            </w:pPr>
            <w:r>
              <w:rPr>
                <w:rFonts w:hint="eastAsia"/>
                <w:szCs w:val="21"/>
              </w:rPr>
              <w:t>防护  器械</w:t>
            </w:r>
          </w:p>
        </w:tc>
        <w:tc>
          <w:tcPr>
            <w:tcW w:w="992" w:type="dxa"/>
            <w:tcBorders>
              <w:top w:val="single" w:color="auto" w:sz="4" w:space="0"/>
              <w:left w:val="nil"/>
              <w:bottom w:val="single" w:color="auto" w:sz="4" w:space="0"/>
              <w:right w:val="single" w:color="auto" w:sz="4" w:space="0"/>
            </w:tcBorders>
            <w:shd w:val="clear" w:color="auto" w:fill="auto"/>
            <w:vAlign w:val="center"/>
          </w:tcPr>
          <w:p w14:paraId="4BCA70E3">
            <w:pPr>
              <w:spacing w:line="320" w:lineRule="atLeast"/>
              <w:jc w:val="center"/>
              <w:rPr>
                <w:szCs w:val="21"/>
              </w:rPr>
            </w:pPr>
            <w:r>
              <w:rPr>
                <w:rFonts w:hint="eastAsia"/>
                <w:szCs w:val="21"/>
              </w:rPr>
              <w:t>5</w:t>
            </w:r>
          </w:p>
        </w:tc>
        <w:tc>
          <w:tcPr>
            <w:tcW w:w="993" w:type="dxa"/>
            <w:tcBorders>
              <w:top w:val="single" w:color="auto" w:sz="4" w:space="0"/>
              <w:left w:val="nil"/>
              <w:bottom w:val="single" w:color="auto" w:sz="4" w:space="0"/>
              <w:right w:val="single" w:color="auto" w:sz="4" w:space="0"/>
            </w:tcBorders>
            <w:shd w:val="clear" w:color="auto" w:fill="auto"/>
            <w:vAlign w:val="center"/>
          </w:tcPr>
          <w:p w14:paraId="439A6C50">
            <w:pPr>
              <w:spacing w:line="320" w:lineRule="atLeast"/>
              <w:jc w:val="center"/>
              <w:rPr>
                <w:color w:val="000000"/>
                <w:szCs w:val="21"/>
              </w:rPr>
            </w:pPr>
            <w:r>
              <w:rPr>
                <w:rFonts w:hint="eastAsia"/>
                <w:color w:val="000000"/>
                <w:szCs w:val="21"/>
              </w:rPr>
              <w:t>35.61</w:t>
            </w:r>
          </w:p>
        </w:tc>
        <w:tc>
          <w:tcPr>
            <w:tcW w:w="4394" w:type="dxa"/>
            <w:tcBorders>
              <w:top w:val="single" w:color="auto" w:sz="4" w:space="0"/>
              <w:left w:val="nil"/>
              <w:bottom w:val="single" w:color="auto" w:sz="4" w:space="0"/>
              <w:right w:val="single" w:color="auto" w:sz="4" w:space="0"/>
            </w:tcBorders>
            <w:shd w:val="clear" w:color="auto" w:fill="auto"/>
            <w:vAlign w:val="center"/>
          </w:tcPr>
          <w:p w14:paraId="5E92B0F3">
            <w:pPr>
              <w:spacing w:line="320" w:lineRule="atLeast"/>
              <w:jc w:val="center"/>
              <w:rPr>
                <w:szCs w:val="21"/>
              </w:rPr>
            </w:pPr>
            <w:r>
              <w:rPr>
                <w:rFonts w:hint="eastAsia"/>
                <w:szCs w:val="21"/>
              </w:rPr>
              <w:t>红外热像仪5台。</w:t>
            </w:r>
          </w:p>
        </w:tc>
      </w:tr>
      <w:tr w14:paraId="61D3B85C">
        <w:tblPrEx>
          <w:tblCellMar>
            <w:top w:w="0" w:type="dxa"/>
            <w:left w:w="108" w:type="dxa"/>
            <w:bottom w:w="0" w:type="dxa"/>
            <w:right w:w="108" w:type="dxa"/>
          </w:tblCellMar>
        </w:tblPrEx>
        <w:trPr>
          <w:trHeight w:val="479" w:hRule="atLeast"/>
        </w:trPr>
        <w:tc>
          <w:tcPr>
            <w:tcW w:w="569" w:type="dxa"/>
            <w:vMerge w:val="continue"/>
            <w:tcBorders>
              <w:top w:val="single" w:color="auto" w:sz="4" w:space="0"/>
              <w:left w:val="single" w:color="auto" w:sz="4" w:space="0"/>
              <w:bottom w:val="single" w:color="auto" w:sz="4" w:space="0"/>
              <w:right w:val="single" w:color="auto" w:sz="4" w:space="0"/>
            </w:tcBorders>
            <w:vAlign w:val="center"/>
          </w:tcPr>
          <w:p w14:paraId="1F3483DE">
            <w:pPr>
              <w:spacing w:line="320" w:lineRule="atLeast"/>
              <w:jc w:val="center"/>
              <w:rPr>
                <w:szCs w:val="21"/>
              </w:rPr>
            </w:pPr>
          </w:p>
        </w:tc>
        <w:tc>
          <w:tcPr>
            <w:tcW w:w="991" w:type="dxa"/>
            <w:vMerge w:val="continue"/>
            <w:tcBorders>
              <w:top w:val="single" w:color="auto" w:sz="4" w:space="0"/>
              <w:left w:val="single" w:color="auto" w:sz="4" w:space="0"/>
              <w:bottom w:val="single" w:color="auto" w:sz="4" w:space="0"/>
              <w:right w:val="single" w:color="auto" w:sz="4" w:space="0"/>
            </w:tcBorders>
            <w:vAlign w:val="center"/>
          </w:tcPr>
          <w:p w14:paraId="5FA1EAC7">
            <w:pPr>
              <w:spacing w:line="320" w:lineRule="atLeast"/>
              <w:jc w:val="center"/>
              <w:rPr>
                <w:szCs w:val="21"/>
              </w:rPr>
            </w:pPr>
          </w:p>
        </w:tc>
        <w:tc>
          <w:tcPr>
            <w:tcW w:w="992" w:type="dxa"/>
            <w:tcBorders>
              <w:top w:val="single" w:color="auto" w:sz="4" w:space="0"/>
              <w:left w:val="nil"/>
              <w:bottom w:val="single" w:color="auto" w:sz="4" w:space="0"/>
              <w:right w:val="single" w:color="auto" w:sz="4" w:space="0"/>
            </w:tcBorders>
            <w:shd w:val="clear" w:color="auto" w:fill="auto"/>
            <w:vAlign w:val="center"/>
          </w:tcPr>
          <w:p w14:paraId="086148CE">
            <w:pPr>
              <w:spacing w:line="320" w:lineRule="atLeast"/>
              <w:jc w:val="center"/>
              <w:rPr>
                <w:szCs w:val="21"/>
              </w:rPr>
            </w:pPr>
            <w:r>
              <w:rPr>
                <w:rFonts w:hint="eastAsia"/>
                <w:szCs w:val="21"/>
              </w:rPr>
              <w:t>防护  物资</w:t>
            </w:r>
          </w:p>
        </w:tc>
        <w:tc>
          <w:tcPr>
            <w:tcW w:w="992" w:type="dxa"/>
            <w:tcBorders>
              <w:top w:val="single" w:color="auto" w:sz="4" w:space="0"/>
              <w:left w:val="nil"/>
              <w:bottom w:val="single" w:color="auto" w:sz="4" w:space="0"/>
              <w:right w:val="single" w:color="auto" w:sz="4" w:space="0"/>
            </w:tcBorders>
            <w:shd w:val="clear" w:color="auto" w:fill="auto"/>
            <w:vAlign w:val="center"/>
          </w:tcPr>
          <w:p w14:paraId="70363E54">
            <w:pPr>
              <w:spacing w:line="320" w:lineRule="atLeast"/>
              <w:jc w:val="center"/>
              <w:rPr>
                <w:color w:val="000000"/>
                <w:szCs w:val="21"/>
              </w:rPr>
            </w:pPr>
            <w:r>
              <w:rPr>
                <w:rFonts w:hint="eastAsia"/>
                <w:color w:val="000000"/>
                <w:szCs w:val="21"/>
              </w:rPr>
              <w:t>7785</w:t>
            </w:r>
          </w:p>
        </w:tc>
        <w:tc>
          <w:tcPr>
            <w:tcW w:w="993" w:type="dxa"/>
            <w:tcBorders>
              <w:top w:val="single" w:color="auto" w:sz="4" w:space="0"/>
              <w:left w:val="nil"/>
              <w:bottom w:val="single" w:color="auto" w:sz="4" w:space="0"/>
              <w:right w:val="single" w:color="auto" w:sz="4" w:space="0"/>
            </w:tcBorders>
            <w:shd w:val="clear" w:color="auto" w:fill="auto"/>
            <w:vAlign w:val="center"/>
          </w:tcPr>
          <w:p w14:paraId="56914ADE">
            <w:pPr>
              <w:spacing w:line="320" w:lineRule="atLeast"/>
              <w:jc w:val="center"/>
              <w:rPr>
                <w:color w:val="000000"/>
                <w:szCs w:val="21"/>
              </w:rPr>
            </w:pPr>
            <w:r>
              <w:rPr>
                <w:rFonts w:hint="eastAsia"/>
                <w:color w:val="000000"/>
                <w:szCs w:val="21"/>
              </w:rPr>
              <w:t>19.97</w:t>
            </w:r>
          </w:p>
        </w:tc>
        <w:tc>
          <w:tcPr>
            <w:tcW w:w="4394" w:type="dxa"/>
            <w:tcBorders>
              <w:top w:val="single" w:color="auto" w:sz="4" w:space="0"/>
              <w:left w:val="nil"/>
              <w:bottom w:val="single" w:color="auto" w:sz="4" w:space="0"/>
              <w:right w:val="single" w:color="auto" w:sz="4" w:space="0"/>
            </w:tcBorders>
            <w:shd w:val="clear" w:color="auto" w:fill="auto"/>
            <w:vAlign w:val="center"/>
          </w:tcPr>
          <w:p w14:paraId="37287F09">
            <w:pPr>
              <w:spacing w:line="320" w:lineRule="atLeast"/>
              <w:jc w:val="center"/>
              <w:rPr>
                <w:szCs w:val="21"/>
              </w:rPr>
            </w:pPr>
            <w:r>
              <w:rPr>
                <w:rFonts w:hint="eastAsia"/>
                <w:szCs w:val="21"/>
              </w:rPr>
              <w:t>全面罩50个，医用隔离面罩7735个。</w:t>
            </w:r>
          </w:p>
        </w:tc>
      </w:tr>
      <w:tr w14:paraId="718D9FF6">
        <w:tblPrEx>
          <w:tblCellMar>
            <w:top w:w="0" w:type="dxa"/>
            <w:left w:w="108" w:type="dxa"/>
            <w:bottom w:w="0" w:type="dxa"/>
            <w:right w:w="108" w:type="dxa"/>
          </w:tblCellMar>
        </w:tblPrEx>
        <w:trPr>
          <w:trHeight w:val="500" w:hRule="atLeast"/>
        </w:trPr>
        <w:tc>
          <w:tcPr>
            <w:tcW w:w="569" w:type="dxa"/>
            <w:vMerge w:val="continue"/>
            <w:tcBorders>
              <w:top w:val="single" w:color="auto" w:sz="4" w:space="0"/>
              <w:left w:val="single" w:color="auto" w:sz="4" w:space="0"/>
              <w:bottom w:val="single" w:color="auto" w:sz="4" w:space="0"/>
              <w:right w:val="single" w:color="auto" w:sz="4" w:space="0"/>
            </w:tcBorders>
            <w:vAlign w:val="center"/>
          </w:tcPr>
          <w:p w14:paraId="31F3E856">
            <w:pPr>
              <w:spacing w:line="320" w:lineRule="atLeast"/>
              <w:jc w:val="center"/>
              <w:rPr>
                <w:szCs w:val="21"/>
              </w:rPr>
            </w:pPr>
          </w:p>
        </w:tc>
        <w:tc>
          <w:tcPr>
            <w:tcW w:w="991" w:type="dxa"/>
            <w:vMerge w:val="continue"/>
            <w:tcBorders>
              <w:top w:val="single" w:color="auto" w:sz="4" w:space="0"/>
              <w:left w:val="single" w:color="auto" w:sz="4" w:space="0"/>
              <w:bottom w:val="single" w:color="auto" w:sz="4" w:space="0"/>
              <w:right w:val="single" w:color="auto" w:sz="4" w:space="0"/>
            </w:tcBorders>
            <w:vAlign w:val="center"/>
          </w:tcPr>
          <w:p w14:paraId="3FD555FC">
            <w:pPr>
              <w:spacing w:line="320" w:lineRule="atLeast"/>
              <w:jc w:val="center"/>
              <w:rPr>
                <w:szCs w:val="21"/>
              </w:rPr>
            </w:pPr>
          </w:p>
        </w:tc>
        <w:tc>
          <w:tcPr>
            <w:tcW w:w="992" w:type="dxa"/>
            <w:tcBorders>
              <w:top w:val="single" w:color="auto" w:sz="4" w:space="0"/>
              <w:left w:val="nil"/>
              <w:bottom w:val="single" w:color="auto" w:sz="4" w:space="0"/>
              <w:right w:val="single" w:color="auto" w:sz="4" w:space="0"/>
            </w:tcBorders>
            <w:shd w:val="clear" w:color="auto" w:fill="auto"/>
            <w:vAlign w:val="center"/>
          </w:tcPr>
          <w:p w14:paraId="6EEC6166">
            <w:pPr>
              <w:spacing w:line="320" w:lineRule="atLeast"/>
              <w:jc w:val="center"/>
              <w:rPr>
                <w:szCs w:val="21"/>
              </w:rPr>
            </w:pPr>
            <w:r>
              <w:rPr>
                <w:rFonts w:hint="eastAsia"/>
                <w:szCs w:val="21"/>
              </w:rPr>
              <w:t>消杀  用品</w:t>
            </w:r>
          </w:p>
        </w:tc>
        <w:tc>
          <w:tcPr>
            <w:tcW w:w="992" w:type="dxa"/>
            <w:tcBorders>
              <w:top w:val="single" w:color="auto" w:sz="4" w:space="0"/>
              <w:left w:val="nil"/>
              <w:bottom w:val="single" w:color="auto" w:sz="4" w:space="0"/>
              <w:right w:val="single" w:color="auto" w:sz="4" w:space="0"/>
            </w:tcBorders>
            <w:shd w:val="clear" w:color="auto" w:fill="auto"/>
            <w:vAlign w:val="center"/>
          </w:tcPr>
          <w:p w14:paraId="2F25D8ED">
            <w:pPr>
              <w:spacing w:line="320" w:lineRule="atLeast"/>
              <w:jc w:val="center"/>
              <w:rPr>
                <w:color w:val="000000"/>
                <w:szCs w:val="21"/>
              </w:rPr>
            </w:pPr>
            <w:r>
              <w:rPr>
                <w:rFonts w:hint="eastAsia"/>
                <w:color w:val="000000"/>
                <w:szCs w:val="21"/>
              </w:rPr>
              <w:t>794</w:t>
            </w:r>
          </w:p>
        </w:tc>
        <w:tc>
          <w:tcPr>
            <w:tcW w:w="993" w:type="dxa"/>
            <w:tcBorders>
              <w:top w:val="single" w:color="auto" w:sz="4" w:space="0"/>
              <w:left w:val="nil"/>
              <w:bottom w:val="single" w:color="auto" w:sz="4" w:space="0"/>
              <w:right w:val="single" w:color="auto" w:sz="4" w:space="0"/>
            </w:tcBorders>
            <w:shd w:val="clear" w:color="auto" w:fill="auto"/>
            <w:vAlign w:val="center"/>
          </w:tcPr>
          <w:p w14:paraId="44E2C55A">
            <w:pPr>
              <w:spacing w:line="320" w:lineRule="atLeast"/>
              <w:jc w:val="center"/>
              <w:rPr>
                <w:color w:val="000000"/>
                <w:szCs w:val="21"/>
              </w:rPr>
            </w:pPr>
            <w:r>
              <w:rPr>
                <w:rFonts w:hint="eastAsia"/>
                <w:color w:val="000000"/>
                <w:szCs w:val="21"/>
              </w:rPr>
              <w:t>0.47</w:t>
            </w:r>
          </w:p>
        </w:tc>
        <w:tc>
          <w:tcPr>
            <w:tcW w:w="4394" w:type="dxa"/>
            <w:tcBorders>
              <w:top w:val="single" w:color="auto" w:sz="4" w:space="0"/>
              <w:left w:val="nil"/>
              <w:bottom w:val="single" w:color="auto" w:sz="4" w:space="0"/>
              <w:right w:val="single" w:color="auto" w:sz="4" w:space="0"/>
            </w:tcBorders>
            <w:shd w:val="clear" w:color="auto" w:fill="auto"/>
            <w:vAlign w:val="center"/>
          </w:tcPr>
          <w:p w14:paraId="76655654">
            <w:pPr>
              <w:spacing w:line="320" w:lineRule="atLeast"/>
              <w:jc w:val="center"/>
              <w:rPr>
                <w:szCs w:val="21"/>
              </w:rPr>
            </w:pPr>
            <w:r>
              <w:rPr>
                <w:rFonts w:hint="eastAsia"/>
                <w:szCs w:val="21"/>
              </w:rPr>
              <w:t>95%消毒酒精（500ml）794瓶。</w:t>
            </w:r>
          </w:p>
        </w:tc>
      </w:tr>
      <w:tr w14:paraId="7E1007CA">
        <w:tblPrEx>
          <w:tblCellMar>
            <w:top w:w="0" w:type="dxa"/>
            <w:left w:w="108" w:type="dxa"/>
            <w:bottom w:w="0" w:type="dxa"/>
            <w:right w:w="108" w:type="dxa"/>
          </w:tblCellMar>
        </w:tblPrEx>
        <w:trPr>
          <w:trHeight w:val="508" w:hRule="atLeast"/>
        </w:trPr>
        <w:tc>
          <w:tcPr>
            <w:tcW w:w="255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87E68CA">
            <w:pPr>
              <w:spacing w:line="320" w:lineRule="atLeast"/>
              <w:jc w:val="center"/>
              <w:rPr>
                <w:szCs w:val="21"/>
              </w:rPr>
            </w:pPr>
            <w:r>
              <w:rPr>
                <w:rFonts w:hint="eastAsia"/>
                <w:szCs w:val="21"/>
              </w:rPr>
              <w:t>小计</w:t>
            </w:r>
          </w:p>
        </w:tc>
        <w:tc>
          <w:tcPr>
            <w:tcW w:w="992" w:type="dxa"/>
            <w:tcBorders>
              <w:top w:val="single" w:color="auto" w:sz="4" w:space="0"/>
              <w:left w:val="nil"/>
              <w:bottom w:val="single" w:color="auto" w:sz="4" w:space="0"/>
              <w:right w:val="single" w:color="auto" w:sz="4" w:space="0"/>
            </w:tcBorders>
            <w:shd w:val="clear" w:color="auto" w:fill="auto"/>
            <w:vAlign w:val="center"/>
          </w:tcPr>
          <w:p w14:paraId="52AC4B34">
            <w:pPr>
              <w:spacing w:line="320" w:lineRule="atLeast"/>
              <w:jc w:val="center"/>
              <w:rPr>
                <w:szCs w:val="21"/>
              </w:rPr>
            </w:pPr>
            <w:r>
              <w:rPr>
                <w:rFonts w:hint="eastAsia"/>
                <w:szCs w:val="21"/>
              </w:rPr>
              <w:t>8584</w:t>
            </w:r>
          </w:p>
        </w:tc>
        <w:tc>
          <w:tcPr>
            <w:tcW w:w="993" w:type="dxa"/>
            <w:tcBorders>
              <w:top w:val="single" w:color="auto" w:sz="4" w:space="0"/>
              <w:left w:val="nil"/>
              <w:bottom w:val="single" w:color="auto" w:sz="4" w:space="0"/>
              <w:right w:val="single" w:color="auto" w:sz="4" w:space="0"/>
            </w:tcBorders>
            <w:shd w:val="clear" w:color="auto" w:fill="auto"/>
            <w:vAlign w:val="center"/>
          </w:tcPr>
          <w:p w14:paraId="563B0C08">
            <w:pPr>
              <w:spacing w:line="320" w:lineRule="atLeast"/>
              <w:jc w:val="center"/>
              <w:rPr>
                <w:color w:val="000000"/>
                <w:szCs w:val="21"/>
              </w:rPr>
            </w:pPr>
            <w:r>
              <w:rPr>
                <w:rFonts w:hint="eastAsia"/>
                <w:color w:val="000000"/>
                <w:szCs w:val="21"/>
              </w:rPr>
              <w:t>56.00</w:t>
            </w:r>
          </w:p>
        </w:tc>
        <w:tc>
          <w:tcPr>
            <w:tcW w:w="4394" w:type="dxa"/>
            <w:tcBorders>
              <w:top w:val="single" w:color="auto" w:sz="4" w:space="0"/>
              <w:left w:val="nil"/>
              <w:bottom w:val="single" w:color="auto" w:sz="4" w:space="0"/>
              <w:right w:val="single" w:color="auto" w:sz="4" w:space="0"/>
            </w:tcBorders>
            <w:shd w:val="clear" w:color="auto" w:fill="auto"/>
            <w:vAlign w:val="center"/>
          </w:tcPr>
          <w:p w14:paraId="104C7483">
            <w:pPr>
              <w:spacing w:line="320" w:lineRule="atLeast"/>
              <w:jc w:val="center"/>
              <w:rPr>
                <w:color w:val="000000"/>
                <w:szCs w:val="21"/>
              </w:rPr>
            </w:pPr>
          </w:p>
        </w:tc>
      </w:tr>
      <w:tr w14:paraId="74604B10">
        <w:tblPrEx>
          <w:tblCellMar>
            <w:top w:w="0" w:type="dxa"/>
            <w:left w:w="108" w:type="dxa"/>
            <w:bottom w:w="0" w:type="dxa"/>
            <w:right w:w="108" w:type="dxa"/>
          </w:tblCellMar>
        </w:tblPrEx>
        <w:trPr>
          <w:trHeight w:val="953" w:hRule="atLeast"/>
        </w:trPr>
        <w:tc>
          <w:tcPr>
            <w:tcW w:w="56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67EE09">
            <w:pPr>
              <w:spacing w:line="320" w:lineRule="atLeast"/>
              <w:jc w:val="center"/>
              <w:rPr>
                <w:szCs w:val="21"/>
              </w:rPr>
            </w:pPr>
            <w:r>
              <w:rPr>
                <w:rFonts w:hint="eastAsia"/>
                <w:szCs w:val="21"/>
              </w:rPr>
              <w:t>3</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5F4D2E">
            <w:pPr>
              <w:spacing w:line="320" w:lineRule="atLeast"/>
              <w:jc w:val="center"/>
              <w:rPr>
                <w:szCs w:val="21"/>
              </w:rPr>
            </w:pPr>
            <w:r>
              <w:rPr>
                <w:rFonts w:hint="eastAsia"/>
                <w:szCs w:val="21"/>
              </w:rPr>
              <w:t>国药控制重庆泰民医药有限公司</w:t>
            </w:r>
          </w:p>
        </w:tc>
        <w:tc>
          <w:tcPr>
            <w:tcW w:w="992" w:type="dxa"/>
            <w:tcBorders>
              <w:top w:val="single" w:color="auto" w:sz="4" w:space="0"/>
              <w:left w:val="nil"/>
              <w:bottom w:val="single" w:color="auto" w:sz="4" w:space="0"/>
              <w:right w:val="single" w:color="auto" w:sz="4" w:space="0"/>
            </w:tcBorders>
            <w:shd w:val="clear" w:color="auto" w:fill="auto"/>
            <w:vAlign w:val="center"/>
          </w:tcPr>
          <w:p w14:paraId="2A229EBD">
            <w:pPr>
              <w:spacing w:line="320" w:lineRule="atLeast"/>
              <w:jc w:val="center"/>
              <w:rPr>
                <w:szCs w:val="21"/>
              </w:rPr>
            </w:pPr>
            <w:r>
              <w:rPr>
                <w:rFonts w:hint="eastAsia"/>
                <w:szCs w:val="21"/>
              </w:rPr>
              <w:t>防护  物资</w:t>
            </w:r>
          </w:p>
        </w:tc>
        <w:tc>
          <w:tcPr>
            <w:tcW w:w="992" w:type="dxa"/>
            <w:tcBorders>
              <w:top w:val="single" w:color="auto" w:sz="4" w:space="0"/>
              <w:left w:val="nil"/>
              <w:bottom w:val="single" w:color="auto" w:sz="4" w:space="0"/>
              <w:right w:val="single" w:color="auto" w:sz="4" w:space="0"/>
            </w:tcBorders>
            <w:shd w:val="clear" w:color="auto" w:fill="auto"/>
            <w:vAlign w:val="center"/>
          </w:tcPr>
          <w:p w14:paraId="67BE6508">
            <w:pPr>
              <w:spacing w:line="320" w:lineRule="atLeast"/>
              <w:jc w:val="center"/>
              <w:rPr>
                <w:szCs w:val="21"/>
              </w:rPr>
            </w:pPr>
            <w:r>
              <w:rPr>
                <w:rFonts w:hint="eastAsia"/>
                <w:szCs w:val="21"/>
              </w:rPr>
              <w:t>52336</w:t>
            </w:r>
          </w:p>
        </w:tc>
        <w:tc>
          <w:tcPr>
            <w:tcW w:w="993" w:type="dxa"/>
            <w:tcBorders>
              <w:top w:val="single" w:color="auto" w:sz="4" w:space="0"/>
              <w:left w:val="nil"/>
              <w:bottom w:val="single" w:color="auto" w:sz="4" w:space="0"/>
              <w:right w:val="single" w:color="auto" w:sz="4" w:space="0"/>
            </w:tcBorders>
            <w:shd w:val="clear" w:color="auto" w:fill="auto"/>
            <w:vAlign w:val="center"/>
          </w:tcPr>
          <w:p w14:paraId="4C421E5A">
            <w:pPr>
              <w:spacing w:line="320" w:lineRule="atLeast"/>
              <w:jc w:val="center"/>
              <w:rPr>
                <w:color w:val="000000"/>
                <w:szCs w:val="21"/>
              </w:rPr>
            </w:pPr>
            <w:r>
              <w:rPr>
                <w:rFonts w:hint="eastAsia"/>
                <w:color w:val="000000"/>
                <w:szCs w:val="21"/>
              </w:rPr>
              <w:t>439.87</w:t>
            </w:r>
          </w:p>
        </w:tc>
        <w:tc>
          <w:tcPr>
            <w:tcW w:w="4394" w:type="dxa"/>
            <w:tcBorders>
              <w:top w:val="single" w:color="auto" w:sz="4" w:space="0"/>
              <w:left w:val="nil"/>
              <w:bottom w:val="single" w:color="auto" w:sz="4" w:space="0"/>
              <w:right w:val="single" w:color="auto" w:sz="4" w:space="0"/>
            </w:tcBorders>
            <w:shd w:val="clear" w:color="auto" w:fill="auto"/>
            <w:vAlign w:val="center"/>
          </w:tcPr>
          <w:p w14:paraId="498D0C9B">
            <w:pPr>
              <w:spacing w:line="320" w:lineRule="atLeast"/>
              <w:jc w:val="center"/>
              <w:rPr>
                <w:szCs w:val="21"/>
              </w:rPr>
            </w:pPr>
            <w:r>
              <w:rPr>
                <w:rFonts w:hint="eastAsia"/>
                <w:szCs w:val="21"/>
              </w:rPr>
              <w:t>紧急医用防护服9999件，一次性医用隔离衣18216件，手术衣390件，防疫口罩10000个石墨烯防护口罩995个，耐化学品德工业用模压塑料靴3双，医用护目镜12733个。</w:t>
            </w:r>
          </w:p>
        </w:tc>
      </w:tr>
      <w:tr w14:paraId="74B784DC">
        <w:tblPrEx>
          <w:tblCellMar>
            <w:top w:w="0" w:type="dxa"/>
            <w:left w:w="108" w:type="dxa"/>
            <w:bottom w:w="0" w:type="dxa"/>
            <w:right w:w="108" w:type="dxa"/>
          </w:tblCellMar>
        </w:tblPrEx>
        <w:trPr>
          <w:trHeight w:val="544" w:hRule="atLeast"/>
        </w:trPr>
        <w:tc>
          <w:tcPr>
            <w:tcW w:w="569" w:type="dxa"/>
            <w:vMerge w:val="continue"/>
            <w:tcBorders>
              <w:top w:val="single" w:color="auto" w:sz="4" w:space="0"/>
              <w:left w:val="single" w:color="auto" w:sz="4" w:space="0"/>
              <w:bottom w:val="single" w:color="auto" w:sz="4" w:space="0"/>
              <w:right w:val="single" w:color="auto" w:sz="4" w:space="0"/>
            </w:tcBorders>
            <w:vAlign w:val="center"/>
          </w:tcPr>
          <w:p w14:paraId="0EAF9823">
            <w:pPr>
              <w:spacing w:line="320" w:lineRule="atLeast"/>
              <w:jc w:val="center"/>
              <w:rPr>
                <w:szCs w:val="21"/>
              </w:rPr>
            </w:pPr>
          </w:p>
        </w:tc>
        <w:tc>
          <w:tcPr>
            <w:tcW w:w="991" w:type="dxa"/>
            <w:vMerge w:val="continue"/>
            <w:tcBorders>
              <w:top w:val="single" w:color="auto" w:sz="4" w:space="0"/>
              <w:left w:val="single" w:color="auto" w:sz="4" w:space="0"/>
              <w:bottom w:val="single" w:color="auto" w:sz="4" w:space="0"/>
              <w:right w:val="single" w:color="auto" w:sz="4" w:space="0"/>
            </w:tcBorders>
            <w:vAlign w:val="center"/>
          </w:tcPr>
          <w:p w14:paraId="13E7457D">
            <w:pPr>
              <w:spacing w:line="320" w:lineRule="atLeast"/>
              <w:jc w:val="center"/>
              <w:rPr>
                <w:szCs w:val="21"/>
              </w:rPr>
            </w:pPr>
          </w:p>
        </w:tc>
        <w:tc>
          <w:tcPr>
            <w:tcW w:w="992" w:type="dxa"/>
            <w:tcBorders>
              <w:top w:val="single" w:color="auto" w:sz="4" w:space="0"/>
              <w:left w:val="nil"/>
              <w:bottom w:val="single" w:color="auto" w:sz="4" w:space="0"/>
              <w:right w:val="single" w:color="auto" w:sz="4" w:space="0"/>
            </w:tcBorders>
            <w:shd w:val="clear" w:color="auto" w:fill="auto"/>
            <w:vAlign w:val="center"/>
          </w:tcPr>
          <w:p w14:paraId="45C7F0ED">
            <w:pPr>
              <w:spacing w:line="320" w:lineRule="atLeast"/>
              <w:jc w:val="center"/>
              <w:rPr>
                <w:szCs w:val="21"/>
              </w:rPr>
            </w:pPr>
            <w:r>
              <w:rPr>
                <w:rFonts w:hint="eastAsia"/>
                <w:szCs w:val="21"/>
              </w:rPr>
              <w:t>防护  器械</w:t>
            </w:r>
          </w:p>
        </w:tc>
        <w:tc>
          <w:tcPr>
            <w:tcW w:w="992" w:type="dxa"/>
            <w:tcBorders>
              <w:top w:val="single" w:color="auto" w:sz="4" w:space="0"/>
              <w:left w:val="nil"/>
              <w:bottom w:val="single" w:color="auto" w:sz="4" w:space="0"/>
              <w:right w:val="single" w:color="auto" w:sz="4" w:space="0"/>
            </w:tcBorders>
            <w:shd w:val="clear" w:color="auto" w:fill="auto"/>
            <w:vAlign w:val="center"/>
          </w:tcPr>
          <w:p w14:paraId="0B38EB95">
            <w:pPr>
              <w:spacing w:line="320" w:lineRule="atLeast"/>
              <w:jc w:val="center"/>
              <w:rPr>
                <w:szCs w:val="21"/>
              </w:rPr>
            </w:pPr>
            <w:r>
              <w:rPr>
                <w:rFonts w:hint="eastAsia"/>
                <w:szCs w:val="21"/>
              </w:rPr>
              <w:t>347</w:t>
            </w:r>
          </w:p>
        </w:tc>
        <w:tc>
          <w:tcPr>
            <w:tcW w:w="993" w:type="dxa"/>
            <w:tcBorders>
              <w:top w:val="single" w:color="auto" w:sz="4" w:space="0"/>
              <w:left w:val="nil"/>
              <w:bottom w:val="single" w:color="auto" w:sz="4" w:space="0"/>
              <w:right w:val="single" w:color="auto" w:sz="4" w:space="0"/>
            </w:tcBorders>
            <w:shd w:val="clear" w:color="auto" w:fill="auto"/>
            <w:vAlign w:val="center"/>
          </w:tcPr>
          <w:p w14:paraId="570E025E">
            <w:pPr>
              <w:spacing w:line="320" w:lineRule="atLeast"/>
              <w:jc w:val="center"/>
              <w:rPr>
                <w:color w:val="000000"/>
                <w:szCs w:val="21"/>
              </w:rPr>
            </w:pPr>
            <w:r>
              <w:rPr>
                <w:rFonts w:hint="eastAsia"/>
                <w:color w:val="000000"/>
                <w:szCs w:val="21"/>
              </w:rPr>
              <w:t>170.79</w:t>
            </w:r>
          </w:p>
        </w:tc>
        <w:tc>
          <w:tcPr>
            <w:tcW w:w="4394" w:type="dxa"/>
            <w:tcBorders>
              <w:top w:val="single" w:color="auto" w:sz="4" w:space="0"/>
              <w:left w:val="nil"/>
              <w:bottom w:val="single" w:color="auto" w:sz="4" w:space="0"/>
              <w:right w:val="single" w:color="auto" w:sz="4" w:space="0"/>
            </w:tcBorders>
            <w:shd w:val="clear" w:color="auto" w:fill="auto"/>
            <w:vAlign w:val="center"/>
          </w:tcPr>
          <w:p w14:paraId="12D00EED">
            <w:pPr>
              <w:spacing w:line="320" w:lineRule="atLeast"/>
              <w:jc w:val="center"/>
              <w:rPr>
                <w:szCs w:val="21"/>
              </w:rPr>
            </w:pPr>
            <w:r>
              <w:rPr>
                <w:rFonts w:hint="eastAsia"/>
                <w:szCs w:val="21"/>
              </w:rPr>
              <w:t>背负式蓄电池超低容量喷雾机3台，丸山喷雾器341台，红外热成像体温快速筛检仪3台。</w:t>
            </w:r>
          </w:p>
        </w:tc>
      </w:tr>
      <w:tr w14:paraId="743A23A4">
        <w:tblPrEx>
          <w:tblCellMar>
            <w:top w:w="0" w:type="dxa"/>
            <w:left w:w="108" w:type="dxa"/>
            <w:bottom w:w="0" w:type="dxa"/>
            <w:right w:w="108" w:type="dxa"/>
          </w:tblCellMar>
        </w:tblPrEx>
        <w:trPr>
          <w:trHeight w:val="500" w:hRule="atLeast"/>
        </w:trPr>
        <w:tc>
          <w:tcPr>
            <w:tcW w:w="569" w:type="dxa"/>
            <w:vMerge w:val="continue"/>
            <w:tcBorders>
              <w:top w:val="single" w:color="auto" w:sz="4" w:space="0"/>
              <w:left w:val="single" w:color="auto" w:sz="4" w:space="0"/>
              <w:bottom w:val="single" w:color="auto" w:sz="4" w:space="0"/>
              <w:right w:val="single" w:color="auto" w:sz="4" w:space="0"/>
            </w:tcBorders>
            <w:vAlign w:val="center"/>
          </w:tcPr>
          <w:p w14:paraId="6AEC04FE">
            <w:pPr>
              <w:spacing w:line="320" w:lineRule="atLeast"/>
              <w:jc w:val="center"/>
              <w:rPr>
                <w:szCs w:val="21"/>
              </w:rPr>
            </w:pPr>
          </w:p>
        </w:tc>
        <w:tc>
          <w:tcPr>
            <w:tcW w:w="991" w:type="dxa"/>
            <w:vMerge w:val="continue"/>
            <w:tcBorders>
              <w:top w:val="single" w:color="auto" w:sz="4" w:space="0"/>
              <w:left w:val="single" w:color="auto" w:sz="4" w:space="0"/>
              <w:bottom w:val="single" w:color="auto" w:sz="4" w:space="0"/>
              <w:right w:val="single" w:color="auto" w:sz="4" w:space="0"/>
            </w:tcBorders>
            <w:vAlign w:val="center"/>
          </w:tcPr>
          <w:p w14:paraId="0591621D">
            <w:pPr>
              <w:spacing w:line="320" w:lineRule="atLeast"/>
              <w:jc w:val="center"/>
              <w:rPr>
                <w:szCs w:val="21"/>
              </w:rPr>
            </w:pPr>
          </w:p>
        </w:tc>
        <w:tc>
          <w:tcPr>
            <w:tcW w:w="992" w:type="dxa"/>
            <w:tcBorders>
              <w:top w:val="single" w:color="auto" w:sz="4" w:space="0"/>
              <w:left w:val="nil"/>
              <w:bottom w:val="single" w:color="auto" w:sz="4" w:space="0"/>
              <w:right w:val="single" w:color="auto" w:sz="4" w:space="0"/>
            </w:tcBorders>
            <w:shd w:val="clear" w:color="auto" w:fill="auto"/>
            <w:vAlign w:val="center"/>
          </w:tcPr>
          <w:p w14:paraId="5218AC3F">
            <w:pPr>
              <w:spacing w:line="320" w:lineRule="atLeast"/>
              <w:jc w:val="center"/>
              <w:rPr>
                <w:szCs w:val="21"/>
              </w:rPr>
            </w:pPr>
            <w:r>
              <w:rPr>
                <w:rFonts w:hint="eastAsia"/>
                <w:szCs w:val="21"/>
              </w:rPr>
              <w:t>检测  试剂</w:t>
            </w:r>
          </w:p>
        </w:tc>
        <w:tc>
          <w:tcPr>
            <w:tcW w:w="992" w:type="dxa"/>
            <w:tcBorders>
              <w:top w:val="single" w:color="auto" w:sz="4" w:space="0"/>
              <w:left w:val="nil"/>
              <w:bottom w:val="single" w:color="auto" w:sz="4" w:space="0"/>
              <w:right w:val="single" w:color="auto" w:sz="4" w:space="0"/>
            </w:tcBorders>
            <w:shd w:val="clear" w:color="auto" w:fill="auto"/>
            <w:vAlign w:val="center"/>
          </w:tcPr>
          <w:p w14:paraId="2F6D91F0">
            <w:pPr>
              <w:spacing w:line="320" w:lineRule="atLeast"/>
              <w:jc w:val="center"/>
              <w:rPr>
                <w:szCs w:val="21"/>
              </w:rPr>
            </w:pPr>
            <w:r>
              <w:rPr>
                <w:rFonts w:hint="eastAsia"/>
                <w:szCs w:val="21"/>
              </w:rPr>
              <w:t>360</w:t>
            </w:r>
          </w:p>
        </w:tc>
        <w:tc>
          <w:tcPr>
            <w:tcW w:w="993" w:type="dxa"/>
            <w:tcBorders>
              <w:top w:val="single" w:color="auto" w:sz="4" w:space="0"/>
              <w:left w:val="nil"/>
              <w:bottom w:val="single" w:color="auto" w:sz="4" w:space="0"/>
              <w:right w:val="single" w:color="auto" w:sz="4" w:space="0"/>
            </w:tcBorders>
            <w:shd w:val="clear" w:color="auto" w:fill="auto"/>
            <w:vAlign w:val="center"/>
          </w:tcPr>
          <w:p w14:paraId="4B802A65">
            <w:pPr>
              <w:spacing w:line="320" w:lineRule="atLeast"/>
              <w:jc w:val="center"/>
              <w:rPr>
                <w:color w:val="000000"/>
                <w:szCs w:val="21"/>
              </w:rPr>
            </w:pPr>
            <w:r>
              <w:rPr>
                <w:rFonts w:hint="eastAsia"/>
                <w:color w:val="000000"/>
                <w:szCs w:val="21"/>
              </w:rPr>
              <w:t>2.94</w:t>
            </w:r>
          </w:p>
        </w:tc>
        <w:tc>
          <w:tcPr>
            <w:tcW w:w="4394" w:type="dxa"/>
            <w:tcBorders>
              <w:top w:val="single" w:color="auto" w:sz="4" w:space="0"/>
              <w:left w:val="nil"/>
              <w:bottom w:val="single" w:color="auto" w:sz="4" w:space="0"/>
              <w:right w:val="single" w:color="auto" w:sz="4" w:space="0"/>
            </w:tcBorders>
            <w:shd w:val="clear" w:color="auto" w:fill="auto"/>
            <w:vAlign w:val="center"/>
          </w:tcPr>
          <w:p w14:paraId="09BF63F2">
            <w:pPr>
              <w:spacing w:line="320" w:lineRule="atLeast"/>
              <w:jc w:val="center"/>
              <w:rPr>
                <w:szCs w:val="21"/>
              </w:rPr>
            </w:pPr>
            <w:r>
              <w:rPr>
                <w:rFonts w:hint="eastAsia"/>
                <w:szCs w:val="21"/>
              </w:rPr>
              <w:t>新型冠状病毒免核酸提取RNA检测试剂盒360盒。</w:t>
            </w:r>
          </w:p>
        </w:tc>
      </w:tr>
      <w:tr w14:paraId="29B975B6">
        <w:tblPrEx>
          <w:tblCellMar>
            <w:top w:w="0" w:type="dxa"/>
            <w:left w:w="108" w:type="dxa"/>
            <w:bottom w:w="0" w:type="dxa"/>
            <w:right w:w="108" w:type="dxa"/>
          </w:tblCellMar>
        </w:tblPrEx>
        <w:trPr>
          <w:trHeight w:val="500" w:hRule="atLeast"/>
        </w:trPr>
        <w:tc>
          <w:tcPr>
            <w:tcW w:w="255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0DBA11F">
            <w:pPr>
              <w:spacing w:line="320" w:lineRule="atLeast"/>
              <w:jc w:val="center"/>
              <w:rPr>
                <w:szCs w:val="21"/>
              </w:rPr>
            </w:pPr>
            <w:r>
              <w:rPr>
                <w:rFonts w:hint="eastAsia"/>
                <w:szCs w:val="21"/>
              </w:rPr>
              <w:t>小计</w:t>
            </w:r>
          </w:p>
        </w:tc>
        <w:tc>
          <w:tcPr>
            <w:tcW w:w="992" w:type="dxa"/>
            <w:tcBorders>
              <w:top w:val="single" w:color="auto" w:sz="4" w:space="0"/>
              <w:left w:val="nil"/>
              <w:bottom w:val="single" w:color="auto" w:sz="4" w:space="0"/>
              <w:right w:val="single" w:color="auto" w:sz="4" w:space="0"/>
            </w:tcBorders>
            <w:shd w:val="clear" w:color="auto" w:fill="auto"/>
            <w:vAlign w:val="center"/>
          </w:tcPr>
          <w:p w14:paraId="18646277">
            <w:pPr>
              <w:spacing w:line="320" w:lineRule="atLeast"/>
              <w:jc w:val="center"/>
              <w:rPr>
                <w:szCs w:val="21"/>
              </w:rPr>
            </w:pPr>
            <w:r>
              <w:rPr>
                <w:rFonts w:hint="eastAsia"/>
                <w:szCs w:val="21"/>
              </w:rPr>
              <w:t>53043</w:t>
            </w:r>
          </w:p>
        </w:tc>
        <w:tc>
          <w:tcPr>
            <w:tcW w:w="993" w:type="dxa"/>
            <w:tcBorders>
              <w:top w:val="single" w:color="auto" w:sz="4" w:space="0"/>
              <w:left w:val="nil"/>
              <w:bottom w:val="single" w:color="auto" w:sz="4" w:space="0"/>
              <w:right w:val="single" w:color="auto" w:sz="4" w:space="0"/>
            </w:tcBorders>
            <w:shd w:val="clear" w:color="auto" w:fill="auto"/>
            <w:vAlign w:val="center"/>
          </w:tcPr>
          <w:p w14:paraId="130D4ABD">
            <w:pPr>
              <w:spacing w:line="320" w:lineRule="atLeast"/>
              <w:jc w:val="center"/>
              <w:rPr>
                <w:szCs w:val="21"/>
              </w:rPr>
            </w:pPr>
            <w:r>
              <w:rPr>
                <w:rFonts w:hint="eastAsia"/>
                <w:szCs w:val="21"/>
              </w:rPr>
              <w:t>613.60</w:t>
            </w:r>
          </w:p>
        </w:tc>
        <w:tc>
          <w:tcPr>
            <w:tcW w:w="4394" w:type="dxa"/>
            <w:tcBorders>
              <w:top w:val="single" w:color="auto" w:sz="4" w:space="0"/>
              <w:left w:val="nil"/>
              <w:bottom w:val="single" w:color="auto" w:sz="4" w:space="0"/>
              <w:right w:val="single" w:color="auto" w:sz="4" w:space="0"/>
            </w:tcBorders>
            <w:shd w:val="clear" w:color="auto" w:fill="auto"/>
            <w:vAlign w:val="center"/>
          </w:tcPr>
          <w:p w14:paraId="70406F5A">
            <w:pPr>
              <w:spacing w:line="320" w:lineRule="atLeast"/>
              <w:jc w:val="center"/>
              <w:rPr>
                <w:color w:val="000000"/>
                <w:szCs w:val="21"/>
              </w:rPr>
            </w:pPr>
          </w:p>
        </w:tc>
      </w:tr>
      <w:tr w14:paraId="5EE5F33E">
        <w:tblPrEx>
          <w:tblCellMar>
            <w:top w:w="0" w:type="dxa"/>
            <w:left w:w="108" w:type="dxa"/>
            <w:bottom w:w="0" w:type="dxa"/>
            <w:right w:w="108" w:type="dxa"/>
          </w:tblCellMar>
        </w:tblPrEx>
        <w:trPr>
          <w:trHeight w:val="500" w:hRule="atLeast"/>
        </w:trPr>
        <w:tc>
          <w:tcPr>
            <w:tcW w:w="255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B35B6A6">
            <w:pPr>
              <w:spacing w:line="320" w:lineRule="atLeast"/>
              <w:jc w:val="center"/>
              <w:rPr>
                <w:szCs w:val="21"/>
              </w:rPr>
            </w:pPr>
            <w:r>
              <w:rPr>
                <w:rFonts w:hint="eastAsia"/>
                <w:szCs w:val="21"/>
              </w:rPr>
              <w:t>合计</w:t>
            </w:r>
          </w:p>
        </w:tc>
        <w:tc>
          <w:tcPr>
            <w:tcW w:w="992" w:type="dxa"/>
            <w:tcBorders>
              <w:top w:val="single" w:color="auto" w:sz="4" w:space="0"/>
              <w:left w:val="nil"/>
              <w:bottom w:val="single" w:color="auto" w:sz="4" w:space="0"/>
              <w:right w:val="single" w:color="auto" w:sz="4" w:space="0"/>
            </w:tcBorders>
            <w:shd w:val="clear" w:color="auto" w:fill="auto"/>
            <w:vAlign w:val="center"/>
          </w:tcPr>
          <w:p w14:paraId="4D2B232D">
            <w:pPr>
              <w:spacing w:line="320" w:lineRule="atLeast"/>
              <w:jc w:val="center"/>
              <w:rPr>
                <w:szCs w:val="21"/>
              </w:rPr>
            </w:pPr>
            <w:r>
              <w:rPr>
                <w:rFonts w:hint="eastAsia"/>
                <w:szCs w:val="21"/>
              </w:rPr>
              <w:t>582249</w:t>
            </w:r>
          </w:p>
        </w:tc>
        <w:tc>
          <w:tcPr>
            <w:tcW w:w="993" w:type="dxa"/>
            <w:tcBorders>
              <w:top w:val="single" w:color="auto" w:sz="4" w:space="0"/>
              <w:left w:val="nil"/>
              <w:bottom w:val="single" w:color="auto" w:sz="4" w:space="0"/>
              <w:right w:val="single" w:color="auto" w:sz="4" w:space="0"/>
            </w:tcBorders>
            <w:shd w:val="clear" w:color="auto" w:fill="auto"/>
            <w:vAlign w:val="center"/>
          </w:tcPr>
          <w:p w14:paraId="5D6ED6FB">
            <w:pPr>
              <w:spacing w:line="320" w:lineRule="atLeast"/>
              <w:jc w:val="center"/>
              <w:rPr>
                <w:color w:val="000000"/>
                <w:szCs w:val="21"/>
              </w:rPr>
            </w:pPr>
            <w:r>
              <w:rPr>
                <w:rFonts w:hint="eastAsia"/>
                <w:color w:val="000000"/>
                <w:szCs w:val="21"/>
              </w:rPr>
              <w:t>865.60</w:t>
            </w:r>
          </w:p>
        </w:tc>
        <w:tc>
          <w:tcPr>
            <w:tcW w:w="4394" w:type="dxa"/>
            <w:tcBorders>
              <w:top w:val="single" w:color="auto" w:sz="4" w:space="0"/>
              <w:left w:val="nil"/>
              <w:bottom w:val="single" w:color="auto" w:sz="4" w:space="0"/>
              <w:right w:val="single" w:color="auto" w:sz="4" w:space="0"/>
            </w:tcBorders>
            <w:shd w:val="clear" w:color="auto" w:fill="auto"/>
            <w:vAlign w:val="center"/>
          </w:tcPr>
          <w:p w14:paraId="2B252661">
            <w:pPr>
              <w:spacing w:line="320" w:lineRule="atLeast"/>
              <w:jc w:val="center"/>
              <w:rPr>
                <w:szCs w:val="21"/>
              </w:rPr>
            </w:pPr>
          </w:p>
        </w:tc>
      </w:tr>
    </w:tbl>
    <w:p w14:paraId="2EF238FD">
      <w:pPr>
        <w:pStyle w:val="13"/>
        <w:tabs>
          <w:tab w:val="center" w:pos="4153"/>
          <w:tab w:val="left" w:pos="7275"/>
        </w:tabs>
        <w:spacing w:line="600" w:lineRule="exact"/>
        <w:ind w:firstLine="0" w:firstLineChars="0"/>
        <w:rPr>
          <w:rFonts w:ascii="宋体" w:hAnsi="宋体" w:cs="宋体"/>
          <w:sz w:val="28"/>
          <w:szCs w:val="28"/>
        </w:rPr>
      </w:pPr>
    </w:p>
    <w:p w14:paraId="5418E0A6">
      <w:pPr>
        <w:pStyle w:val="13"/>
        <w:tabs>
          <w:tab w:val="center" w:pos="4153"/>
          <w:tab w:val="left" w:pos="7275"/>
        </w:tabs>
        <w:spacing w:line="600" w:lineRule="exact"/>
        <w:ind w:firstLine="640"/>
        <w:rPr>
          <w:rFonts w:ascii="方正仿宋_GBK" w:hAnsi="宋体" w:eastAsia="方正仿宋_GBK" w:cs="宋体"/>
          <w:sz w:val="32"/>
          <w:szCs w:val="32"/>
        </w:rPr>
      </w:pPr>
      <w:r>
        <w:rPr>
          <w:rFonts w:hint="eastAsia" w:ascii="方正仿宋_GBK" w:hAnsi="宋体" w:eastAsia="方正仿宋_GBK" w:cs="宋体"/>
          <w:sz w:val="32"/>
          <w:szCs w:val="32"/>
        </w:rPr>
        <w:t>二、绩效评价指标分析情况</w:t>
      </w:r>
    </w:p>
    <w:p w14:paraId="3FA85B19">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（一）项目投入情况</w:t>
      </w:r>
    </w:p>
    <w:p w14:paraId="34CE31CB">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项目投入总分10分，实际得分10分。</w:t>
      </w:r>
    </w:p>
    <w:p w14:paraId="5A5ADA5B">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1、项目立项</w:t>
      </w:r>
    </w:p>
    <w:p w14:paraId="1925AC22">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（1）立项规范性</w:t>
      </w:r>
    </w:p>
    <w:p w14:paraId="30D792A1">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①项目立项符合法律法规、相关政策得1分</w:t>
      </w:r>
    </w:p>
    <w:p w14:paraId="0962F030">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②项目立项与部门职责范围相符，属于部门履职所需得1分</w:t>
      </w:r>
    </w:p>
    <w:p w14:paraId="0D81C9E8">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③项目按照规定的程序申请设立得1分</w:t>
      </w:r>
    </w:p>
    <w:p w14:paraId="5DD4B84A">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④审批文件、材料符合相关要求得1分</w:t>
      </w:r>
    </w:p>
    <w:p w14:paraId="094A12FB">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（2）绩效目标合理性</w:t>
      </w:r>
    </w:p>
    <w:p w14:paraId="1DA3E51F">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①项目立项符合国家相关法律法规、国民经济发展规划和党委政府决策得1分</w:t>
      </w:r>
    </w:p>
    <w:p w14:paraId="34608622">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②项目预期产出效益和效果符合正常的业绩水平得1分</w:t>
      </w:r>
    </w:p>
    <w:p w14:paraId="4C0C3592">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（3）绩效指标明确性</w:t>
      </w:r>
    </w:p>
    <w:p w14:paraId="3EB82D51">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①绩效指标按市级、区县级指标值予以体现得1分</w:t>
      </w:r>
    </w:p>
    <w:p w14:paraId="049F0152">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②绩效目标资金和任务细化到具体单位得1分</w:t>
      </w:r>
    </w:p>
    <w:p w14:paraId="50084F13">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2、资金落实</w:t>
      </w:r>
    </w:p>
    <w:p w14:paraId="15C7ED16">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（1）资金到位率</w:t>
      </w:r>
    </w:p>
    <w:p w14:paraId="0548D5F4">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项目资金2020年度预算总额865.6万元，实际到位865.6万元，资金到位率100%。资金到位率=（865.6万元/865.6万元）×100%=100%，资金到位率100%得1分。</w:t>
      </w:r>
    </w:p>
    <w:p w14:paraId="73B59276">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各项目2020年度预算金额及实际到位情况详见下表（单位：万元）</w:t>
      </w:r>
    </w:p>
    <w:tbl>
      <w:tblPr>
        <w:tblStyle w:val="7"/>
        <w:tblW w:w="9140" w:type="dxa"/>
        <w:tblInd w:w="93" w:type="dxa"/>
        <w:tblLayout w:type="fixed"/>
        <w:tblCellMar>
          <w:top w:w="0" w:type="dxa"/>
          <w:left w:w="108" w:type="dxa"/>
          <w:bottom w:w="0" w:type="dxa"/>
          <w:right w:w="108" w:type="dxa"/>
        </w:tblCellMar>
      </w:tblPr>
      <w:tblGrid>
        <w:gridCol w:w="430"/>
        <w:gridCol w:w="1995"/>
        <w:gridCol w:w="1459"/>
        <w:gridCol w:w="1276"/>
        <w:gridCol w:w="951"/>
        <w:gridCol w:w="1842"/>
        <w:gridCol w:w="1187"/>
      </w:tblGrid>
      <w:tr w14:paraId="7F275A5E">
        <w:tblPrEx>
          <w:tblCellMar>
            <w:top w:w="0" w:type="dxa"/>
            <w:left w:w="108" w:type="dxa"/>
            <w:bottom w:w="0" w:type="dxa"/>
            <w:right w:w="108" w:type="dxa"/>
          </w:tblCellMar>
        </w:tblPrEx>
        <w:trPr>
          <w:trHeight w:val="501" w:hRule="atLeast"/>
        </w:trPr>
        <w:tc>
          <w:tcPr>
            <w:tcW w:w="430" w:type="dxa"/>
            <w:tcBorders>
              <w:top w:val="single" w:color="auto" w:sz="4" w:space="0"/>
              <w:left w:val="single" w:color="auto" w:sz="4" w:space="0"/>
              <w:bottom w:val="single" w:color="auto" w:sz="4" w:space="0"/>
              <w:right w:val="single" w:color="auto" w:sz="4" w:space="0"/>
            </w:tcBorders>
            <w:shd w:val="clear" w:color="auto" w:fill="auto"/>
            <w:vAlign w:val="center"/>
          </w:tcPr>
          <w:p w14:paraId="2DC70456">
            <w:pPr>
              <w:spacing w:line="320" w:lineRule="atLeast"/>
              <w:jc w:val="center"/>
            </w:pPr>
            <w:r>
              <w:rPr>
                <w:rFonts w:hint="eastAsia"/>
              </w:rPr>
              <w:t>序号</w:t>
            </w:r>
          </w:p>
        </w:tc>
        <w:tc>
          <w:tcPr>
            <w:tcW w:w="1995" w:type="dxa"/>
            <w:tcBorders>
              <w:top w:val="single" w:color="auto" w:sz="4" w:space="0"/>
              <w:left w:val="nil"/>
              <w:bottom w:val="single" w:color="auto" w:sz="4" w:space="0"/>
              <w:right w:val="single" w:color="auto" w:sz="4" w:space="0"/>
            </w:tcBorders>
            <w:shd w:val="clear" w:color="auto" w:fill="auto"/>
            <w:vAlign w:val="center"/>
          </w:tcPr>
          <w:p w14:paraId="40BBA6E6">
            <w:pPr>
              <w:spacing w:line="320" w:lineRule="atLeast"/>
              <w:jc w:val="center"/>
              <w:rPr>
                <w:color w:val="000000"/>
              </w:rPr>
            </w:pPr>
            <w:r>
              <w:rPr>
                <w:rFonts w:hint="eastAsia"/>
                <w:color w:val="000000"/>
              </w:rPr>
              <w:t>项目实施单位</w:t>
            </w:r>
          </w:p>
        </w:tc>
        <w:tc>
          <w:tcPr>
            <w:tcW w:w="1459" w:type="dxa"/>
            <w:tcBorders>
              <w:top w:val="single" w:color="auto" w:sz="4" w:space="0"/>
              <w:left w:val="nil"/>
              <w:bottom w:val="single" w:color="auto" w:sz="4" w:space="0"/>
              <w:right w:val="single" w:color="auto" w:sz="4" w:space="0"/>
            </w:tcBorders>
            <w:shd w:val="clear" w:color="auto" w:fill="auto"/>
            <w:vAlign w:val="center"/>
          </w:tcPr>
          <w:p w14:paraId="04D69454">
            <w:pPr>
              <w:spacing w:line="320" w:lineRule="atLeast"/>
              <w:jc w:val="center"/>
            </w:pPr>
            <w:r>
              <w:rPr>
                <w:rFonts w:hint="eastAsia"/>
              </w:rPr>
              <w:t>2020年财政专项预算资金</w:t>
            </w:r>
          </w:p>
        </w:tc>
        <w:tc>
          <w:tcPr>
            <w:tcW w:w="1276" w:type="dxa"/>
            <w:tcBorders>
              <w:top w:val="single" w:color="auto" w:sz="4" w:space="0"/>
              <w:left w:val="nil"/>
              <w:bottom w:val="single" w:color="auto" w:sz="4" w:space="0"/>
              <w:right w:val="single" w:color="auto" w:sz="4" w:space="0"/>
            </w:tcBorders>
            <w:shd w:val="clear" w:color="auto" w:fill="auto"/>
            <w:vAlign w:val="center"/>
          </w:tcPr>
          <w:p w14:paraId="6F1A74F6">
            <w:pPr>
              <w:spacing w:line="320" w:lineRule="atLeast"/>
              <w:jc w:val="center"/>
            </w:pPr>
            <w:r>
              <w:rPr>
                <w:rFonts w:hint="eastAsia"/>
              </w:rPr>
              <w:t>2020年实际到位资金</w:t>
            </w:r>
          </w:p>
        </w:tc>
        <w:tc>
          <w:tcPr>
            <w:tcW w:w="951" w:type="dxa"/>
            <w:tcBorders>
              <w:top w:val="single" w:color="auto" w:sz="4" w:space="0"/>
              <w:left w:val="nil"/>
              <w:bottom w:val="single" w:color="auto" w:sz="4" w:space="0"/>
              <w:right w:val="single" w:color="auto" w:sz="4" w:space="0"/>
            </w:tcBorders>
            <w:shd w:val="clear" w:color="auto" w:fill="auto"/>
            <w:vAlign w:val="center"/>
          </w:tcPr>
          <w:p w14:paraId="2157EAFC">
            <w:pPr>
              <w:spacing w:line="320" w:lineRule="atLeast"/>
              <w:jc w:val="center"/>
            </w:pPr>
            <w:r>
              <w:rPr>
                <w:rFonts w:hint="eastAsia"/>
              </w:rPr>
              <w:t>资金到位率</w:t>
            </w:r>
          </w:p>
        </w:tc>
        <w:tc>
          <w:tcPr>
            <w:tcW w:w="1842" w:type="dxa"/>
            <w:tcBorders>
              <w:top w:val="single" w:color="auto" w:sz="4" w:space="0"/>
              <w:left w:val="nil"/>
              <w:bottom w:val="single" w:color="auto" w:sz="4" w:space="0"/>
              <w:right w:val="single" w:color="auto" w:sz="4" w:space="0"/>
            </w:tcBorders>
            <w:shd w:val="clear" w:color="auto" w:fill="auto"/>
            <w:vAlign w:val="center"/>
          </w:tcPr>
          <w:p w14:paraId="69644997">
            <w:pPr>
              <w:spacing w:line="320" w:lineRule="atLeast"/>
              <w:jc w:val="center"/>
            </w:pPr>
            <w:r>
              <w:rPr>
                <w:rFonts w:hint="eastAsia"/>
              </w:rPr>
              <w:t>下达应急储备预拨资金文件</w:t>
            </w:r>
          </w:p>
        </w:tc>
        <w:tc>
          <w:tcPr>
            <w:tcW w:w="1187" w:type="dxa"/>
            <w:tcBorders>
              <w:top w:val="single" w:color="auto" w:sz="4" w:space="0"/>
              <w:left w:val="nil"/>
              <w:bottom w:val="single" w:color="auto" w:sz="4" w:space="0"/>
              <w:right w:val="single" w:color="auto" w:sz="4" w:space="0"/>
            </w:tcBorders>
            <w:shd w:val="clear" w:color="auto" w:fill="auto"/>
            <w:vAlign w:val="center"/>
          </w:tcPr>
          <w:p w14:paraId="6689D3BC">
            <w:pPr>
              <w:spacing w:line="320" w:lineRule="atLeast"/>
              <w:jc w:val="center"/>
            </w:pPr>
            <w:r>
              <w:rPr>
                <w:rFonts w:hint="eastAsia"/>
              </w:rPr>
              <w:t>定点储备项目级别</w:t>
            </w:r>
          </w:p>
        </w:tc>
      </w:tr>
      <w:tr w14:paraId="7271021E">
        <w:tblPrEx>
          <w:tblCellMar>
            <w:top w:w="0" w:type="dxa"/>
            <w:left w:w="108" w:type="dxa"/>
            <w:bottom w:w="0" w:type="dxa"/>
            <w:right w:w="108" w:type="dxa"/>
          </w:tblCellMar>
        </w:tblPrEx>
        <w:trPr>
          <w:trHeight w:val="670" w:hRule="atLeast"/>
        </w:trPr>
        <w:tc>
          <w:tcPr>
            <w:tcW w:w="430" w:type="dxa"/>
            <w:tcBorders>
              <w:top w:val="nil"/>
              <w:left w:val="single" w:color="auto" w:sz="4" w:space="0"/>
              <w:bottom w:val="single" w:color="auto" w:sz="4" w:space="0"/>
              <w:right w:val="single" w:color="auto" w:sz="4" w:space="0"/>
            </w:tcBorders>
            <w:shd w:val="clear" w:color="auto" w:fill="auto"/>
            <w:vAlign w:val="center"/>
          </w:tcPr>
          <w:p w14:paraId="37BD8AEF">
            <w:pPr>
              <w:spacing w:line="320" w:lineRule="atLeast"/>
              <w:jc w:val="center"/>
            </w:pPr>
            <w:r>
              <w:rPr>
                <w:rFonts w:hint="eastAsia"/>
              </w:rPr>
              <w:t>1</w:t>
            </w:r>
          </w:p>
        </w:tc>
        <w:tc>
          <w:tcPr>
            <w:tcW w:w="1995" w:type="dxa"/>
            <w:tcBorders>
              <w:top w:val="nil"/>
              <w:left w:val="nil"/>
              <w:bottom w:val="single" w:color="auto" w:sz="4" w:space="0"/>
              <w:right w:val="single" w:color="auto" w:sz="4" w:space="0"/>
            </w:tcBorders>
            <w:shd w:val="clear" w:color="auto" w:fill="auto"/>
            <w:vAlign w:val="center"/>
          </w:tcPr>
          <w:p w14:paraId="2253C2E6">
            <w:pPr>
              <w:spacing w:line="320" w:lineRule="atLeast"/>
              <w:jc w:val="center"/>
              <w:rPr>
                <w:color w:val="000000"/>
              </w:rPr>
            </w:pPr>
            <w:r>
              <w:rPr>
                <w:rFonts w:hint="eastAsia"/>
                <w:color w:val="000000"/>
              </w:rPr>
              <w:t>南岸区基层医疗卫生服务管理中心</w:t>
            </w:r>
          </w:p>
        </w:tc>
        <w:tc>
          <w:tcPr>
            <w:tcW w:w="1459" w:type="dxa"/>
            <w:tcBorders>
              <w:top w:val="nil"/>
              <w:left w:val="nil"/>
              <w:bottom w:val="single" w:color="auto" w:sz="4" w:space="0"/>
              <w:right w:val="single" w:color="auto" w:sz="4" w:space="0"/>
            </w:tcBorders>
            <w:shd w:val="clear" w:color="auto" w:fill="auto"/>
            <w:vAlign w:val="center"/>
          </w:tcPr>
          <w:p w14:paraId="5E29C019">
            <w:pPr>
              <w:spacing w:line="320" w:lineRule="atLeast"/>
              <w:jc w:val="center"/>
            </w:pPr>
            <w:r>
              <w:rPr>
                <w:rFonts w:hint="eastAsia"/>
              </w:rPr>
              <w:t>196.00</w:t>
            </w:r>
          </w:p>
        </w:tc>
        <w:tc>
          <w:tcPr>
            <w:tcW w:w="1276" w:type="dxa"/>
            <w:tcBorders>
              <w:top w:val="nil"/>
              <w:left w:val="nil"/>
              <w:bottom w:val="single" w:color="auto" w:sz="4" w:space="0"/>
              <w:right w:val="single" w:color="auto" w:sz="4" w:space="0"/>
            </w:tcBorders>
            <w:shd w:val="clear" w:color="auto" w:fill="auto"/>
            <w:vAlign w:val="center"/>
          </w:tcPr>
          <w:p w14:paraId="3E2FD91C">
            <w:pPr>
              <w:spacing w:line="320" w:lineRule="atLeast"/>
              <w:jc w:val="center"/>
            </w:pPr>
            <w:r>
              <w:rPr>
                <w:rFonts w:hint="eastAsia"/>
              </w:rPr>
              <w:t>196.00</w:t>
            </w:r>
          </w:p>
        </w:tc>
        <w:tc>
          <w:tcPr>
            <w:tcW w:w="951" w:type="dxa"/>
            <w:tcBorders>
              <w:top w:val="nil"/>
              <w:left w:val="nil"/>
              <w:bottom w:val="single" w:color="auto" w:sz="4" w:space="0"/>
              <w:right w:val="single" w:color="auto" w:sz="4" w:space="0"/>
            </w:tcBorders>
            <w:shd w:val="clear" w:color="auto" w:fill="auto"/>
            <w:vAlign w:val="center"/>
          </w:tcPr>
          <w:p w14:paraId="25DB63EF">
            <w:pPr>
              <w:spacing w:line="320" w:lineRule="atLeast"/>
              <w:jc w:val="center"/>
            </w:pPr>
            <w:r>
              <w:rPr>
                <w:rFonts w:hint="eastAsia"/>
              </w:rPr>
              <w:t>100.00%</w:t>
            </w:r>
          </w:p>
        </w:tc>
        <w:tc>
          <w:tcPr>
            <w:tcW w:w="1842" w:type="dxa"/>
            <w:tcBorders>
              <w:top w:val="nil"/>
              <w:left w:val="nil"/>
              <w:bottom w:val="single" w:color="auto" w:sz="4" w:space="0"/>
              <w:right w:val="single" w:color="auto" w:sz="4" w:space="0"/>
            </w:tcBorders>
            <w:shd w:val="clear" w:color="auto" w:fill="auto"/>
            <w:vAlign w:val="center"/>
          </w:tcPr>
          <w:p w14:paraId="79CD343B">
            <w:pPr>
              <w:spacing w:line="320" w:lineRule="atLeast"/>
              <w:jc w:val="center"/>
            </w:pPr>
            <w:r>
              <w:rPr>
                <w:rFonts w:hint="eastAsia"/>
              </w:rPr>
              <w:t>渝财产业[2020]73号</w:t>
            </w:r>
          </w:p>
        </w:tc>
        <w:tc>
          <w:tcPr>
            <w:tcW w:w="1187" w:type="dxa"/>
            <w:tcBorders>
              <w:top w:val="nil"/>
              <w:left w:val="nil"/>
              <w:bottom w:val="single" w:color="auto" w:sz="4" w:space="0"/>
              <w:right w:val="single" w:color="auto" w:sz="4" w:space="0"/>
            </w:tcBorders>
            <w:shd w:val="clear" w:color="auto" w:fill="auto"/>
            <w:vAlign w:val="center"/>
          </w:tcPr>
          <w:p w14:paraId="527ABEC4">
            <w:pPr>
              <w:spacing w:line="320" w:lineRule="atLeast"/>
              <w:jc w:val="center"/>
            </w:pPr>
            <w:r>
              <w:rPr>
                <w:rFonts w:hint="eastAsia"/>
              </w:rPr>
              <w:t>区县定点储备补助</w:t>
            </w:r>
          </w:p>
        </w:tc>
      </w:tr>
      <w:tr w14:paraId="1A6D6280">
        <w:tblPrEx>
          <w:tblCellMar>
            <w:top w:w="0" w:type="dxa"/>
            <w:left w:w="108" w:type="dxa"/>
            <w:bottom w:w="0" w:type="dxa"/>
            <w:right w:w="108" w:type="dxa"/>
          </w:tblCellMar>
        </w:tblPrEx>
        <w:trPr>
          <w:trHeight w:val="600" w:hRule="atLeast"/>
        </w:trPr>
        <w:tc>
          <w:tcPr>
            <w:tcW w:w="430" w:type="dxa"/>
            <w:tcBorders>
              <w:top w:val="nil"/>
              <w:left w:val="single" w:color="auto" w:sz="4" w:space="0"/>
              <w:bottom w:val="single" w:color="auto" w:sz="4" w:space="0"/>
              <w:right w:val="single" w:color="auto" w:sz="4" w:space="0"/>
            </w:tcBorders>
            <w:shd w:val="clear" w:color="auto" w:fill="auto"/>
            <w:vAlign w:val="center"/>
          </w:tcPr>
          <w:p w14:paraId="145009E3">
            <w:pPr>
              <w:spacing w:line="320" w:lineRule="atLeast"/>
              <w:jc w:val="center"/>
            </w:pPr>
            <w:r>
              <w:rPr>
                <w:rFonts w:hint="eastAsia"/>
              </w:rPr>
              <w:t>2</w:t>
            </w:r>
          </w:p>
        </w:tc>
        <w:tc>
          <w:tcPr>
            <w:tcW w:w="1995" w:type="dxa"/>
            <w:tcBorders>
              <w:top w:val="nil"/>
              <w:left w:val="nil"/>
              <w:bottom w:val="single" w:color="auto" w:sz="4" w:space="0"/>
              <w:right w:val="single" w:color="auto" w:sz="4" w:space="0"/>
            </w:tcBorders>
            <w:shd w:val="clear" w:color="auto" w:fill="auto"/>
            <w:vAlign w:val="center"/>
          </w:tcPr>
          <w:p w14:paraId="65A59EE6">
            <w:pPr>
              <w:spacing w:line="320" w:lineRule="atLeast"/>
              <w:jc w:val="center"/>
              <w:rPr>
                <w:color w:val="000000"/>
              </w:rPr>
            </w:pPr>
            <w:r>
              <w:rPr>
                <w:rFonts w:hint="eastAsia"/>
                <w:color w:val="000000"/>
              </w:rPr>
              <w:t>国药控股重庆医疗器械公司</w:t>
            </w:r>
          </w:p>
        </w:tc>
        <w:tc>
          <w:tcPr>
            <w:tcW w:w="1459" w:type="dxa"/>
            <w:tcBorders>
              <w:top w:val="nil"/>
              <w:left w:val="nil"/>
              <w:bottom w:val="single" w:color="auto" w:sz="4" w:space="0"/>
              <w:right w:val="single" w:color="auto" w:sz="4" w:space="0"/>
            </w:tcBorders>
            <w:shd w:val="clear" w:color="auto" w:fill="auto"/>
            <w:vAlign w:val="center"/>
          </w:tcPr>
          <w:p w14:paraId="2B5E47E9">
            <w:pPr>
              <w:spacing w:line="320" w:lineRule="atLeast"/>
              <w:jc w:val="center"/>
            </w:pPr>
            <w:r>
              <w:rPr>
                <w:rFonts w:hint="eastAsia"/>
              </w:rPr>
              <w:t>56.00</w:t>
            </w:r>
          </w:p>
        </w:tc>
        <w:tc>
          <w:tcPr>
            <w:tcW w:w="1276" w:type="dxa"/>
            <w:tcBorders>
              <w:top w:val="nil"/>
              <w:left w:val="nil"/>
              <w:bottom w:val="single" w:color="auto" w:sz="4" w:space="0"/>
              <w:right w:val="single" w:color="auto" w:sz="4" w:space="0"/>
            </w:tcBorders>
            <w:shd w:val="clear" w:color="auto" w:fill="auto"/>
            <w:vAlign w:val="center"/>
          </w:tcPr>
          <w:p w14:paraId="6F78CA27">
            <w:pPr>
              <w:spacing w:line="320" w:lineRule="atLeast"/>
              <w:jc w:val="center"/>
            </w:pPr>
            <w:r>
              <w:rPr>
                <w:rFonts w:hint="eastAsia"/>
              </w:rPr>
              <w:t>56.00</w:t>
            </w:r>
          </w:p>
        </w:tc>
        <w:tc>
          <w:tcPr>
            <w:tcW w:w="951" w:type="dxa"/>
            <w:tcBorders>
              <w:top w:val="nil"/>
              <w:left w:val="nil"/>
              <w:bottom w:val="single" w:color="auto" w:sz="4" w:space="0"/>
              <w:right w:val="single" w:color="auto" w:sz="4" w:space="0"/>
            </w:tcBorders>
            <w:shd w:val="clear" w:color="auto" w:fill="auto"/>
            <w:vAlign w:val="center"/>
          </w:tcPr>
          <w:p w14:paraId="7E1EC116">
            <w:pPr>
              <w:spacing w:line="320" w:lineRule="atLeast"/>
              <w:jc w:val="center"/>
            </w:pPr>
            <w:r>
              <w:rPr>
                <w:rFonts w:hint="eastAsia"/>
              </w:rPr>
              <w:t>100.00%</w:t>
            </w:r>
          </w:p>
        </w:tc>
        <w:tc>
          <w:tcPr>
            <w:tcW w:w="1842" w:type="dxa"/>
            <w:vMerge w:val="restart"/>
            <w:tcBorders>
              <w:top w:val="nil"/>
              <w:left w:val="single" w:color="auto" w:sz="4" w:space="0"/>
              <w:bottom w:val="single" w:color="auto" w:sz="4" w:space="0"/>
              <w:right w:val="single" w:color="auto" w:sz="4" w:space="0"/>
            </w:tcBorders>
            <w:shd w:val="clear" w:color="auto" w:fill="auto"/>
            <w:vAlign w:val="center"/>
          </w:tcPr>
          <w:p w14:paraId="741E9CA8">
            <w:pPr>
              <w:spacing w:line="320" w:lineRule="atLeast"/>
              <w:jc w:val="center"/>
            </w:pPr>
            <w:r>
              <w:rPr>
                <w:rFonts w:hint="eastAsia"/>
              </w:rPr>
              <w:t>渝财产业[2020]73号、渝财产业[2020]87号、渝财产业[2020]195号</w:t>
            </w:r>
          </w:p>
        </w:tc>
        <w:tc>
          <w:tcPr>
            <w:tcW w:w="1187" w:type="dxa"/>
            <w:vMerge w:val="restart"/>
            <w:tcBorders>
              <w:top w:val="nil"/>
              <w:left w:val="single" w:color="auto" w:sz="4" w:space="0"/>
              <w:bottom w:val="single" w:color="auto" w:sz="4" w:space="0"/>
              <w:right w:val="single" w:color="auto" w:sz="4" w:space="0"/>
            </w:tcBorders>
            <w:shd w:val="clear" w:color="auto" w:fill="auto"/>
            <w:vAlign w:val="center"/>
          </w:tcPr>
          <w:p w14:paraId="30686F1A">
            <w:pPr>
              <w:spacing w:line="320" w:lineRule="atLeast"/>
              <w:jc w:val="center"/>
            </w:pPr>
            <w:r>
              <w:rPr>
                <w:rFonts w:hint="eastAsia"/>
              </w:rPr>
              <w:t>市级定点储备补助</w:t>
            </w:r>
          </w:p>
        </w:tc>
      </w:tr>
      <w:tr w14:paraId="3D2FD625">
        <w:tblPrEx>
          <w:tblCellMar>
            <w:top w:w="0" w:type="dxa"/>
            <w:left w:w="108" w:type="dxa"/>
            <w:bottom w:w="0" w:type="dxa"/>
            <w:right w:w="108" w:type="dxa"/>
          </w:tblCellMar>
        </w:tblPrEx>
        <w:trPr>
          <w:trHeight w:val="600" w:hRule="atLeast"/>
        </w:trPr>
        <w:tc>
          <w:tcPr>
            <w:tcW w:w="430" w:type="dxa"/>
            <w:tcBorders>
              <w:top w:val="nil"/>
              <w:left w:val="single" w:color="auto" w:sz="4" w:space="0"/>
              <w:bottom w:val="single" w:color="auto" w:sz="4" w:space="0"/>
              <w:right w:val="single" w:color="auto" w:sz="4" w:space="0"/>
            </w:tcBorders>
            <w:shd w:val="clear" w:color="auto" w:fill="auto"/>
            <w:vAlign w:val="center"/>
          </w:tcPr>
          <w:p w14:paraId="2ADE72A3">
            <w:pPr>
              <w:spacing w:line="320" w:lineRule="atLeast"/>
              <w:jc w:val="center"/>
            </w:pPr>
            <w:r>
              <w:rPr>
                <w:rFonts w:hint="eastAsia"/>
              </w:rPr>
              <w:t>3</w:t>
            </w:r>
          </w:p>
        </w:tc>
        <w:tc>
          <w:tcPr>
            <w:tcW w:w="1995" w:type="dxa"/>
            <w:tcBorders>
              <w:top w:val="nil"/>
              <w:left w:val="nil"/>
              <w:bottom w:val="single" w:color="auto" w:sz="4" w:space="0"/>
              <w:right w:val="single" w:color="auto" w:sz="4" w:space="0"/>
            </w:tcBorders>
            <w:shd w:val="clear" w:color="auto" w:fill="auto"/>
            <w:vAlign w:val="center"/>
          </w:tcPr>
          <w:p w14:paraId="634C4A28">
            <w:pPr>
              <w:spacing w:line="320" w:lineRule="atLeast"/>
              <w:jc w:val="center"/>
              <w:rPr>
                <w:color w:val="000000"/>
              </w:rPr>
            </w:pPr>
            <w:r>
              <w:rPr>
                <w:rFonts w:hint="eastAsia"/>
                <w:color w:val="000000"/>
              </w:rPr>
              <w:t>国药控制重庆泰民医药公司</w:t>
            </w:r>
          </w:p>
        </w:tc>
        <w:tc>
          <w:tcPr>
            <w:tcW w:w="1459" w:type="dxa"/>
            <w:tcBorders>
              <w:top w:val="nil"/>
              <w:left w:val="nil"/>
              <w:bottom w:val="single" w:color="auto" w:sz="4" w:space="0"/>
              <w:right w:val="single" w:color="auto" w:sz="4" w:space="0"/>
            </w:tcBorders>
            <w:shd w:val="clear" w:color="auto" w:fill="auto"/>
            <w:vAlign w:val="center"/>
          </w:tcPr>
          <w:p w14:paraId="2F2062F4">
            <w:pPr>
              <w:spacing w:line="320" w:lineRule="atLeast"/>
              <w:jc w:val="center"/>
            </w:pPr>
            <w:r>
              <w:rPr>
                <w:rFonts w:hint="eastAsia"/>
              </w:rPr>
              <w:t>613.60</w:t>
            </w:r>
          </w:p>
        </w:tc>
        <w:tc>
          <w:tcPr>
            <w:tcW w:w="1276" w:type="dxa"/>
            <w:tcBorders>
              <w:top w:val="nil"/>
              <w:left w:val="nil"/>
              <w:bottom w:val="single" w:color="auto" w:sz="4" w:space="0"/>
              <w:right w:val="single" w:color="auto" w:sz="4" w:space="0"/>
            </w:tcBorders>
            <w:shd w:val="clear" w:color="auto" w:fill="auto"/>
            <w:vAlign w:val="center"/>
          </w:tcPr>
          <w:p w14:paraId="1E5C37D9">
            <w:pPr>
              <w:spacing w:line="320" w:lineRule="atLeast"/>
              <w:jc w:val="center"/>
            </w:pPr>
            <w:r>
              <w:rPr>
                <w:rFonts w:hint="eastAsia"/>
              </w:rPr>
              <w:t>613.60</w:t>
            </w:r>
          </w:p>
        </w:tc>
        <w:tc>
          <w:tcPr>
            <w:tcW w:w="951" w:type="dxa"/>
            <w:tcBorders>
              <w:top w:val="nil"/>
              <w:left w:val="nil"/>
              <w:bottom w:val="single" w:color="auto" w:sz="4" w:space="0"/>
              <w:right w:val="single" w:color="auto" w:sz="4" w:space="0"/>
            </w:tcBorders>
            <w:shd w:val="clear" w:color="auto" w:fill="auto"/>
            <w:vAlign w:val="center"/>
          </w:tcPr>
          <w:p w14:paraId="43C942E5">
            <w:pPr>
              <w:spacing w:line="320" w:lineRule="atLeast"/>
              <w:jc w:val="center"/>
            </w:pPr>
            <w:r>
              <w:rPr>
                <w:rFonts w:hint="eastAsia"/>
              </w:rPr>
              <w:t>100.00%</w:t>
            </w:r>
          </w:p>
        </w:tc>
        <w:tc>
          <w:tcPr>
            <w:tcW w:w="1842" w:type="dxa"/>
            <w:vMerge w:val="continue"/>
            <w:tcBorders>
              <w:top w:val="nil"/>
              <w:left w:val="single" w:color="auto" w:sz="4" w:space="0"/>
              <w:bottom w:val="single" w:color="auto" w:sz="4" w:space="0"/>
              <w:right w:val="single" w:color="auto" w:sz="4" w:space="0"/>
            </w:tcBorders>
            <w:vAlign w:val="center"/>
          </w:tcPr>
          <w:p w14:paraId="6D6A4F93">
            <w:pPr>
              <w:spacing w:line="320" w:lineRule="atLeast"/>
              <w:jc w:val="center"/>
            </w:pPr>
          </w:p>
        </w:tc>
        <w:tc>
          <w:tcPr>
            <w:tcW w:w="1187" w:type="dxa"/>
            <w:vMerge w:val="continue"/>
            <w:tcBorders>
              <w:top w:val="nil"/>
              <w:left w:val="single" w:color="auto" w:sz="4" w:space="0"/>
              <w:bottom w:val="single" w:color="auto" w:sz="4" w:space="0"/>
              <w:right w:val="single" w:color="auto" w:sz="4" w:space="0"/>
            </w:tcBorders>
            <w:vAlign w:val="center"/>
          </w:tcPr>
          <w:p w14:paraId="2605D8A2">
            <w:pPr>
              <w:spacing w:line="320" w:lineRule="atLeast"/>
              <w:jc w:val="center"/>
            </w:pPr>
          </w:p>
        </w:tc>
      </w:tr>
      <w:tr w14:paraId="5A595553">
        <w:tblPrEx>
          <w:tblCellMar>
            <w:top w:w="0" w:type="dxa"/>
            <w:left w:w="108" w:type="dxa"/>
            <w:bottom w:w="0" w:type="dxa"/>
            <w:right w:w="108" w:type="dxa"/>
          </w:tblCellMar>
        </w:tblPrEx>
        <w:trPr>
          <w:trHeight w:val="504" w:hRule="atLeast"/>
        </w:trPr>
        <w:tc>
          <w:tcPr>
            <w:tcW w:w="430" w:type="dxa"/>
            <w:tcBorders>
              <w:top w:val="nil"/>
              <w:left w:val="single" w:color="auto" w:sz="4" w:space="0"/>
              <w:bottom w:val="single" w:color="auto" w:sz="4" w:space="0"/>
              <w:right w:val="single" w:color="auto" w:sz="4" w:space="0"/>
            </w:tcBorders>
            <w:shd w:val="clear" w:color="auto" w:fill="auto"/>
            <w:vAlign w:val="center"/>
          </w:tcPr>
          <w:p w14:paraId="46E95E40">
            <w:pPr>
              <w:spacing w:line="320" w:lineRule="atLeast"/>
              <w:jc w:val="center"/>
            </w:pPr>
          </w:p>
        </w:tc>
        <w:tc>
          <w:tcPr>
            <w:tcW w:w="1995" w:type="dxa"/>
            <w:tcBorders>
              <w:top w:val="nil"/>
              <w:left w:val="nil"/>
              <w:bottom w:val="single" w:color="auto" w:sz="4" w:space="0"/>
              <w:right w:val="single" w:color="auto" w:sz="4" w:space="0"/>
            </w:tcBorders>
            <w:shd w:val="clear" w:color="auto" w:fill="auto"/>
            <w:vAlign w:val="center"/>
          </w:tcPr>
          <w:p w14:paraId="2AF065C6">
            <w:pPr>
              <w:spacing w:line="320" w:lineRule="atLeast"/>
              <w:jc w:val="center"/>
              <w:rPr>
                <w:color w:val="000000"/>
              </w:rPr>
            </w:pPr>
            <w:r>
              <w:rPr>
                <w:rFonts w:hint="eastAsia"/>
                <w:color w:val="000000"/>
              </w:rPr>
              <w:t>合计</w:t>
            </w:r>
          </w:p>
        </w:tc>
        <w:tc>
          <w:tcPr>
            <w:tcW w:w="1459" w:type="dxa"/>
            <w:tcBorders>
              <w:top w:val="nil"/>
              <w:left w:val="nil"/>
              <w:bottom w:val="single" w:color="auto" w:sz="4" w:space="0"/>
              <w:right w:val="single" w:color="auto" w:sz="4" w:space="0"/>
            </w:tcBorders>
            <w:shd w:val="clear" w:color="auto" w:fill="auto"/>
            <w:vAlign w:val="center"/>
          </w:tcPr>
          <w:p w14:paraId="68AFCDDA">
            <w:pPr>
              <w:spacing w:line="320" w:lineRule="atLeast"/>
              <w:jc w:val="center"/>
            </w:pPr>
            <w:r>
              <w:rPr>
                <w:rFonts w:hint="eastAsia"/>
              </w:rPr>
              <w:t>865.60</w:t>
            </w:r>
          </w:p>
        </w:tc>
        <w:tc>
          <w:tcPr>
            <w:tcW w:w="1276" w:type="dxa"/>
            <w:tcBorders>
              <w:top w:val="nil"/>
              <w:left w:val="nil"/>
              <w:bottom w:val="single" w:color="auto" w:sz="4" w:space="0"/>
              <w:right w:val="single" w:color="auto" w:sz="4" w:space="0"/>
            </w:tcBorders>
            <w:shd w:val="clear" w:color="auto" w:fill="auto"/>
            <w:vAlign w:val="center"/>
          </w:tcPr>
          <w:p w14:paraId="71949442">
            <w:pPr>
              <w:spacing w:line="320" w:lineRule="atLeast"/>
              <w:jc w:val="center"/>
            </w:pPr>
            <w:r>
              <w:rPr>
                <w:rFonts w:hint="eastAsia"/>
              </w:rPr>
              <w:t>865.60</w:t>
            </w:r>
          </w:p>
        </w:tc>
        <w:tc>
          <w:tcPr>
            <w:tcW w:w="951" w:type="dxa"/>
            <w:tcBorders>
              <w:top w:val="nil"/>
              <w:left w:val="nil"/>
              <w:bottom w:val="single" w:color="auto" w:sz="4" w:space="0"/>
              <w:right w:val="single" w:color="auto" w:sz="4" w:space="0"/>
            </w:tcBorders>
            <w:shd w:val="clear" w:color="auto" w:fill="auto"/>
            <w:vAlign w:val="center"/>
          </w:tcPr>
          <w:p w14:paraId="4A83ECE9">
            <w:pPr>
              <w:spacing w:line="320" w:lineRule="atLeast"/>
              <w:jc w:val="center"/>
            </w:pPr>
            <w:r>
              <w:rPr>
                <w:rFonts w:hint="eastAsia"/>
              </w:rPr>
              <w:t>100.00%</w:t>
            </w:r>
          </w:p>
        </w:tc>
        <w:tc>
          <w:tcPr>
            <w:tcW w:w="1842" w:type="dxa"/>
            <w:tcBorders>
              <w:top w:val="nil"/>
              <w:left w:val="nil"/>
              <w:bottom w:val="single" w:color="auto" w:sz="4" w:space="0"/>
              <w:right w:val="single" w:color="auto" w:sz="4" w:space="0"/>
            </w:tcBorders>
            <w:shd w:val="clear" w:color="auto" w:fill="auto"/>
            <w:vAlign w:val="center"/>
          </w:tcPr>
          <w:p w14:paraId="310D932B">
            <w:pPr>
              <w:spacing w:line="320" w:lineRule="atLeast"/>
              <w:jc w:val="center"/>
            </w:pPr>
          </w:p>
        </w:tc>
        <w:tc>
          <w:tcPr>
            <w:tcW w:w="1187" w:type="dxa"/>
            <w:tcBorders>
              <w:top w:val="nil"/>
              <w:left w:val="nil"/>
              <w:bottom w:val="single" w:color="auto" w:sz="4" w:space="0"/>
              <w:right w:val="single" w:color="auto" w:sz="4" w:space="0"/>
            </w:tcBorders>
            <w:shd w:val="clear" w:color="auto" w:fill="auto"/>
            <w:vAlign w:val="center"/>
          </w:tcPr>
          <w:p w14:paraId="60B83254">
            <w:pPr>
              <w:spacing w:line="320" w:lineRule="atLeast"/>
              <w:jc w:val="center"/>
            </w:pPr>
          </w:p>
        </w:tc>
      </w:tr>
    </w:tbl>
    <w:p w14:paraId="551E99FD">
      <w:pPr>
        <w:pStyle w:val="13"/>
        <w:tabs>
          <w:tab w:val="center" w:pos="4153"/>
          <w:tab w:val="left" w:pos="7275"/>
        </w:tabs>
        <w:spacing w:line="600" w:lineRule="exact"/>
        <w:ind w:firstLine="0" w:firstLineChars="0"/>
        <w:rPr>
          <w:rFonts w:ascii="方正仿宋_GBK" w:hAnsi="宋体" w:eastAsia="方正仿宋_GBK" w:cs="宋体"/>
          <w:b/>
          <w:kern w:val="0"/>
          <w:sz w:val="32"/>
          <w:szCs w:val="32"/>
        </w:rPr>
      </w:pPr>
    </w:p>
    <w:p w14:paraId="760D4FF9">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（2）资金到位及时率</w:t>
      </w:r>
    </w:p>
    <w:p w14:paraId="69106934">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到位及时率=（及时到位资金/到位总资金）×100%</w:t>
      </w:r>
    </w:p>
    <w:p w14:paraId="38AF69D4">
      <w:pPr>
        <w:pStyle w:val="13"/>
        <w:tabs>
          <w:tab w:val="center" w:pos="4153"/>
          <w:tab w:val="left" w:pos="7275"/>
        </w:tabs>
        <w:spacing w:line="600" w:lineRule="exact"/>
        <w:ind w:firstLine="0" w:firstLineChars="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=（865.6万元/865.6万元）×100%=100%</w:t>
      </w:r>
    </w:p>
    <w:p w14:paraId="4F5D8B03">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资金到位及时率100%得1分。</w:t>
      </w:r>
    </w:p>
    <w:p w14:paraId="57CC9E45">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（二）项目管理情况分析。</w:t>
      </w:r>
    </w:p>
    <w:p w14:paraId="3983F902">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项目管理总分20分，实际得分16分。</w:t>
      </w:r>
    </w:p>
    <w:p w14:paraId="0EC2475C">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1.业务管理</w:t>
      </w:r>
    </w:p>
    <w:p w14:paraId="533E1767">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（1）管理制度健全性</w:t>
      </w:r>
    </w:p>
    <w:p w14:paraId="06BA4CEE">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已制定或具有相应的业务管理制度得2分。南岸区卫健委对区级应急物资储备制定了《南岸区卫生应急物资储备工作实施方案》（以下简称《方案》），《方案》确定南岸区基层医疗卫生服务管理中心（以下简称南岸区基药管理中心）负责集中物资储备的日常管理，南岸区基药管理中心与代储单位国药控股重庆医疗器械有限公司签订了《应急物资代储协议书》。重庆市财政局、重庆市经济和信息化委员会对市级定点储备物资印发了《关于印发重庆市新冠肺炎疫情防控物资储备补偿管理暂行办法的通知》，得2分；业务管理制度合法、合规、完整，得2分，共计得4分。</w:t>
      </w:r>
    </w:p>
    <w:p w14:paraId="7FDA34BF">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（2）制度执行有效性</w:t>
      </w:r>
    </w:p>
    <w:p w14:paraId="35481E1F">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项目实施与已制定相关业务管理规定完全相符得2分，部分不相符扣1分，完全不相符扣2分。南岸区基药管理中心制定了《南岸区卫生应急储备物资议价方案》，判断标准为“须议价成员3/4以上同意方可确定储备品种的生产厂家和价格，”部分区级应急储备物资的生产厂家与代储协议约定的生产厂家不一致，更换应急物资生产厂家未提交议价小组重新议价，未严格执行《南岸区卫生应急储备物资议价方案》，部分相符扣1分，实际得分1分。</w:t>
      </w:r>
    </w:p>
    <w:p w14:paraId="547A71D6">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（3）项目质量可控性</w:t>
      </w:r>
    </w:p>
    <w:p w14:paraId="5DB081DB">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项目实施与已签订的合同规定完全相符得2分，部分相符扣1分，完全不符扣2分。南岸区基药管理中心与代储单位国药医疗器械公司签订的《代储协议》约定：代储单位建立台账，每周定期上报物资情况，设立物资效期预警机制，部分物资已到有效期预警期，代储单位未履行上报程序，未严格执行《代储协议》的约定，部分相符扣1分，实际得1分。</w:t>
      </w:r>
    </w:p>
    <w:p w14:paraId="3DBF8DD0">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2.财务管理。</w:t>
      </w:r>
    </w:p>
    <w:p w14:paraId="2338FA51">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（1）管理制度健全性</w:t>
      </w:r>
    </w:p>
    <w:p w14:paraId="3A28D9DC">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南岸区卫健委已制定《资金管理暂行办法》（南卫计发〔2018〕470号 ）、《专项资金管理暂行办法（试行）》和《进一步规范基本公共卫生服务会计核算》（南卫计发〔2018〕489号），《财务定期巡查制度》（南卫计发[2018]292号），财务管理制度完整、规范，得2分。</w:t>
      </w:r>
    </w:p>
    <w:p w14:paraId="5643EB60">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（2）资金使用合规性</w:t>
      </w:r>
    </w:p>
    <w:p w14:paraId="087CE16E">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①符合国家财经法规和财务管理制度以及有关专项资金管理办法的规定，得1分，不符合扣1分；</w:t>
      </w:r>
    </w:p>
    <w:p w14:paraId="0DDD2B3F">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②资金的拨付有完整的审批程序和手续，得1分；</w:t>
      </w:r>
    </w:p>
    <w:p w14:paraId="62203166">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③符合项目预算批复或合同规定的用途，得1分；</w:t>
      </w:r>
    </w:p>
    <w:p w14:paraId="1086AE94">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④是否存在截留、挤占、挪用、虚列支出等情况，不存在得1分，存在扣1分。</w:t>
      </w:r>
    </w:p>
    <w:p w14:paraId="01EE357A">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重庆市经济和信息化委员会《关于移交疫情防控储备物资的通知》要求，市级定点储备单位2020年12月31日前将库存物资移交至重庆医药（集团）股份有限公司集中收储。2020年7月31日后销售物资资金，划转至重庆医药（集团）股份有限公司防疫物资专户暂时保管。国药泰民公司2020年7月31日后销售防疫物资资金194,903.57元，目前未按重庆市经济和信息化委员会《关于移交疫情防控储备物资的通知》划转重庆医药（集团）股份有限公司防疫物资专户保管，资金使用合规性4分扣2分，实际得2分。</w:t>
      </w:r>
    </w:p>
    <w:p w14:paraId="46CE479E">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（3）财务监控有效性</w:t>
      </w:r>
    </w:p>
    <w:p w14:paraId="3BB807E3">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财务监控方面，按《财务定期巡查制度》采取了财务检查、考核等控制措施或手段，得2分。</w:t>
      </w:r>
    </w:p>
    <w:p w14:paraId="38D95666">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（三）项目绩效情况分析</w:t>
      </w:r>
    </w:p>
    <w:p w14:paraId="3B166B51">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1.项目产出分析（总分40分，实际得分40分）</w:t>
      </w:r>
    </w:p>
    <w:p w14:paraId="73B054B8">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（1）疫情防控应急储备物资产出数量</w:t>
      </w:r>
    </w:p>
    <w:tbl>
      <w:tblPr>
        <w:tblStyle w:val="7"/>
        <w:tblW w:w="9073" w:type="dxa"/>
        <w:tblInd w:w="-34" w:type="dxa"/>
        <w:tblLayout w:type="fixed"/>
        <w:tblCellMar>
          <w:top w:w="0" w:type="dxa"/>
          <w:left w:w="108" w:type="dxa"/>
          <w:bottom w:w="0" w:type="dxa"/>
          <w:right w:w="108" w:type="dxa"/>
        </w:tblCellMar>
      </w:tblPr>
      <w:tblGrid>
        <w:gridCol w:w="889"/>
        <w:gridCol w:w="771"/>
        <w:gridCol w:w="1075"/>
        <w:gridCol w:w="4111"/>
        <w:gridCol w:w="951"/>
        <w:gridCol w:w="567"/>
        <w:gridCol w:w="709"/>
      </w:tblGrid>
      <w:tr w14:paraId="702092B8">
        <w:tblPrEx>
          <w:tblCellMar>
            <w:top w:w="0" w:type="dxa"/>
            <w:left w:w="108" w:type="dxa"/>
            <w:bottom w:w="0" w:type="dxa"/>
            <w:right w:w="108" w:type="dxa"/>
          </w:tblCellMar>
        </w:tblPrEx>
        <w:trPr>
          <w:trHeight w:val="984" w:hRule="atLeast"/>
        </w:trPr>
        <w:tc>
          <w:tcPr>
            <w:tcW w:w="889" w:type="dxa"/>
            <w:tcBorders>
              <w:top w:val="single" w:color="auto" w:sz="4" w:space="0"/>
              <w:left w:val="single" w:color="auto" w:sz="4" w:space="0"/>
              <w:bottom w:val="single" w:color="auto" w:sz="4" w:space="0"/>
              <w:right w:val="single" w:color="auto" w:sz="4" w:space="0"/>
            </w:tcBorders>
            <w:shd w:val="clear" w:color="auto" w:fill="auto"/>
            <w:vAlign w:val="center"/>
          </w:tcPr>
          <w:p w14:paraId="3B26D2D5">
            <w:pPr>
              <w:spacing w:line="300" w:lineRule="exact"/>
              <w:jc w:val="center"/>
            </w:pPr>
            <w:r>
              <w:rPr>
                <w:rFonts w:hint="eastAsia"/>
              </w:rPr>
              <w:t>项目实施单位</w:t>
            </w:r>
          </w:p>
        </w:tc>
        <w:tc>
          <w:tcPr>
            <w:tcW w:w="771" w:type="dxa"/>
            <w:tcBorders>
              <w:top w:val="single" w:color="auto" w:sz="4" w:space="0"/>
              <w:left w:val="nil"/>
              <w:bottom w:val="single" w:color="auto" w:sz="4" w:space="0"/>
              <w:right w:val="single" w:color="auto" w:sz="4" w:space="0"/>
            </w:tcBorders>
            <w:shd w:val="clear" w:color="auto" w:fill="auto"/>
            <w:vAlign w:val="center"/>
          </w:tcPr>
          <w:p w14:paraId="0C50AA68">
            <w:pPr>
              <w:spacing w:line="300" w:lineRule="exact"/>
              <w:jc w:val="center"/>
            </w:pPr>
            <w:r>
              <w:rPr>
                <w:rFonts w:hint="eastAsia"/>
              </w:rPr>
              <w:t>储备物资类别</w:t>
            </w:r>
          </w:p>
        </w:tc>
        <w:tc>
          <w:tcPr>
            <w:tcW w:w="1075" w:type="dxa"/>
            <w:tcBorders>
              <w:top w:val="single" w:color="auto" w:sz="4" w:space="0"/>
              <w:left w:val="nil"/>
              <w:bottom w:val="single" w:color="auto" w:sz="4" w:space="0"/>
              <w:right w:val="single" w:color="auto" w:sz="4" w:space="0"/>
            </w:tcBorders>
            <w:shd w:val="clear" w:color="auto" w:fill="auto"/>
            <w:vAlign w:val="center"/>
          </w:tcPr>
          <w:p w14:paraId="7412D6FB">
            <w:pPr>
              <w:spacing w:line="300" w:lineRule="exact"/>
              <w:jc w:val="center"/>
            </w:pPr>
            <w:r>
              <w:rPr>
                <w:rFonts w:hint="eastAsia"/>
              </w:rPr>
              <w:t>储备总数量(个/瓶/套）</w:t>
            </w:r>
          </w:p>
        </w:tc>
        <w:tc>
          <w:tcPr>
            <w:tcW w:w="4111" w:type="dxa"/>
            <w:tcBorders>
              <w:top w:val="single" w:color="auto" w:sz="4" w:space="0"/>
              <w:left w:val="nil"/>
              <w:bottom w:val="single" w:color="auto" w:sz="4" w:space="0"/>
              <w:right w:val="single" w:color="auto" w:sz="4" w:space="0"/>
            </w:tcBorders>
            <w:shd w:val="clear" w:color="auto" w:fill="auto"/>
            <w:vAlign w:val="center"/>
          </w:tcPr>
          <w:p w14:paraId="23225568">
            <w:pPr>
              <w:spacing w:line="300" w:lineRule="exact"/>
              <w:jc w:val="center"/>
            </w:pPr>
            <w:r>
              <w:rPr>
                <w:rFonts w:hint="eastAsia"/>
              </w:rPr>
              <w:t>储备具体数量(个/台/瓶/套）</w:t>
            </w:r>
          </w:p>
        </w:tc>
        <w:tc>
          <w:tcPr>
            <w:tcW w:w="951" w:type="dxa"/>
            <w:tcBorders>
              <w:top w:val="single" w:color="auto" w:sz="4" w:space="0"/>
              <w:left w:val="nil"/>
              <w:bottom w:val="single" w:color="auto" w:sz="4" w:space="0"/>
              <w:right w:val="single" w:color="auto" w:sz="4" w:space="0"/>
            </w:tcBorders>
            <w:shd w:val="clear" w:color="auto" w:fill="auto"/>
            <w:vAlign w:val="center"/>
          </w:tcPr>
          <w:p w14:paraId="11930FE5">
            <w:pPr>
              <w:spacing w:line="300" w:lineRule="exact"/>
              <w:jc w:val="center"/>
            </w:pPr>
            <w:r>
              <w:rPr>
                <w:rFonts w:hint="eastAsia"/>
              </w:rPr>
              <w:t>完成  情况</w:t>
            </w:r>
          </w:p>
        </w:tc>
        <w:tc>
          <w:tcPr>
            <w:tcW w:w="567" w:type="dxa"/>
            <w:tcBorders>
              <w:top w:val="single" w:color="auto" w:sz="4" w:space="0"/>
              <w:left w:val="nil"/>
              <w:bottom w:val="single" w:color="auto" w:sz="4" w:space="0"/>
              <w:right w:val="single" w:color="auto" w:sz="4" w:space="0"/>
            </w:tcBorders>
            <w:shd w:val="clear" w:color="auto" w:fill="auto"/>
            <w:vAlign w:val="center"/>
          </w:tcPr>
          <w:p w14:paraId="48C11A1C">
            <w:pPr>
              <w:spacing w:line="300" w:lineRule="exact"/>
              <w:jc w:val="center"/>
            </w:pPr>
            <w:r>
              <w:rPr>
                <w:rFonts w:hint="eastAsia"/>
              </w:rPr>
              <w:t>标准分</w:t>
            </w:r>
          </w:p>
        </w:tc>
        <w:tc>
          <w:tcPr>
            <w:tcW w:w="709" w:type="dxa"/>
            <w:tcBorders>
              <w:top w:val="single" w:color="auto" w:sz="4" w:space="0"/>
              <w:left w:val="nil"/>
              <w:bottom w:val="single" w:color="auto" w:sz="4" w:space="0"/>
              <w:right w:val="single" w:color="auto" w:sz="4" w:space="0"/>
            </w:tcBorders>
            <w:shd w:val="clear" w:color="auto" w:fill="auto"/>
            <w:vAlign w:val="center"/>
          </w:tcPr>
          <w:p w14:paraId="6AB40501">
            <w:pPr>
              <w:spacing w:line="300" w:lineRule="exact"/>
              <w:jc w:val="center"/>
            </w:pPr>
            <w:r>
              <w:rPr>
                <w:rFonts w:hint="eastAsia"/>
              </w:rPr>
              <w:t>实际得分</w:t>
            </w:r>
          </w:p>
        </w:tc>
      </w:tr>
      <w:tr w14:paraId="2C9D98FB">
        <w:tblPrEx>
          <w:tblCellMar>
            <w:top w:w="0" w:type="dxa"/>
            <w:left w:w="108" w:type="dxa"/>
            <w:bottom w:w="0" w:type="dxa"/>
            <w:right w:w="108" w:type="dxa"/>
          </w:tblCellMar>
        </w:tblPrEx>
        <w:trPr>
          <w:trHeight w:val="2106" w:hRule="atLeast"/>
        </w:trPr>
        <w:tc>
          <w:tcPr>
            <w:tcW w:w="88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F21C38">
            <w:pPr>
              <w:spacing w:line="300" w:lineRule="exact"/>
              <w:jc w:val="center"/>
            </w:pPr>
            <w:r>
              <w:rPr>
                <w:rFonts w:hint="eastAsia"/>
              </w:rPr>
              <w:t>南岸区基层医疗卫生服务管理中心</w:t>
            </w:r>
          </w:p>
        </w:tc>
        <w:tc>
          <w:tcPr>
            <w:tcW w:w="771" w:type="dxa"/>
            <w:tcBorders>
              <w:top w:val="single" w:color="auto" w:sz="4" w:space="0"/>
              <w:left w:val="nil"/>
              <w:bottom w:val="single" w:color="auto" w:sz="4" w:space="0"/>
              <w:right w:val="single" w:color="auto" w:sz="4" w:space="0"/>
            </w:tcBorders>
            <w:shd w:val="clear" w:color="auto" w:fill="auto"/>
            <w:vAlign w:val="center"/>
          </w:tcPr>
          <w:p w14:paraId="30907D91">
            <w:pPr>
              <w:spacing w:line="300" w:lineRule="exact"/>
              <w:jc w:val="center"/>
            </w:pPr>
            <w:r>
              <w:rPr>
                <w:rFonts w:hint="eastAsia"/>
              </w:rPr>
              <w:t>防护 物资</w:t>
            </w:r>
          </w:p>
        </w:tc>
        <w:tc>
          <w:tcPr>
            <w:tcW w:w="1075" w:type="dxa"/>
            <w:tcBorders>
              <w:top w:val="single" w:color="auto" w:sz="4" w:space="0"/>
              <w:left w:val="nil"/>
              <w:bottom w:val="single" w:color="auto" w:sz="4" w:space="0"/>
              <w:right w:val="single" w:color="auto" w:sz="4" w:space="0"/>
            </w:tcBorders>
            <w:shd w:val="clear" w:color="auto" w:fill="auto"/>
            <w:vAlign w:val="center"/>
          </w:tcPr>
          <w:p w14:paraId="46D8CCCB">
            <w:pPr>
              <w:spacing w:line="300" w:lineRule="exact"/>
              <w:jc w:val="center"/>
            </w:pPr>
            <w:r>
              <w:rPr>
                <w:rFonts w:hint="eastAsia"/>
              </w:rPr>
              <w:t>509745</w:t>
            </w:r>
          </w:p>
        </w:tc>
        <w:tc>
          <w:tcPr>
            <w:tcW w:w="4111" w:type="dxa"/>
            <w:tcBorders>
              <w:top w:val="single" w:color="auto" w:sz="4" w:space="0"/>
              <w:left w:val="nil"/>
              <w:bottom w:val="single" w:color="auto" w:sz="4" w:space="0"/>
              <w:right w:val="single" w:color="auto" w:sz="4" w:space="0"/>
            </w:tcBorders>
            <w:shd w:val="clear" w:color="auto" w:fill="auto"/>
            <w:vAlign w:val="center"/>
          </w:tcPr>
          <w:p w14:paraId="37A287BD">
            <w:pPr>
              <w:spacing w:line="300" w:lineRule="exact"/>
              <w:jc w:val="center"/>
            </w:pPr>
            <w:r>
              <w:rPr>
                <w:rFonts w:hint="eastAsia"/>
              </w:rPr>
              <w:t>医用防护口罩18000个，医用外科口罩300000个，一次性防护面罩3000个，防雾护目镜800个，医用防护服5000件，医用隔离医40000件，一次性使用灭菌橡胶外科手套30935双，医用检查手套20000双，医用工作帽60000个，长筒靴套7000双，一次性保护鞋套25000双，正压头盔10个。</w:t>
            </w:r>
          </w:p>
        </w:tc>
        <w:tc>
          <w:tcPr>
            <w:tcW w:w="951" w:type="dxa"/>
            <w:tcBorders>
              <w:top w:val="single" w:color="auto" w:sz="4" w:space="0"/>
              <w:left w:val="nil"/>
              <w:bottom w:val="single" w:color="auto" w:sz="4" w:space="0"/>
              <w:right w:val="single" w:color="auto" w:sz="4" w:space="0"/>
            </w:tcBorders>
            <w:shd w:val="clear" w:color="auto" w:fill="auto"/>
            <w:vAlign w:val="center"/>
          </w:tcPr>
          <w:p w14:paraId="5BFF1FEA">
            <w:pPr>
              <w:spacing w:line="300" w:lineRule="exact"/>
              <w:jc w:val="center"/>
            </w:pPr>
            <w:r>
              <w:rPr>
                <w:rFonts w:hint="eastAsia"/>
              </w:rPr>
              <w:t>100.00%</w:t>
            </w:r>
          </w:p>
        </w:tc>
        <w:tc>
          <w:tcPr>
            <w:tcW w:w="567" w:type="dxa"/>
            <w:tcBorders>
              <w:top w:val="single" w:color="auto" w:sz="4" w:space="0"/>
              <w:left w:val="nil"/>
              <w:bottom w:val="single" w:color="auto" w:sz="4" w:space="0"/>
              <w:right w:val="single" w:color="auto" w:sz="4" w:space="0"/>
            </w:tcBorders>
            <w:shd w:val="clear" w:color="auto" w:fill="auto"/>
            <w:vAlign w:val="center"/>
          </w:tcPr>
          <w:p w14:paraId="1B4D4814">
            <w:pPr>
              <w:spacing w:line="300" w:lineRule="exact"/>
              <w:jc w:val="center"/>
            </w:pPr>
            <w:r>
              <w:rPr>
                <w:rFonts w:hint="eastAsia"/>
              </w:rPr>
              <w:t>1</w:t>
            </w:r>
          </w:p>
        </w:tc>
        <w:tc>
          <w:tcPr>
            <w:tcW w:w="709" w:type="dxa"/>
            <w:tcBorders>
              <w:top w:val="single" w:color="auto" w:sz="4" w:space="0"/>
              <w:left w:val="nil"/>
              <w:bottom w:val="single" w:color="auto" w:sz="4" w:space="0"/>
              <w:right w:val="single" w:color="auto" w:sz="4" w:space="0"/>
            </w:tcBorders>
            <w:shd w:val="clear" w:color="auto" w:fill="auto"/>
            <w:vAlign w:val="center"/>
          </w:tcPr>
          <w:p w14:paraId="66D7A819">
            <w:pPr>
              <w:spacing w:line="300" w:lineRule="exact"/>
              <w:jc w:val="center"/>
            </w:pPr>
            <w:r>
              <w:rPr>
                <w:rFonts w:hint="eastAsia"/>
              </w:rPr>
              <w:t>1</w:t>
            </w:r>
          </w:p>
        </w:tc>
      </w:tr>
      <w:tr w14:paraId="3D9258B5">
        <w:tblPrEx>
          <w:tblCellMar>
            <w:top w:w="0" w:type="dxa"/>
            <w:left w:w="108" w:type="dxa"/>
            <w:bottom w:w="0" w:type="dxa"/>
            <w:right w:w="108" w:type="dxa"/>
          </w:tblCellMar>
        </w:tblPrEx>
        <w:trPr>
          <w:trHeight w:val="864" w:hRule="atLeast"/>
        </w:trPr>
        <w:tc>
          <w:tcPr>
            <w:tcW w:w="889" w:type="dxa"/>
            <w:vMerge w:val="continue"/>
            <w:tcBorders>
              <w:top w:val="single" w:color="auto" w:sz="4" w:space="0"/>
              <w:left w:val="single" w:color="auto" w:sz="4" w:space="0"/>
              <w:bottom w:val="single" w:color="auto" w:sz="4" w:space="0"/>
              <w:right w:val="single" w:color="auto" w:sz="4" w:space="0"/>
            </w:tcBorders>
            <w:vAlign w:val="center"/>
          </w:tcPr>
          <w:p w14:paraId="46929A30">
            <w:pPr>
              <w:spacing w:line="300" w:lineRule="exact"/>
              <w:jc w:val="center"/>
            </w:pPr>
          </w:p>
        </w:tc>
        <w:tc>
          <w:tcPr>
            <w:tcW w:w="771" w:type="dxa"/>
            <w:tcBorders>
              <w:top w:val="single" w:color="auto" w:sz="4" w:space="0"/>
              <w:left w:val="nil"/>
              <w:bottom w:val="single" w:color="auto" w:sz="4" w:space="0"/>
              <w:right w:val="single" w:color="auto" w:sz="4" w:space="0"/>
            </w:tcBorders>
            <w:shd w:val="clear" w:color="auto" w:fill="auto"/>
            <w:vAlign w:val="center"/>
          </w:tcPr>
          <w:p w14:paraId="50605AEF">
            <w:pPr>
              <w:spacing w:line="300" w:lineRule="exact"/>
              <w:jc w:val="center"/>
            </w:pPr>
            <w:r>
              <w:rPr>
                <w:rFonts w:hint="eastAsia"/>
              </w:rPr>
              <w:t>消杀 用品</w:t>
            </w:r>
          </w:p>
        </w:tc>
        <w:tc>
          <w:tcPr>
            <w:tcW w:w="1075" w:type="dxa"/>
            <w:tcBorders>
              <w:top w:val="single" w:color="auto" w:sz="4" w:space="0"/>
              <w:left w:val="nil"/>
              <w:bottom w:val="single" w:color="auto" w:sz="4" w:space="0"/>
              <w:right w:val="single" w:color="auto" w:sz="4" w:space="0"/>
            </w:tcBorders>
            <w:shd w:val="clear" w:color="auto" w:fill="auto"/>
            <w:vAlign w:val="center"/>
          </w:tcPr>
          <w:p w14:paraId="16160E3C">
            <w:pPr>
              <w:spacing w:line="300" w:lineRule="exact"/>
              <w:jc w:val="center"/>
            </w:pPr>
            <w:r>
              <w:rPr>
                <w:rFonts w:hint="eastAsia"/>
              </w:rPr>
              <w:t>8800</w:t>
            </w:r>
          </w:p>
        </w:tc>
        <w:tc>
          <w:tcPr>
            <w:tcW w:w="4111" w:type="dxa"/>
            <w:tcBorders>
              <w:top w:val="single" w:color="auto" w:sz="4" w:space="0"/>
              <w:left w:val="nil"/>
              <w:bottom w:val="single" w:color="auto" w:sz="4" w:space="0"/>
              <w:right w:val="single" w:color="auto" w:sz="4" w:space="0"/>
            </w:tcBorders>
            <w:shd w:val="clear" w:color="auto" w:fill="auto"/>
            <w:vAlign w:val="center"/>
          </w:tcPr>
          <w:p w14:paraId="201D779A">
            <w:pPr>
              <w:spacing w:line="300" w:lineRule="exact"/>
              <w:jc w:val="center"/>
            </w:pPr>
            <w:r>
              <w:rPr>
                <w:rFonts w:hint="eastAsia"/>
              </w:rPr>
              <w:t>速干手消毒液4000瓶，医用酒精1000瓶，泡腾消毒片2000瓶，季铵盐消毒湿巾1500包，优氯净300盒。</w:t>
            </w:r>
          </w:p>
        </w:tc>
        <w:tc>
          <w:tcPr>
            <w:tcW w:w="951" w:type="dxa"/>
            <w:tcBorders>
              <w:top w:val="single" w:color="auto" w:sz="4" w:space="0"/>
              <w:left w:val="nil"/>
              <w:bottom w:val="single" w:color="auto" w:sz="4" w:space="0"/>
              <w:right w:val="single" w:color="auto" w:sz="4" w:space="0"/>
            </w:tcBorders>
            <w:shd w:val="clear" w:color="auto" w:fill="auto"/>
            <w:vAlign w:val="center"/>
          </w:tcPr>
          <w:p w14:paraId="24B83A25">
            <w:pPr>
              <w:spacing w:line="300" w:lineRule="exact"/>
              <w:jc w:val="center"/>
            </w:pPr>
            <w:r>
              <w:rPr>
                <w:rFonts w:hint="eastAsia"/>
              </w:rPr>
              <w:t>100.00%</w:t>
            </w:r>
          </w:p>
        </w:tc>
        <w:tc>
          <w:tcPr>
            <w:tcW w:w="567" w:type="dxa"/>
            <w:tcBorders>
              <w:top w:val="single" w:color="auto" w:sz="4" w:space="0"/>
              <w:left w:val="nil"/>
              <w:bottom w:val="single" w:color="auto" w:sz="4" w:space="0"/>
              <w:right w:val="single" w:color="auto" w:sz="4" w:space="0"/>
            </w:tcBorders>
            <w:shd w:val="clear" w:color="auto" w:fill="auto"/>
            <w:vAlign w:val="center"/>
          </w:tcPr>
          <w:p w14:paraId="00014564">
            <w:pPr>
              <w:spacing w:line="300" w:lineRule="exact"/>
              <w:jc w:val="center"/>
            </w:pPr>
            <w:r>
              <w:rPr>
                <w:rFonts w:hint="eastAsia"/>
              </w:rPr>
              <w:t>1</w:t>
            </w:r>
          </w:p>
        </w:tc>
        <w:tc>
          <w:tcPr>
            <w:tcW w:w="709" w:type="dxa"/>
            <w:tcBorders>
              <w:top w:val="single" w:color="auto" w:sz="4" w:space="0"/>
              <w:left w:val="nil"/>
              <w:bottom w:val="single" w:color="auto" w:sz="4" w:space="0"/>
              <w:right w:val="single" w:color="auto" w:sz="4" w:space="0"/>
            </w:tcBorders>
            <w:shd w:val="clear" w:color="auto" w:fill="auto"/>
            <w:vAlign w:val="center"/>
          </w:tcPr>
          <w:p w14:paraId="3E3A4435">
            <w:pPr>
              <w:spacing w:line="300" w:lineRule="exact"/>
              <w:jc w:val="center"/>
            </w:pPr>
            <w:r>
              <w:rPr>
                <w:rFonts w:hint="eastAsia"/>
              </w:rPr>
              <w:t>1</w:t>
            </w:r>
          </w:p>
        </w:tc>
      </w:tr>
      <w:tr w14:paraId="5ED68015">
        <w:tblPrEx>
          <w:tblCellMar>
            <w:top w:w="0" w:type="dxa"/>
            <w:left w:w="108" w:type="dxa"/>
            <w:bottom w:w="0" w:type="dxa"/>
            <w:right w:w="108" w:type="dxa"/>
          </w:tblCellMar>
        </w:tblPrEx>
        <w:trPr>
          <w:trHeight w:val="1155" w:hRule="atLeast"/>
        </w:trPr>
        <w:tc>
          <w:tcPr>
            <w:tcW w:w="889" w:type="dxa"/>
            <w:vMerge w:val="continue"/>
            <w:tcBorders>
              <w:top w:val="single" w:color="auto" w:sz="4" w:space="0"/>
              <w:left w:val="single" w:color="auto" w:sz="4" w:space="0"/>
              <w:bottom w:val="single" w:color="auto" w:sz="4" w:space="0"/>
              <w:right w:val="single" w:color="auto" w:sz="4" w:space="0"/>
            </w:tcBorders>
            <w:vAlign w:val="center"/>
          </w:tcPr>
          <w:p w14:paraId="6C34447F">
            <w:pPr>
              <w:spacing w:line="300" w:lineRule="exact"/>
              <w:jc w:val="center"/>
            </w:pPr>
          </w:p>
        </w:tc>
        <w:tc>
          <w:tcPr>
            <w:tcW w:w="771" w:type="dxa"/>
            <w:tcBorders>
              <w:top w:val="single" w:color="auto" w:sz="4" w:space="0"/>
              <w:left w:val="nil"/>
              <w:bottom w:val="single" w:color="auto" w:sz="4" w:space="0"/>
              <w:right w:val="single" w:color="auto" w:sz="4" w:space="0"/>
            </w:tcBorders>
            <w:shd w:val="clear" w:color="auto" w:fill="auto"/>
            <w:vAlign w:val="center"/>
          </w:tcPr>
          <w:p w14:paraId="390E2FEA">
            <w:pPr>
              <w:spacing w:line="300" w:lineRule="exact"/>
              <w:jc w:val="center"/>
            </w:pPr>
            <w:r>
              <w:rPr>
                <w:rFonts w:hint="eastAsia"/>
              </w:rPr>
              <w:t>防护 器械</w:t>
            </w:r>
          </w:p>
        </w:tc>
        <w:tc>
          <w:tcPr>
            <w:tcW w:w="1075" w:type="dxa"/>
            <w:tcBorders>
              <w:top w:val="single" w:color="auto" w:sz="4" w:space="0"/>
              <w:left w:val="nil"/>
              <w:bottom w:val="single" w:color="auto" w:sz="4" w:space="0"/>
              <w:right w:val="single" w:color="auto" w:sz="4" w:space="0"/>
            </w:tcBorders>
            <w:shd w:val="clear" w:color="auto" w:fill="auto"/>
            <w:vAlign w:val="center"/>
          </w:tcPr>
          <w:p w14:paraId="2F93025B">
            <w:pPr>
              <w:spacing w:line="300" w:lineRule="exact"/>
              <w:jc w:val="center"/>
            </w:pPr>
            <w:r>
              <w:rPr>
                <w:rFonts w:hint="eastAsia"/>
              </w:rPr>
              <w:t>1077</w:t>
            </w:r>
          </w:p>
        </w:tc>
        <w:tc>
          <w:tcPr>
            <w:tcW w:w="4111" w:type="dxa"/>
            <w:tcBorders>
              <w:top w:val="single" w:color="auto" w:sz="4" w:space="0"/>
              <w:left w:val="nil"/>
              <w:bottom w:val="single" w:color="auto" w:sz="4" w:space="0"/>
              <w:right w:val="single" w:color="auto" w:sz="4" w:space="0"/>
            </w:tcBorders>
            <w:shd w:val="clear" w:color="auto" w:fill="auto"/>
            <w:vAlign w:val="center"/>
          </w:tcPr>
          <w:p w14:paraId="7A51E292">
            <w:pPr>
              <w:spacing w:line="300" w:lineRule="exact"/>
              <w:jc w:val="center"/>
            </w:pPr>
            <w:r>
              <w:rPr>
                <w:rFonts w:hint="eastAsia"/>
              </w:rPr>
              <w:t>手持式红外线测温仪500个，红外热成像仪1台，正压滤盒5个，正压头套20个，正压送风系统1台，玻璃体温计500支，生物安全运输箱50个。</w:t>
            </w:r>
          </w:p>
        </w:tc>
        <w:tc>
          <w:tcPr>
            <w:tcW w:w="951" w:type="dxa"/>
            <w:tcBorders>
              <w:top w:val="single" w:color="auto" w:sz="4" w:space="0"/>
              <w:left w:val="nil"/>
              <w:bottom w:val="single" w:color="auto" w:sz="4" w:space="0"/>
              <w:right w:val="single" w:color="auto" w:sz="4" w:space="0"/>
            </w:tcBorders>
            <w:shd w:val="clear" w:color="auto" w:fill="auto"/>
            <w:vAlign w:val="center"/>
          </w:tcPr>
          <w:p w14:paraId="3C034BD6">
            <w:pPr>
              <w:spacing w:line="300" w:lineRule="exact"/>
              <w:jc w:val="center"/>
            </w:pPr>
            <w:r>
              <w:rPr>
                <w:rFonts w:hint="eastAsia"/>
              </w:rPr>
              <w:t>100.00%</w:t>
            </w:r>
          </w:p>
        </w:tc>
        <w:tc>
          <w:tcPr>
            <w:tcW w:w="567" w:type="dxa"/>
            <w:tcBorders>
              <w:top w:val="single" w:color="auto" w:sz="4" w:space="0"/>
              <w:left w:val="nil"/>
              <w:bottom w:val="single" w:color="auto" w:sz="4" w:space="0"/>
              <w:right w:val="single" w:color="auto" w:sz="4" w:space="0"/>
            </w:tcBorders>
            <w:shd w:val="clear" w:color="auto" w:fill="auto"/>
            <w:vAlign w:val="center"/>
          </w:tcPr>
          <w:p w14:paraId="7C96B5EA">
            <w:pPr>
              <w:spacing w:line="300" w:lineRule="exact"/>
              <w:jc w:val="center"/>
            </w:pPr>
            <w:r>
              <w:rPr>
                <w:rFonts w:hint="eastAsia"/>
              </w:rPr>
              <w:t>1</w:t>
            </w:r>
          </w:p>
        </w:tc>
        <w:tc>
          <w:tcPr>
            <w:tcW w:w="709" w:type="dxa"/>
            <w:tcBorders>
              <w:top w:val="single" w:color="auto" w:sz="4" w:space="0"/>
              <w:left w:val="nil"/>
              <w:bottom w:val="single" w:color="auto" w:sz="4" w:space="0"/>
              <w:right w:val="single" w:color="auto" w:sz="4" w:space="0"/>
            </w:tcBorders>
            <w:shd w:val="clear" w:color="auto" w:fill="auto"/>
            <w:vAlign w:val="center"/>
          </w:tcPr>
          <w:p w14:paraId="029A55A1">
            <w:pPr>
              <w:spacing w:line="300" w:lineRule="exact"/>
              <w:jc w:val="center"/>
            </w:pPr>
            <w:r>
              <w:rPr>
                <w:rFonts w:hint="eastAsia"/>
              </w:rPr>
              <w:t>1</w:t>
            </w:r>
          </w:p>
        </w:tc>
      </w:tr>
      <w:tr w14:paraId="1484FE97">
        <w:tblPrEx>
          <w:tblCellMar>
            <w:top w:w="0" w:type="dxa"/>
            <w:left w:w="108" w:type="dxa"/>
            <w:bottom w:w="0" w:type="dxa"/>
            <w:right w:w="108" w:type="dxa"/>
          </w:tblCellMar>
        </w:tblPrEx>
        <w:trPr>
          <w:trHeight w:val="704" w:hRule="atLeast"/>
        </w:trPr>
        <w:tc>
          <w:tcPr>
            <w:tcW w:w="889" w:type="dxa"/>
            <w:vMerge w:val="continue"/>
            <w:tcBorders>
              <w:top w:val="single" w:color="auto" w:sz="4" w:space="0"/>
              <w:left w:val="single" w:color="auto" w:sz="4" w:space="0"/>
              <w:bottom w:val="single" w:color="auto" w:sz="4" w:space="0"/>
              <w:right w:val="single" w:color="auto" w:sz="4" w:space="0"/>
            </w:tcBorders>
            <w:vAlign w:val="center"/>
          </w:tcPr>
          <w:p w14:paraId="23BB7AB3">
            <w:pPr>
              <w:spacing w:line="300" w:lineRule="exact"/>
              <w:jc w:val="center"/>
            </w:pPr>
          </w:p>
        </w:tc>
        <w:tc>
          <w:tcPr>
            <w:tcW w:w="771" w:type="dxa"/>
            <w:tcBorders>
              <w:top w:val="single" w:color="auto" w:sz="4" w:space="0"/>
              <w:left w:val="nil"/>
              <w:bottom w:val="single" w:color="auto" w:sz="4" w:space="0"/>
              <w:right w:val="single" w:color="auto" w:sz="4" w:space="0"/>
            </w:tcBorders>
            <w:shd w:val="clear" w:color="auto" w:fill="auto"/>
            <w:vAlign w:val="center"/>
          </w:tcPr>
          <w:p w14:paraId="2C2B4C61">
            <w:pPr>
              <w:spacing w:line="300" w:lineRule="exact"/>
              <w:jc w:val="center"/>
            </w:pPr>
            <w:r>
              <w:rPr>
                <w:rFonts w:hint="eastAsia"/>
              </w:rPr>
              <w:t xml:space="preserve">检测 试剂      </w:t>
            </w:r>
          </w:p>
        </w:tc>
        <w:tc>
          <w:tcPr>
            <w:tcW w:w="1075" w:type="dxa"/>
            <w:tcBorders>
              <w:top w:val="single" w:color="auto" w:sz="4" w:space="0"/>
              <w:left w:val="nil"/>
              <w:bottom w:val="single" w:color="auto" w:sz="4" w:space="0"/>
              <w:right w:val="single" w:color="auto" w:sz="4" w:space="0"/>
            </w:tcBorders>
            <w:shd w:val="clear" w:color="auto" w:fill="auto"/>
            <w:vAlign w:val="center"/>
          </w:tcPr>
          <w:p w14:paraId="6F579811">
            <w:pPr>
              <w:spacing w:line="300" w:lineRule="exact"/>
              <w:jc w:val="center"/>
            </w:pPr>
            <w:r>
              <w:rPr>
                <w:rFonts w:hint="eastAsia"/>
              </w:rPr>
              <w:t>1000</w:t>
            </w:r>
          </w:p>
        </w:tc>
        <w:tc>
          <w:tcPr>
            <w:tcW w:w="4111" w:type="dxa"/>
            <w:tcBorders>
              <w:top w:val="single" w:color="auto" w:sz="4" w:space="0"/>
              <w:left w:val="nil"/>
              <w:bottom w:val="single" w:color="auto" w:sz="4" w:space="0"/>
              <w:right w:val="single" w:color="auto" w:sz="4" w:space="0"/>
            </w:tcBorders>
            <w:shd w:val="clear" w:color="auto" w:fill="auto"/>
            <w:vAlign w:val="center"/>
          </w:tcPr>
          <w:p w14:paraId="5D53E28A">
            <w:pPr>
              <w:spacing w:line="300" w:lineRule="exact"/>
              <w:jc w:val="center"/>
            </w:pPr>
            <w:r>
              <w:rPr>
                <w:rFonts w:hint="eastAsia"/>
              </w:rPr>
              <w:t>一次性病毒采样管（非灭活）500支，混检病毒采样管（非灭活）500支。</w:t>
            </w:r>
          </w:p>
        </w:tc>
        <w:tc>
          <w:tcPr>
            <w:tcW w:w="951" w:type="dxa"/>
            <w:tcBorders>
              <w:top w:val="single" w:color="auto" w:sz="4" w:space="0"/>
              <w:left w:val="nil"/>
              <w:bottom w:val="single" w:color="auto" w:sz="4" w:space="0"/>
              <w:right w:val="single" w:color="auto" w:sz="4" w:space="0"/>
            </w:tcBorders>
            <w:shd w:val="clear" w:color="auto" w:fill="auto"/>
            <w:vAlign w:val="center"/>
          </w:tcPr>
          <w:p w14:paraId="6123C43C">
            <w:pPr>
              <w:spacing w:line="300" w:lineRule="exact"/>
              <w:jc w:val="center"/>
            </w:pPr>
            <w:r>
              <w:rPr>
                <w:rFonts w:hint="eastAsia"/>
              </w:rPr>
              <w:t>100.00%</w:t>
            </w:r>
          </w:p>
        </w:tc>
        <w:tc>
          <w:tcPr>
            <w:tcW w:w="567" w:type="dxa"/>
            <w:tcBorders>
              <w:top w:val="single" w:color="auto" w:sz="4" w:space="0"/>
              <w:left w:val="nil"/>
              <w:bottom w:val="single" w:color="auto" w:sz="4" w:space="0"/>
              <w:right w:val="single" w:color="auto" w:sz="4" w:space="0"/>
            </w:tcBorders>
            <w:shd w:val="clear" w:color="auto" w:fill="auto"/>
            <w:vAlign w:val="center"/>
          </w:tcPr>
          <w:p w14:paraId="32DDC859">
            <w:pPr>
              <w:spacing w:line="300" w:lineRule="exact"/>
              <w:jc w:val="center"/>
            </w:pPr>
            <w:r>
              <w:rPr>
                <w:rFonts w:hint="eastAsia"/>
              </w:rPr>
              <w:t>1</w:t>
            </w:r>
          </w:p>
        </w:tc>
        <w:tc>
          <w:tcPr>
            <w:tcW w:w="709" w:type="dxa"/>
            <w:tcBorders>
              <w:top w:val="single" w:color="auto" w:sz="4" w:space="0"/>
              <w:left w:val="nil"/>
              <w:bottom w:val="single" w:color="auto" w:sz="4" w:space="0"/>
              <w:right w:val="single" w:color="auto" w:sz="4" w:space="0"/>
            </w:tcBorders>
            <w:shd w:val="clear" w:color="auto" w:fill="auto"/>
            <w:vAlign w:val="center"/>
          </w:tcPr>
          <w:p w14:paraId="1048F563">
            <w:pPr>
              <w:spacing w:line="300" w:lineRule="exact"/>
              <w:jc w:val="center"/>
            </w:pPr>
            <w:r>
              <w:rPr>
                <w:rFonts w:hint="eastAsia"/>
              </w:rPr>
              <w:t>1</w:t>
            </w:r>
          </w:p>
        </w:tc>
      </w:tr>
      <w:tr w14:paraId="0C9EBE51">
        <w:tblPrEx>
          <w:tblCellMar>
            <w:top w:w="0" w:type="dxa"/>
            <w:left w:w="108" w:type="dxa"/>
            <w:bottom w:w="0" w:type="dxa"/>
            <w:right w:w="108" w:type="dxa"/>
          </w:tblCellMar>
        </w:tblPrEx>
        <w:trPr>
          <w:trHeight w:val="557" w:hRule="atLeast"/>
        </w:trPr>
        <w:tc>
          <w:tcPr>
            <w:tcW w:w="88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D8131E">
            <w:pPr>
              <w:spacing w:line="300" w:lineRule="exact"/>
              <w:jc w:val="center"/>
            </w:pPr>
            <w:r>
              <w:rPr>
                <w:rFonts w:hint="eastAsia"/>
              </w:rPr>
              <w:t>国药控股重庆医疗器械公司</w:t>
            </w:r>
          </w:p>
        </w:tc>
        <w:tc>
          <w:tcPr>
            <w:tcW w:w="771" w:type="dxa"/>
            <w:tcBorders>
              <w:top w:val="single" w:color="auto" w:sz="4" w:space="0"/>
              <w:left w:val="nil"/>
              <w:bottom w:val="single" w:color="auto" w:sz="4" w:space="0"/>
              <w:right w:val="single" w:color="auto" w:sz="4" w:space="0"/>
            </w:tcBorders>
            <w:shd w:val="clear" w:color="auto" w:fill="auto"/>
            <w:vAlign w:val="center"/>
          </w:tcPr>
          <w:p w14:paraId="202859C0">
            <w:pPr>
              <w:spacing w:line="300" w:lineRule="exact"/>
              <w:jc w:val="center"/>
            </w:pPr>
            <w:r>
              <w:rPr>
                <w:rFonts w:hint="eastAsia"/>
              </w:rPr>
              <w:t>防护 器械</w:t>
            </w:r>
          </w:p>
        </w:tc>
        <w:tc>
          <w:tcPr>
            <w:tcW w:w="1075" w:type="dxa"/>
            <w:tcBorders>
              <w:top w:val="single" w:color="auto" w:sz="4" w:space="0"/>
              <w:left w:val="nil"/>
              <w:bottom w:val="single" w:color="auto" w:sz="4" w:space="0"/>
              <w:right w:val="single" w:color="auto" w:sz="4" w:space="0"/>
            </w:tcBorders>
            <w:shd w:val="clear" w:color="auto" w:fill="auto"/>
            <w:vAlign w:val="center"/>
          </w:tcPr>
          <w:p w14:paraId="561EA196">
            <w:pPr>
              <w:spacing w:line="300" w:lineRule="exact"/>
              <w:jc w:val="center"/>
            </w:pPr>
            <w:r>
              <w:rPr>
                <w:rFonts w:hint="eastAsia"/>
              </w:rPr>
              <w:t>5</w:t>
            </w:r>
          </w:p>
        </w:tc>
        <w:tc>
          <w:tcPr>
            <w:tcW w:w="4111" w:type="dxa"/>
            <w:tcBorders>
              <w:top w:val="single" w:color="auto" w:sz="4" w:space="0"/>
              <w:left w:val="nil"/>
              <w:bottom w:val="single" w:color="auto" w:sz="4" w:space="0"/>
              <w:right w:val="single" w:color="auto" w:sz="4" w:space="0"/>
            </w:tcBorders>
            <w:shd w:val="clear" w:color="auto" w:fill="auto"/>
            <w:vAlign w:val="center"/>
          </w:tcPr>
          <w:p w14:paraId="6834A321">
            <w:pPr>
              <w:spacing w:line="300" w:lineRule="exact"/>
              <w:jc w:val="center"/>
            </w:pPr>
            <w:r>
              <w:rPr>
                <w:rFonts w:hint="eastAsia"/>
              </w:rPr>
              <w:t>红外热像仪5台。</w:t>
            </w:r>
          </w:p>
        </w:tc>
        <w:tc>
          <w:tcPr>
            <w:tcW w:w="951" w:type="dxa"/>
            <w:tcBorders>
              <w:top w:val="single" w:color="auto" w:sz="4" w:space="0"/>
              <w:left w:val="nil"/>
              <w:bottom w:val="single" w:color="auto" w:sz="4" w:space="0"/>
              <w:right w:val="single" w:color="auto" w:sz="4" w:space="0"/>
            </w:tcBorders>
            <w:shd w:val="clear" w:color="auto" w:fill="auto"/>
            <w:vAlign w:val="center"/>
          </w:tcPr>
          <w:p w14:paraId="1129CEAB">
            <w:pPr>
              <w:spacing w:line="300" w:lineRule="exact"/>
              <w:jc w:val="center"/>
            </w:pPr>
            <w:r>
              <w:rPr>
                <w:rFonts w:hint="eastAsia"/>
              </w:rPr>
              <w:t>100.00%</w:t>
            </w:r>
          </w:p>
        </w:tc>
        <w:tc>
          <w:tcPr>
            <w:tcW w:w="567" w:type="dxa"/>
            <w:tcBorders>
              <w:top w:val="single" w:color="auto" w:sz="4" w:space="0"/>
              <w:left w:val="nil"/>
              <w:bottom w:val="single" w:color="auto" w:sz="4" w:space="0"/>
              <w:right w:val="single" w:color="auto" w:sz="4" w:space="0"/>
            </w:tcBorders>
            <w:shd w:val="clear" w:color="auto" w:fill="auto"/>
            <w:vAlign w:val="center"/>
          </w:tcPr>
          <w:p w14:paraId="0C0E4886">
            <w:pPr>
              <w:spacing w:line="300" w:lineRule="exact"/>
              <w:jc w:val="center"/>
            </w:pPr>
            <w:r>
              <w:rPr>
                <w:rFonts w:hint="eastAsia"/>
              </w:rPr>
              <w:t>0.5</w:t>
            </w:r>
          </w:p>
        </w:tc>
        <w:tc>
          <w:tcPr>
            <w:tcW w:w="709" w:type="dxa"/>
            <w:tcBorders>
              <w:top w:val="single" w:color="auto" w:sz="4" w:space="0"/>
              <w:left w:val="nil"/>
              <w:bottom w:val="single" w:color="auto" w:sz="4" w:space="0"/>
              <w:right w:val="single" w:color="auto" w:sz="4" w:space="0"/>
            </w:tcBorders>
            <w:shd w:val="clear" w:color="auto" w:fill="auto"/>
            <w:vAlign w:val="center"/>
          </w:tcPr>
          <w:p w14:paraId="7D4B41C7">
            <w:pPr>
              <w:spacing w:line="300" w:lineRule="exact"/>
              <w:jc w:val="center"/>
            </w:pPr>
            <w:r>
              <w:rPr>
                <w:rFonts w:hint="eastAsia"/>
              </w:rPr>
              <w:t>0.5</w:t>
            </w:r>
          </w:p>
        </w:tc>
      </w:tr>
      <w:tr w14:paraId="6D33BEAA">
        <w:tblPrEx>
          <w:tblCellMar>
            <w:top w:w="0" w:type="dxa"/>
            <w:left w:w="108" w:type="dxa"/>
            <w:bottom w:w="0" w:type="dxa"/>
            <w:right w:w="108" w:type="dxa"/>
          </w:tblCellMar>
        </w:tblPrEx>
        <w:trPr>
          <w:trHeight w:val="582" w:hRule="atLeast"/>
        </w:trPr>
        <w:tc>
          <w:tcPr>
            <w:tcW w:w="889" w:type="dxa"/>
            <w:vMerge w:val="continue"/>
            <w:tcBorders>
              <w:top w:val="single" w:color="auto" w:sz="4" w:space="0"/>
              <w:left w:val="single" w:color="auto" w:sz="4" w:space="0"/>
              <w:bottom w:val="single" w:color="auto" w:sz="4" w:space="0"/>
              <w:right w:val="single" w:color="auto" w:sz="4" w:space="0"/>
            </w:tcBorders>
            <w:vAlign w:val="center"/>
          </w:tcPr>
          <w:p w14:paraId="2E69B061">
            <w:pPr>
              <w:spacing w:line="300" w:lineRule="exact"/>
              <w:jc w:val="center"/>
            </w:pPr>
          </w:p>
        </w:tc>
        <w:tc>
          <w:tcPr>
            <w:tcW w:w="771" w:type="dxa"/>
            <w:tcBorders>
              <w:top w:val="single" w:color="auto" w:sz="4" w:space="0"/>
              <w:left w:val="nil"/>
              <w:bottom w:val="single" w:color="auto" w:sz="4" w:space="0"/>
              <w:right w:val="single" w:color="auto" w:sz="4" w:space="0"/>
            </w:tcBorders>
            <w:shd w:val="clear" w:color="auto" w:fill="auto"/>
            <w:vAlign w:val="center"/>
          </w:tcPr>
          <w:p w14:paraId="6728FD36">
            <w:pPr>
              <w:spacing w:line="300" w:lineRule="exact"/>
              <w:jc w:val="center"/>
            </w:pPr>
            <w:r>
              <w:rPr>
                <w:rFonts w:hint="eastAsia"/>
              </w:rPr>
              <w:t>防护 物资</w:t>
            </w:r>
          </w:p>
        </w:tc>
        <w:tc>
          <w:tcPr>
            <w:tcW w:w="1075" w:type="dxa"/>
            <w:tcBorders>
              <w:top w:val="single" w:color="auto" w:sz="4" w:space="0"/>
              <w:left w:val="nil"/>
              <w:bottom w:val="single" w:color="auto" w:sz="4" w:space="0"/>
              <w:right w:val="single" w:color="auto" w:sz="4" w:space="0"/>
            </w:tcBorders>
            <w:shd w:val="clear" w:color="auto" w:fill="auto"/>
            <w:vAlign w:val="center"/>
          </w:tcPr>
          <w:p w14:paraId="52E7F7AF">
            <w:pPr>
              <w:spacing w:line="300" w:lineRule="exact"/>
              <w:jc w:val="center"/>
              <w:rPr>
                <w:color w:val="000000"/>
              </w:rPr>
            </w:pPr>
            <w:r>
              <w:rPr>
                <w:rFonts w:hint="eastAsia"/>
                <w:color w:val="000000"/>
              </w:rPr>
              <w:t>7785</w:t>
            </w:r>
          </w:p>
        </w:tc>
        <w:tc>
          <w:tcPr>
            <w:tcW w:w="4111" w:type="dxa"/>
            <w:tcBorders>
              <w:top w:val="single" w:color="auto" w:sz="4" w:space="0"/>
              <w:left w:val="nil"/>
              <w:bottom w:val="single" w:color="auto" w:sz="4" w:space="0"/>
              <w:right w:val="single" w:color="auto" w:sz="4" w:space="0"/>
            </w:tcBorders>
            <w:shd w:val="clear" w:color="auto" w:fill="auto"/>
            <w:vAlign w:val="center"/>
          </w:tcPr>
          <w:p w14:paraId="7B299387">
            <w:pPr>
              <w:spacing w:line="300" w:lineRule="exact"/>
              <w:jc w:val="center"/>
            </w:pPr>
            <w:r>
              <w:rPr>
                <w:rFonts w:hint="eastAsia"/>
              </w:rPr>
              <w:t>全面罩50个，医用隔离面罩7735个。</w:t>
            </w:r>
          </w:p>
        </w:tc>
        <w:tc>
          <w:tcPr>
            <w:tcW w:w="951" w:type="dxa"/>
            <w:tcBorders>
              <w:top w:val="single" w:color="auto" w:sz="4" w:space="0"/>
              <w:left w:val="nil"/>
              <w:bottom w:val="single" w:color="auto" w:sz="4" w:space="0"/>
              <w:right w:val="single" w:color="auto" w:sz="4" w:space="0"/>
            </w:tcBorders>
            <w:shd w:val="clear" w:color="auto" w:fill="auto"/>
            <w:vAlign w:val="center"/>
          </w:tcPr>
          <w:p w14:paraId="2C355EC2">
            <w:pPr>
              <w:spacing w:line="300" w:lineRule="exact"/>
              <w:jc w:val="center"/>
            </w:pPr>
            <w:r>
              <w:rPr>
                <w:rFonts w:hint="eastAsia"/>
              </w:rPr>
              <w:t>100.00%</w:t>
            </w:r>
          </w:p>
        </w:tc>
        <w:tc>
          <w:tcPr>
            <w:tcW w:w="567" w:type="dxa"/>
            <w:tcBorders>
              <w:top w:val="single" w:color="auto" w:sz="4" w:space="0"/>
              <w:left w:val="nil"/>
              <w:bottom w:val="single" w:color="auto" w:sz="4" w:space="0"/>
              <w:right w:val="single" w:color="auto" w:sz="4" w:space="0"/>
            </w:tcBorders>
            <w:shd w:val="clear" w:color="auto" w:fill="auto"/>
            <w:vAlign w:val="center"/>
          </w:tcPr>
          <w:p w14:paraId="54B77360">
            <w:pPr>
              <w:spacing w:line="300" w:lineRule="exact"/>
              <w:jc w:val="center"/>
            </w:pPr>
            <w:r>
              <w:rPr>
                <w:rFonts w:hint="eastAsia"/>
              </w:rPr>
              <w:t>1</w:t>
            </w:r>
          </w:p>
        </w:tc>
        <w:tc>
          <w:tcPr>
            <w:tcW w:w="709" w:type="dxa"/>
            <w:tcBorders>
              <w:top w:val="single" w:color="auto" w:sz="4" w:space="0"/>
              <w:left w:val="nil"/>
              <w:bottom w:val="single" w:color="auto" w:sz="4" w:space="0"/>
              <w:right w:val="single" w:color="auto" w:sz="4" w:space="0"/>
            </w:tcBorders>
            <w:shd w:val="clear" w:color="auto" w:fill="auto"/>
            <w:vAlign w:val="center"/>
          </w:tcPr>
          <w:p w14:paraId="1C5748B2">
            <w:pPr>
              <w:spacing w:line="300" w:lineRule="exact"/>
              <w:jc w:val="center"/>
            </w:pPr>
            <w:r>
              <w:rPr>
                <w:rFonts w:hint="eastAsia"/>
              </w:rPr>
              <w:t>1</w:t>
            </w:r>
          </w:p>
        </w:tc>
      </w:tr>
      <w:tr w14:paraId="73CF2FC3">
        <w:tblPrEx>
          <w:tblCellMar>
            <w:top w:w="0" w:type="dxa"/>
            <w:left w:w="108" w:type="dxa"/>
            <w:bottom w:w="0" w:type="dxa"/>
            <w:right w:w="108" w:type="dxa"/>
          </w:tblCellMar>
        </w:tblPrEx>
        <w:trPr>
          <w:trHeight w:val="521" w:hRule="atLeast"/>
        </w:trPr>
        <w:tc>
          <w:tcPr>
            <w:tcW w:w="889" w:type="dxa"/>
            <w:vMerge w:val="continue"/>
            <w:tcBorders>
              <w:top w:val="single" w:color="auto" w:sz="4" w:space="0"/>
              <w:left w:val="single" w:color="auto" w:sz="4" w:space="0"/>
              <w:bottom w:val="single" w:color="auto" w:sz="4" w:space="0"/>
              <w:right w:val="single" w:color="auto" w:sz="4" w:space="0"/>
            </w:tcBorders>
            <w:vAlign w:val="center"/>
          </w:tcPr>
          <w:p w14:paraId="6CA748B0">
            <w:pPr>
              <w:spacing w:line="300" w:lineRule="exact"/>
              <w:jc w:val="center"/>
            </w:pPr>
          </w:p>
        </w:tc>
        <w:tc>
          <w:tcPr>
            <w:tcW w:w="771" w:type="dxa"/>
            <w:tcBorders>
              <w:top w:val="single" w:color="auto" w:sz="4" w:space="0"/>
              <w:left w:val="nil"/>
              <w:bottom w:val="single" w:color="auto" w:sz="4" w:space="0"/>
              <w:right w:val="single" w:color="auto" w:sz="4" w:space="0"/>
            </w:tcBorders>
            <w:shd w:val="clear" w:color="auto" w:fill="auto"/>
            <w:vAlign w:val="center"/>
          </w:tcPr>
          <w:p w14:paraId="32ADD21D">
            <w:pPr>
              <w:spacing w:line="300" w:lineRule="exact"/>
              <w:jc w:val="center"/>
            </w:pPr>
            <w:r>
              <w:rPr>
                <w:rFonts w:hint="eastAsia"/>
              </w:rPr>
              <w:t>消杀 用品</w:t>
            </w:r>
          </w:p>
        </w:tc>
        <w:tc>
          <w:tcPr>
            <w:tcW w:w="1075" w:type="dxa"/>
            <w:tcBorders>
              <w:top w:val="single" w:color="auto" w:sz="4" w:space="0"/>
              <w:left w:val="nil"/>
              <w:bottom w:val="single" w:color="auto" w:sz="4" w:space="0"/>
              <w:right w:val="single" w:color="auto" w:sz="4" w:space="0"/>
            </w:tcBorders>
            <w:shd w:val="clear" w:color="auto" w:fill="auto"/>
            <w:vAlign w:val="center"/>
          </w:tcPr>
          <w:p w14:paraId="17590717">
            <w:pPr>
              <w:spacing w:line="300" w:lineRule="exact"/>
              <w:jc w:val="center"/>
              <w:rPr>
                <w:color w:val="000000"/>
              </w:rPr>
            </w:pPr>
            <w:r>
              <w:rPr>
                <w:rFonts w:hint="eastAsia"/>
                <w:color w:val="000000"/>
              </w:rPr>
              <w:t>794</w:t>
            </w:r>
          </w:p>
        </w:tc>
        <w:tc>
          <w:tcPr>
            <w:tcW w:w="4111" w:type="dxa"/>
            <w:tcBorders>
              <w:top w:val="single" w:color="auto" w:sz="4" w:space="0"/>
              <w:left w:val="nil"/>
              <w:bottom w:val="single" w:color="auto" w:sz="4" w:space="0"/>
              <w:right w:val="single" w:color="auto" w:sz="4" w:space="0"/>
            </w:tcBorders>
            <w:shd w:val="clear" w:color="auto" w:fill="auto"/>
            <w:vAlign w:val="center"/>
          </w:tcPr>
          <w:p w14:paraId="3D530902">
            <w:pPr>
              <w:spacing w:line="300" w:lineRule="exact"/>
              <w:jc w:val="center"/>
            </w:pPr>
            <w:r>
              <w:rPr>
                <w:rFonts w:hint="eastAsia"/>
              </w:rPr>
              <w:t>95%消毒酒精（500ml）794瓶。</w:t>
            </w:r>
          </w:p>
        </w:tc>
        <w:tc>
          <w:tcPr>
            <w:tcW w:w="951" w:type="dxa"/>
            <w:tcBorders>
              <w:top w:val="single" w:color="auto" w:sz="4" w:space="0"/>
              <w:left w:val="nil"/>
              <w:bottom w:val="single" w:color="auto" w:sz="4" w:space="0"/>
              <w:right w:val="single" w:color="auto" w:sz="4" w:space="0"/>
            </w:tcBorders>
            <w:shd w:val="clear" w:color="auto" w:fill="auto"/>
            <w:vAlign w:val="center"/>
          </w:tcPr>
          <w:p w14:paraId="1F0CEE6B">
            <w:pPr>
              <w:spacing w:line="300" w:lineRule="exact"/>
              <w:jc w:val="center"/>
            </w:pPr>
            <w:r>
              <w:rPr>
                <w:rFonts w:hint="eastAsia"/>
              </w:rPr>
              <w:t>100.00%</w:t>
            </w:r>
          </w:p>
        </w:tc>
        <w:tc>
          <w:tcPr>
            <w:tcW w:w="567" w:type="dxa"/>
            <w:tcBorders>
              <w:top w:val="single" w:color="auto" w:sz="4" w:space="0"/>
              <w:left w:val="nil"/>
              <w:bottom w:val="single" w:color="auto" w:sz="4" w:space="0"/>
              <w:right w:val="single" w:color="auto" w:sz="4" w:space="0"/>
            </w:tcBorders>
            <w:shd w:val="clear" w:color="auto" w:fill="auto"/>
            <w:vAlign w:val="center"/>
          </w:tcPr>
          <w:p w14:paraId="5D2800A2">
            <w:pPr>
              <w:spacing w:line="300" w:lineRule="exact"/>
              <w:jc w:val="center"/>
            </w:pPr>
            <w:r>
              <w:rPr>
                <w:rFonts w:hint="eastAsia"/>
              </w:rPr>
              <w:t>0.5</w:t>
            </w:r>
          </w:p>
        </w:tc>
        <w:tc>
          <w:tcPr>
            <w:tcW w:w="709" w:type="dxa"/>
            <w:tcBorders>
              <w:top w:val="single" w:color="auto" w:sz="4" w:space="0"/>
              <w:left w:val="nil"/>
              <w:bottom w:val="single" w:color="auto" w:sz="4" w:space="0"/>
              <w:right w:val="single" w:color="auto" w:sz="4" w:space="0"/>
            </w:tcBorders>
            <w:shd w:val="clear" w:color="auto" w:fill="auto"/>
            <w:vAlign w:val="center"/>
          </w:tcPr>
          <w:p w14:paraId="36FA8E3A">
            <w:pPr>
              <w:spacing w:line="300" w:lineRule="exact"/>
              <w:jc w:val="center"/>
            </w:pPr>
            <w:r>
              <w:rPr>
                <w:rFonts w:hint="eastAsia"/>
              </w:rPr>
              <w:t>0.5</w:t>
            </w:r>
          </w:p>
        </w:tc>
      </w:tr>
      <w:tr w14:paraId="6794AC92">
        <w:tblPrEx>
          <w:tblCellMar>
            <w:top w:w="0" w:type="dxa"/>
            <w:left w:w="108" w:type="dxa"/>
            <w:bottom w:w="0" w:type="dxa"/>
            <w:right w:w="108" w:type="dxa"/>
          </w:tblCellMar>
        </w:tblPrEx>
        <w:trPr>
          <w:trHeight w:val="971" w:hRule="atLeast"/>
        </w:trPr>
        <w:tc>
          <w:tcPr>
            <w:tcW w:w="88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2E0322">
            <w:pPr>
              <w:spacing w:line="300" w:lineRule="exact"/>
              <w:jc w:val="center"/>
            </w:pPr>
            <w:r>
              <w:rPr>
                <w:rFonts w:hint="eastAsia"/>
              </w:rPr>
              <w:t>国药控制重庆泰民医药有限公司</w:t>
            </w:r>
          </w:p>
        </w:tc>
        <w:tc>
          <w:tcPr>
            <w:tcW w:w="771" w:type="dxa"/>
            <w:tcBorders>
              <w:top w:val="single" w:color="auto" w:sz="4" w:space="0"/>
              <w:left w:val="nil"/>
              <w:bottom w:val="single" w:color="auto" w:sz="4" w:space="0"/>
              <w:right w:val="single" w:color="auto" w:sz="4" w:space="0"/>
            </w:tcBorders>
            <w:shd w:val="clear" w:color="auto" w:fill="auto"/>
            <w:vAlign w:val="center"/>
          </w:tcPr>
          <w:p w14:paraId="44BCE3B0">
            <w:pPr>
              <w:spacing w:line="300" w:lineRule="exact"/>
              <w:jc w:val="center"/>
            </w:pPr>
            <w:r>
              <w:rPr>
                <w:rFonts w:hint="eastAsia"/>
              </w:rPr>
              <w:t>防护 物资</w:t>
            </w:r>
          </w:p>
        </w:tc>
        <w:tc>
          <w:tcPr>
            <w:tcW w:w="1075" w:type="dxa"/>
            <w:tcBorders>
              <w:top w:val="single" w:color="auto" w:sz="4" w:space="0"/>
              <w:left w:val="nil"/>
              <w:bottom w:val="single" w:color="auto" w:sz="4" w:space="0"/>
              <w:right w:val="single" w:color="auto" w:sz="4" w:space="0"/>
            </w:tcBorders>
            <w:shd w:val="clear" w:color="auto" w:fill="auto"/>
            <w:vAlign w:val="center"/>
          </w:tcPr>
          <w:p w14:paraId="1BE9228B">
            <w:pPr>
              <w:spacing w:line="300" w:lineRule="exact"/>
              <w:jc w:val="center"/>
            </w:pPr>
            <w:r>
              <w:rPr>
                <w:rFonts w:hint="eastAsia"/>
              </w:rPr>
              <w:t>52336</w:t>
            </w:r>
          </w:p>
        </w:tc>
        <w:tc>
          <w:tcPr>
            <w:tcW w:w="4111" w:type="dxa"/>
            <w:tcBorders>
              <w:top w:val="single" w:color="auto" w:sz="4" w:space="0"/>
              <w:left w:val="nil"/>
              <w:bottom w:val="single" w:color="auto" w:sz="4" w:space="0"/>
              <w:right w:val="single" w:color="auto" w:sz="4" w:space="0"/>
            </w:tcBorders>
            <w:shd w:val="clear" w:color="auto" w:fill="auto"/>
            <w:vAlign w:val="center"/>
          </w:tcPr>
          <w:p w14:paraId="296EB693">
            <w:pPr>
              <w:spacing w:line="300" w:lineRule="exact"/>
              <w:jc w:val="center"/>
            </w:pPr>
            <w:r>
              <w:rPr>
                <w:rFonts w:hint="eastAsia"/>
              </w:rPr>
              <w:t>紧急物资医用防护服9999件，一次性医用隔离衣18216件，手术衣390件，I'am防疫口罩10000个，石墨烯防护口罩995个，耐化学品德工业用模压塑料靴3双，医用护目镜12733个。</w:t>
            </w:r>
          </w:p>
        </w:tc>
        <w:tc>
          <w:tcPr>
            <w:tcW w:w="951" w:type="dxa"/>
            <w:tcBorders>
              <w:top w:val="single" w:color="auto" w:sz="4" w:space="0"/>
              <w:left w:val="nil"/>
              <w:bottom w:val="single" w:color="auto" w:sz="4" w:space="0"/>
              <w:right w:val="single" w:color="auto" w:sz="4" w:space="0"/>
            </w:tcBorders>
            <w:shd w:val="clear" w:color="auto" w:fill="auto"/>
            <w:vAlign w:val="center"/>
          </w:tcPr>
          <w:p w14:paraId="5468C543">
            <w:pPr>
              <w:spacing w:line="300" w:lineRule="exact"/>
              <w:jc w:val="center"/>
            </w:pPr>
            <w:r>
              <w:rPr>
                <w:rFonts w:hint="eastAsia"/>
              </w:rPr>
              <w:t>100.00%</w:t>
            </w:r>
          </w:p>
        </w:tc>
        <w:tc>
          <w:tcPr>
            <w:tcW w:w="567" w:type="dxa"/>
            <w:tcBorders>
              <w:top w:val="single" w:color="auto" w:sz="4" w:space="0"/>
              <w:left w:val="nil"/>
              <w:bottom w:val="single" w:color="auto" w:sz="4" w:space="0"/>
              <w:right w:val="single" w:color="auto" w:sz="4" w:space="0"/>
            </w:tcBorders>
            <w:shd w:val="clear" w:color="auto" w:fill="auto"/>
            <w:vAlign w:val="center"/>
          </w:tcPr>
          <w:p w14:paraId="30E9DE53">
            <w:pPr>
              <w:spacing w:line="300" w:lineRule="exact"/>
              <w:jc w:val="center"/>
            </w:pPr>
            <w:r>
              <w:rPr>
                <w:rFonts w:hint="eastAsia"/>
              </w:rPr>
              <w:t>2</w:t>
            </w:r>
          </w:p>
        </w:tc>
        <w:tc>
          <w:tcPr>
            <w:tcW w:w="709" w:type="dxa"/>
            <w:tcBorders>
              <w:top w:val="single" w:color="auto" w:sz="4" w:space="0"/>
              <w:left w:val="nil"/>
              <w:bottom w:val="single" w:color="auto" w:sz="4" w:space="0"/>
              <w:right w:val="single" w:color="auto" w:sz="4" w:space="0"/>
            </w:tcBorders>
            <w:shd w:val="clear" w:color="auto" w:fill="auto"/>
            <w:vAlign w:val="center"/>
          </w:tcPr>
          <w:p w14:paraId="47AB6195">
            <w:pPr>
              <w:spacing w:line="300" w:lineRule="exact"/>
              <w:jc w:val="center"/>
            </w:pPr>
            <w:r>
              <w:rPr>
                <w:rFonts w:hint="eastAsia"/>
              </w:rPr>
              <w:t>2</w:t>
            </w:r>
          </w:p>
        </w:tc>
      </w:tr>
      <w:tr w14:paraId="4163152D">
        <w:tblPrEx>
          <w:tblCellMar>
            <w:top w:w="0" w:type="dxa"/>
            <w:left w:w="108" w:type="dxa"/>
            <w:bottom w:w="0" w:type="dxa"/>
            <w:right w:w="108" w:type="dxa"/>
          </w:tblCellMar>
        </w:tblPrEx>
        <w:trPr>
          <w:trHeight w:val="800" w:hRule="atLeast"/>
        </w:trPr>
        <w:tc>
          <w:tcPr>
            <w:tcW w:w="889" w:type="dxa"/>
            <w:vMerge w:val="continue"/>
            <w:tcBorders>
              <w:top w:val="single" w:color="auto" w:sz="4" w:space="0"/>
              <w:left w:val="single" w:color="auto" w:sz="4" w:space="0"/>
              <w:bottom w:val="single" w:color="auto" w:sz="4" w:space="0"/>
              <w:right w:val="single" w:color="auto" w:sz="4" w:space="0"/>
            </w:tcBorders>
            <w:vAlign w:val="center"/>
          </w:tcPr>
          <w:p w14:paraId="5AFE6AE3">
            <w:pPr>
              <w:spacing w:line="300" w:lineRule="exact"/>
              <w:jc w:val="center"/>
            </w:pPr>
          </w:p>
        </w:tc>
        <w:tc>
          <w:tcPr>
            <w:tcW w:w="771" w:type="dxa"/>
            <w:tcBorders>
              <w:top w:val="single" w:color="auto" w:sz="4" w:space="0"/>
              <w:left w:val="nil"/>
              <w:bottom w:val="single" w:color="auto" w:sz="4" w:space="0"/>
              <w:right w:val="single" w:color="auto" w:sz="4" w:space="0"/>
            </w:tcBorders>
            <w:shd w:val="clear" w:color="auto" w:fill="auto"/>
            <w:vAlign w:val="center"/>
          </w:tcPr>
          <w:p w14:paraId="293E8215">
            <w:pPr>
              <w:spacing w:line="300" w:lineRule="exact"/>
              <w:jc w:val="center"/>
            </w:pPr>
            <w:r>
              <w:rPr>
                <w:rFonts w:hint="eastAsia"/>
              </w:rPr>
              <w:t>防护</w:t>
            </w:r>
          </w:p>
          <w:p w14:paraId="06CF10B2">
            <w:pPr>
              <w:spacing w:line="300" w:lineRule="exact"/>
              <w:jc w:val="center"/>
            </w:pPr>
            <w:r>
              <w:rPr>
                <w:rFonts w:hint="eastAsia"/>
              </w:rPr>
              <w:t>器械</w:t>
            </w:r>
          </w:p>
        </w:tc>
        <w:tc>
          <w:tcPr>
            <w:tcW w:w="1075" w:type="dxa"/>
            <w:tcBorders>
              <w:top w:val="single" w:color="auto" w:sz="4" w:space="0"/>
              <w:left w:val="nil"/>
              <w:bottom w:val="single" w:color="auto" w:sz="4" w:space="0"/>
              <w:right w:val="single" w:color="auto" w:sz="4" w:space="0"/>
            </w:tcBorders>
            <w:shd w:val="clear" w:color="auto" w:fill="auto"/>
            <w:vAlign w:val="center"/>
          </w:tcPr>
          <w:p w14:paraId="1F6D8F6C">
            <w:pPr>
              <w:spacing w:line="300" w:lineRule="exact"/>
              <w:jc w:val="center"/>
            </w:pPr>
            <w:r>
              <w:rPr>
                <w:rFonts w:hint="eastAsia"/>
              </w:rPr>
              <w:t>347</w:t>
            </w:r>
          </w:p>
        </w:tc>
        <w:tc>
          <w:tcPr>
            <w:tcW w:w="4111" w:type="dxa"/>
            <w:tcBorders>
              <w:top w:val="single" w:color="auto" w:sz="4" w:space="0"/>
              <w:left w:val="nil"/>
              <w:bottom w:val="single" w:color="auto" w:sz="4" w:space="0"/>
              <w:right w:val="single" w:color="auto" w:sz="4" w:space="0"/>
            </w:tcBorders>
            <w:shd w:val="clear" w:color="auto" w:fill="auto"/>
            <w:vAlign w:val="center"/>
          </w:tcPr>
          <w:p w14:paraId="60C61E0B">
            <w:pPr>
              <w:spacing w:line="300" w:lineRule="exact"/>
              <w:jc w:val="center"/>
            </w:pPr>
            <w:r>
              <w:rPr>
                <w:rFonts w:hint="eastAsia"/>
              </w:rPr>
              <w:t>背负式蓄电池超低容量喷雾机3台，丸山喷雾器341台，红外热成像体温快速筛检仪3台。</w:t>
            </w:r>
          </w:p>
        </w:tc>
        <w:tc>
          <w:tcPr>
            <w:tcW w:w="951" w:type="dxa"/>
            <w:tcBorders>
              <w:top w:val="single" w:color="auto" w:sz="4" w:space="0"/>
              <w:left w:val="nil"/>
              <w:bottom w:val="single" w:color="auto" w:sz="4" w:space="0"/>
              <w:right w:val="single" w:color="auto" w:sz="4" w:space="0"/>
            </w:tcBorders>
            <w:shd w:val="clear" w:color="auto" w:fill="auto"/>
            <w:vAlign w:val="center"/>
          </w:tcPr>
          <w:p w14:paraId="54473A78">
            <w:pPr>
              <w:spacing w:line="300" w:lineRule="exact"/>
              <w:jc w:val="center"/>
            </w:pPr>
            <w:r>
              <w:rPr>
                <w:rFonts w:hint="eastAsia"/>
              </w:rPr>
              <w:t>100.00%</w:t>
            </w:r>
          </w:p>
        </w:tc>
        <w:tc>
          <w:tcPr>
            <w:tcW w:w="567" w:type="dxa"/>
            <w:tcBorders>
              <w:top w:val="single" w:color="auto" w:sz="4" w:space="0"/>
              <w:left w:val="nil"/>
              <w:bottom w:val="single" w:color="auto" w:sz="4" w:space="0"/>
              <w:right w:val="single" w:color="auto" w:sz="4" w:space="0"/>
            </w:tcBorders>
            <w:shd w:val="clear" w:color="auto" w:fill="auto"/>
            <w:vAlign w:val="center"/>
          </w:tcPr>
          <w:p w14:paraId="179C053A">
            <w:pPr>
              <w:spacing w:line="300" w:lineRule="exact"/>
              <w:jc w:val="center"/>
            </w:pPr>
            <w:r>
              <w:rPr>
                <w:rFonts w:hint="eastAsia"/>
              </w:rPr>
              <w:t>1</w:t>
            </w:r>
          </w:p>
        </w:tc>
        <w:tc>
          <w:tcPr>
            <w:tcW w:w="709" w:type="dxa"/>
            <w:tcBorders>
              <w:top w:val="single" w:color="auto" w:sz="4" w:space="0"/>
              <w:left w:val="nil"/>
              <w:bottom w:val="single" w:color="auto" w:sz="4" w:space="0"/>
              <w:right w:val="single" w:color="auto" w:sz="4" w:space="0"/>
            </w:tcBorders>
            <w:shd w:val="clear" w:color="auto" w:fill="auto"/>
            <w:vAlign w:val="center"/>
          </w:tcPr>
          <w:p w14:paraId="647DE43E">
            <w:pPr>
              <w:spacing w:line="300" w:lineRule="exact"/>
              <w:jc w:val="center"/>
            </w:pPr>
            <w:r>
              <w:rPr>
                <w:rFonts w:hint="eastAsia"/>
              </w:rPr>
              <w:t>1</w:t>
            </w:r>
          </w:p>
        </w:tc>
      </w:tr>
      <w:tr w14:paraId="22CE839A">
        <w:tblPrEx>
          <w:tblCellMar>
            <w:top w:w="0" w:type="dxa"/>
            <w:left w:w="108" w:type="dxa"/>
            <w:bottom w:w="0" w:type="dxa"/>
            <w:right w:w="108" w:type="dxa"/>
          </w:tblCellMar>
        </w:tblPrEx>
        <w:trPr>
          <w:trHeight w:val="454" w:hRule="atLeast"/>
        </w:trPr>
        <w:tc>
          <w:tcPr>
            <w:tcW w:w="889" w:type="dxa"/>
            <w:vMerge w:val="continue"/>
            <w:tcBorders>
              <w:top w:val="single" w:color="auto" w:sz="4" w:space="0"/>
              <w:left w:val="single" w:color="auto" w:sz="4" w:space="0"/>
              <w:bottom w:val="single" w:color="auto" w:sz="4" w:space="0"/>
              <w:right w:val="single" w:color="auto" w:sz="4" w:space="0"/>
            </w:tcBorders>
            <w:vAlign w:val="center"/>
          </w:tcPr>
          <w:p w14:paraId="2451ED04">
            <w:pPr>
              <w:spacing w:line="300" w:lineRule="exact"/>
              <w:jc w:val="center"/>
            </w:pPr>
          </w:p>
        </w:tc>
        <w:tc>
          <w:tcPr>
            <w:tcW w:w="771" w:type="dxa"/>
            <w:tcBorders>
              <w:top w:val="single" w:color="auto" w:sz="4" w:space="0"/>
              <w:left w:val="nil"/>
              <w:bottom w:val="single" w:color="auto" w:sz="4" w:space="0"/>
              <w:right w:val="single" w:color="auto" w:sz="4" w:space="0"/>
            </w:tcBorders>
            <w:shd w:val="clear" w:color="auto" w:fill="auto"/>
            <w:vAlign w:val="center"/>
          </w:tcPr>
          <w:p w14:paraId="05B0BCB0">
            <w:pPr>
              <w:spacing w:line="300" w:lineRule="exact"/>
              <w:jc w:val="center"/>
            </w:pPr>
            <w:r>
              <w:rPr>
                <w:rFonts w:hint="eastAsia"/>
              </w:rPr>
              <w:t>检测 试剂</w:t>
            </w:r>
          </w:p>
        </w:tc>
        <w:tc>
          <w:tcPr>
            <w:tcW w:w="1075" w:type="dxa"/>
            <w:tcBorders>
              <w:top w:val="single" w:color="auto" w:sz="4" w:space="0"/>
              <w:left w:val="nil"/>
              <w:bottom w:val="single" w:color="auto" w:sz="4" w:space="0"/>
              <w:right w:val="single" w:color="auto" w:sz="4" w:space="0"/>
            </w:tcBorders>
            <w:shd w:val="clear" w:color="auto" w:fill="auto"/>
            <w:vAlign w:val="center"/>
          </w:tcPr>
          <w:p w14:paraId="484FB0B8">
            <w:pPr>
              <w:spacing w:line="300" w:lineRule="exact"/>
              <w:jc w:val="center"/>
            </w:pPr>
            <w:r>
              <w:rPr>
                <w:rFonts w:hint="eastAsia"/>
              </w:rPr>
              <w:t>360</w:t>
            </w:r>
          </w:p>
        </w:tc>
        <w:tc>
          <w:tcPr>
            <w:tcW w:w="4111" w:type="dxa"/>
            <w:tcBorders>
              <w:top w:val="single" w:color="auto" w:sz="4" w:space="0"/>
              <w:left w:val="nil"/>
              <w:bottom w:val="single" w:color="auto" w:sz="4" w:space="0"/>
              <w:right w:val="single" w:color="auto" w:sz="4" w:space="0"/>
            </w:tcBorders>
            <w:shd w:val="clear" w:color="auto" w:fill="auto"/>
            <w:vAlign w:val="center"/>
          </w:tcPr>
          <w:p w14:paraId="1BCAD220">
            <w:pPr>
              <w:spacing w:line="300" w:lineRule="exact"/>
              <w:jc w:val="center"/>
            </w:pPr>
            <w:r>
              <w:rPr>
                <w:rFonts w:hint="eastAsia"/>
              </w:rPr>
              <w:t>新型冠状病毒免核酸提取RNA检测试剂盒360盒</w:t>
            </w:r>
          </w:p>
        </w:tc>
        <w:tc>
          <w:tcPr>
            <w:tcW w:w="951" w:type="dxa"/>
            <w:tcBorders>
              <w:top w:val="single" w:color="auto" w:sz="4" w:space="0"/>
              <w:left w:val="nil"/>
              <w:bottom w:val="single" w:color="auto" w:sz="4" w:space="0"/>
              <w:right w:val="single" w:color="auto" w:sz="4" w:space="0"/>
            </w:tcBorders>
            <w:shd w:val="clear" w:color="auto" w:fill="auto"/>
            <w:vAlign w:val="center"/>
          </w:tcPr>
          <w:p w14:paraId="414A7637">
            <w:pPr>
              <w:spacing w:line="300" w:lineRule="exact"/>
              <w:jc w:val="center"/>
            </w:pPr>
            <w:r>
              <w:rPr>
                <w:rFonts w:hint="eastAsia"/>
              </w:rPr>
              <w:t>100.00%</w:t>
            </w:r>
          </w:p>
        </w:tc>
        <w:tc>
          <w:tcPr>
            <w:tcW w:w="567" w:type="dxa"/>
            <w:tcBorders>
              <w:top w:val="single" w:color="auto" w:sz="4" w:space="0"/>
              <w:left w:val="nil"/>
              <w:bottom w:val="single" w:color="auto" w:sz="4" w:space="0"/>
              <w:right w:val="single" w:color="auto" w:sz="4" w:space="0"/>
            </w:tcBorders>
            <w:shd w:val="clear" w:color="auto" w:fill="auto"/>
            <w:vAlign w:val="center"/>
          </w:tcPr>
          <w:p w14:paraId="570F3F93">
            <w:pPr>
              <w:spacing w:line="300" w:lineRule="exact"/>
              <w:jc w:val="center"/>
            </w:pPr>
            <w:r>
              <w:rPr>
                <w:rFonts w:hint="eastAsia"/>
              </w:rPr>
              <w:t>1</w:t>
            </w:r>
          </w:p>
        </w:tc>
        <w:tc>
          <w:tcPr>
            <w:tcW w:w="709" w:type="dxa"/>
            <w:tcBorders>
              <w:top w:val="single" w:color="auto" w:sz="4" w:space="0"/>
              <w:left w:val="nil"/>
              <w:bottom w:val="single" w:color="auto" w:sz="4" w:space="0"/>
              <w:right w:val="single" w:color="auto" w:sz="4" w:space="0"/>
            </w:tcBorders>
            <w:shd w:val="clear" w:color="auto" w:fill="auto"/>
            <w:vAlign w:val="center"/>
          </w:tcPr>
          <w:p w14:paraId="195738EB">
            <w:pPr>
              <w:spacing w:line="300" w:lineRule="exact"/>
              <w:jc w:val="center"/>
            </w:pPr>
            <w:r>
              <w:rPr>
                <w:rFonts w:hint="eastAsia"/>
              </w:rPr>
              <w:t>1</w:t>
            </w:r>
          </w:p>
        </w:tc>
      </w:tr>
      <w:tr w14:paraId="7EE8C149">
        <w:tblPrEx>
          <w:tblCellMar>
            <w:top w:w="0" w:type="dxa"/>
            <w:left w:w="108" w:type="dxa"/>
            <w:bottom w:w="0" w:type="dxa"/>
            <w:right w:w="108" w:type="dxa"/>
          </w:tblCellMar>
        </w:tblPrEx>
        <w:trPr>
          <w:trHeight w:val="471" w:hRule="atLeast"/>
        </w:trPr>
        <w:tc>
          <w:tcPr>
            <w:tcW w:w="16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A261B3">
            <w:pPr>
              <w:spacing w:line="300" w:lineRule="exact"/>
              <w:jc w:val="center"/>
            </w:pPr>
            <w:r>
              <w:rPr>
                <w:rFonts w:hint="eastAsia"/>
              </w:rPr>
              <w:t>合计</w:t>
            </w:r>
          </w:p>
        </w:tc>
        <w:tc>
          <w:tcPr>
            <w:tcW w:w="1075" w:type="dxa"/>
            <w:tcBorders>
              <w:top w:val="single" w:color="auto" w:sz="4" w:space="0"/>
              <w:left w:val="nil"/>
              <w:bottom w:val="single" w:color="auto" w:sz="4" w:space="0"/>
              <w:right w:val="single" w:color="auto" w:sz="4" w:space="0"/>
            </w:tcBorders>
            <w:shd w:val="clear" w:color="auto" w:fill="auto"/>
            <w:vAlign w:val="center"/>
          </w:tcPr>
          <w:p w14:paraId="32185E76">
            <w:pPr>
              <w:spacing w:line="300" w:lineRule="exact"/>
              <w:jc w:val="center"/>
            </w:pPr>
            <w:r>
              <w:rPr>
                <w:rFonts w:hint="eastAsia"/>
              </w:rPr>
              <w:t>582249</w:t>
            </w:r>
          </w:p>
        </w:tc>
        <w:tc>
          <w:tcPr>
            <w:tcW w:w="4111" w:type="dxa"/>
            <w:tcBorders>
              <w:top w:val="single" w:color="auto" w:sz="4" w:space="0"/>
              <w:left w:val="nil"/>
              <w:bottom w:val="single" w:color="auto" w:sz="4" w:space="0"/>
              <w:right w:val="single" w:color="auto" w:sz="4" w:space="0"/>
            </w:tcBorders>
            <w:shd w:val="clear" w:color="auto" w:fill="auto"/>
            <w:vAlign w:val="center"/>
          </w:tcPr>
          <w:p w14:paraId="267EA8E3">
            <w:pPr>
              <w:spacing w:line="300" w:lineRule="exact"/>
              <w:jc w:val="center"/>
            </w:pPr>
          </w:p>
        </w:tc>
        <w:tc>
          <w:tcPr>
            <w:tcW w:w="951" w:type="dxa"/>
            <w:tcBorders>
              <w:top w:val="single" w:color="auto" w:sz="4" w:space="0"/>
              <w:left w:val="nil"/>
              <w:bottom w:val="single" w:color="auto" w:sz="4" w:space="0"/>
              <w:right w:val="single" w:color="auto" w:sz="4" w:space="0"/>
            </w:tcBorders>
            <w:shd w:val="clear" w:color="auto" w:fill="auto"/>
            <w:vAlign w:val="center"/>
          </w:tcPr>
          <w:p w14:paraId="432B03B7">
            <w:pPr>
              <w:spacing w:line="300" w:lineRule="exact"/>
              <w:jc w:val="center"/>
            </w:pPr>
            <w:r>
              <w:rPr>
                <w:rFonts w:hint="eastAsia"/>
              </w:rPr>
              <w:t>100.00%</w:t>
            </w:r>
          </w:p>
        </w:tc>
        <w:tc>
          <w:tcPr>
            <w:tcW w:w="567" w:type="dxa"/>
            <w:tcBorders>
              <w:top w:val="single" w:color="auto" w:sz="4" w:space="0"/>
              <w:left w:val="nil"/>
              <w:bottom w:val="single" w:color="auto" w:sz="4" w:space="0"/>
              <w:right w:val="single" w:color="auto" w:sz="4" w:space="0"/>
            </w:tcBorders>
            <w:shd w:val="clear" w:color="auto" w:fill="auto"/>
            <w:vAlign w:val="center"/>
          </w:tcPr>
          <w:p w14:paraId="1F36CA0A">
            <w:pPr>
              <w:spacing w:line="300" w:lineRule="exact"/>
              <w:jc w:val="center"/>
            </w:pPr>
            <w:r>
              <w:rPr>
                <w:rFonts w:hint="eastAsia"/>
              </w:rPr>
              <w:t>10</w:t>
            </w:r>
          </w:p>
        </w:tc>
        <w:tc>
          <w:tcPr>
            <w:tcW w:w="709" w:type="dxa"/>
            <w:tcBorders>
              <w:top w:val="single" w:color="auto" w:sz="4" w:space="0"/>
              <w:left w:val="nil"/>
              <w:bottom w:val="single" w:color="auto" w:sz="4" w:space="0"/>
              <w:right w:val="single" w:color="auto" w:sz="4" w:space="0"/>
            </w:tcBorders>
            <w:shd w:val="clear" w:color="auto" w:fill="auto"/>
            <w:vAlign w:val="center"/>
          </w:tcPr>
          <w:p w14:paraId="785A13D1">
            <w:pPr>
              <w:spacing w:line="300" w:lineRule="exact"/>
              <w:jc w:val="center"/>
            </w:pPr>
            <w:r>
              <w:rPr>
                <w:rFonts w:hint="eastAsia"/>
              </w:rPr>
              <w:t>10</w:t>
            </w:r>
          </w:p>
        </w:tc>
      </w:tr>
    </w:tbl>
    <w:p w14:paraId="71F085E4">
      <w:pPr>
        <w:pStyle w:val="13"/>
        <w:tabs>
          <w:tab w:val="center" w:pos="4153"/>
          <w:tab w:val="left" w:pos="7275"/>
        </w:tabs>
        <w:spacing w:line="600" w:lineRule="exact"/>
        <w:ind w:firstLine="0" w:firstLineChars="0"/>
        <w:rPr>
          <w:rFonts w:ascii="方正仿宋_GBK" w:hAnsi="宋体" w:eastAsia="方正仿宋_GBK" w:cs="宋体"/>
          <w:b/>
          <w:kern w:val="0"/>
          <w:sz w:val="32"/>
          <w:szCs w:val="32"/>
        </w:rPr>
      </w:pPr>
    </w:p>
    <w:p w14:paraId="01A8A534">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南岸区基药管理中心于2020年11月5日对代储单位重庆国药器械公司购进区级应急储备物资数量、质量进行签字验收；截至2020年7月31日市级定点储备物资库存数量、金额经重庆普华会计师事务所进行专项审计，详见重庆市经济和信息化委员会《关于移交疫情防控储备物资的通知》。</w:t>
      </w:r>
    </w:p>
    <w:p w14:paraId="7906F6B4">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产出质量</w:t>
      </w:r>
    </w:p>
    <w:tbl>
      <w:tblPr>
        <w:tblStyle w:val="7"/>
        <w:tblW w:w="9073" w:type="dxa"/>
        <w:tblInd w:w="-176" w:type="dxa"/>
        <w:tblLayout w:type="fixed"/>
        <w:tblCellMar>
          <w:top w:w="0" w:type="dxa"/>
          <w:left w:w="108" w:type="dxa"/>
          <w:bottom w:w="0" w:type="dxa"/>
          <w:right w:w="108" w:type="dxa"/>
        </w:tblCellMar>
      </w:tblPr>
      <w:tblGrid>
        <w:gridCol w:w="851"/>
        <w:gridCol w:w="1134"/>
        <w:gridCol w:w="1134"/>
        <w:gridCol w:w="3969"/>
        <w:gridCol w:w="709"/>
        <w:gridCol w:w="567"/>
        <w:gridCol w:w="709"/>
      </w:tblGrid>
      <w:tr w14:paraId="421F8F2D">
        <w:tblPrEx>
          <w:tblCellMar>
            <w:top w:w="0" w:type="dxa"/>
            <w:left w:w="108" w:type="dxa"/>
            <w:bottom w:w="0" w:type="dxa"/>
            <w:right w:w="108" w:type="dxa"/>
          </w:tblCellMar>
        </w:tblPrEx>
        <w:trPr>
          <w:trHeight w:val="958" w:hRule="atLeast"/>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25E916CB">
            <w:pPr>
              <w:spacing w:line="320" w:lineRule="atLeast"/>
              <w:jc w:val="center"/>
            </w:pPr>
            <w:r>
              <w:rPr>
                <w:rFonts w:hint="eastAsia"/>
              </w:rPr>
              <w:t>项目实施单位</w:t>
            </w:r>
          </w:p>
        </w:tc>
        <w:tc>
          <w:tcPr>
            <w:tcW w:w="1134" w:type="dxa"/>
            <w:tcBorders>
              <w:top w:val="single" w:color="auto" w:sz="4" w:space="0"/>
              <w:left w:val="nil"/>
              <w:bottom w:val="single" w:color="auto" w:sz="4" w:space="0"/>
              <w:right w:val="single" w:color="auto" w:sz="4" w:space="0"/>
            </w:tcBorders>
            <w:shd w:val="clear" w:color="auto" w:fill="auto"/>
            <w:vAlign w:val="center"/>
          </w:tcPr>
          <w:p w14:paraId="72435C62">
            <w:pPr>
              <w:spacing w:line="320" w:lineRule="atLeast"/>
              <w:jc w:val="center"/>
            </w:pPr>
            <w:r>
              <w:rPr>
                <w:rFonts w:hint="eastAsia"/>
              </w:rPr>
              <w:t>储备物资类别</w:t>
            </w:r>
          </w:p>
        </w:tc>
        <w:tc>
          <w:tcPr>
            <w:tcW w:w="1134" w:type="dxa"/>
            <w:tcBorders>
              <w:top w:val="single" w:color="auto" w:sz="4" w:space="0"/>
              <w:left w:val="nil"/>
              <w:bottom w:val="single" w:color="auto" w:sz="4" w:space="0"/>
              <w:right w:val="single" w:color="auto" w:sz="4" w:space="0"/>
            </w:tcBorders>
            <w:shd w:val="clear" w:color="auto" w:fill="auto"/>
            <w:vAlign w:val="center"/>
          </w:tcPr>
          <w:p w14:paraId="409251EE">
            <w:pPr>
              <w:spacing w:line="320" w:lineRule="atLeast"/>
              <w:jc w:val="center"/>
            </w:pPr>
            <w:r>
              <w:rPr>
                <w:rFonts w:hint="eastAsia"/>
              </w:rPr>
              <w:t>储备总数量(个/台/瓶/套）</w:t>
            </w:r>
          </w:p>
        </w:tc>
        <w:tc>
          <w:tcPr>
            <w:tcW w:w="3969" w:type="dxa"/>
            <w:tcBorders>
              <w:top w:val="single" w:color="auto" w:sz="4" w:space="0"/>
              <w:left w:val="nil"/>
              <w:bottom w:val="single" w:color="auto" w:sz="4" w:space="0"/>
              <w:right w:val="single" w:color="auto" w:sz="4" w:space="0"/>
            </w:tcBorders>
            <w:shd w:val="clear" w:color="auto" w:fill="auto"/>
            <w:vAlign w:val="center"/>
          </w:tcPr>
          <w:p w14:paraId="48F096AD">
            <w:pPr>
              <w:spacing w:line="320" w:lineRule="atLeast"/>
              <w:jc w:val="center"/>
            </w:pPr>
            <w:r>
              <w:rPr>
                <w:rFonts w:hint="eastAsia"/>
              </w:rPr>
              <w:t>储备具体数量(个/台/瓶/套）</w:t>
            </w:r>
          </w:p>
        </w:tc>
        <w:tc>
          <w:tcPr>
            <w:tcW w:w="709" w:type="dxa"/>
            <w:tcBorders>
              <w:top w:val="single" w:color="auto" w:sz="4" w:space="0"/>
              <w:left w:val="nil"/>
              <w:bottom w:val="single" w:color="auto" w:sz="4" w:space="0"/>
              <w:right w:val="single" w:color="auto" w:sz="4" w:space="0"/>
            </w:tcBorders>
            <w:shd w:val="clear" w:color="auto" w:fill="auto"/>
            <w:vAlign w:val="center"/>
          </w:tcPr>
          <w:p w14:paraId="5672F9EB">
            <w:pPr>
              <w:spacing w:line="320" w:lineRule="atLeast"/>
              <w:jc w:val="center"/>
            </w:pPr>
            <w:r>
              <w:rPr>
                <w:rFonts w:hint="eastAsia"/>
              </w:rPr>
              <w:t>质量状况</w:t>
            </w:r>
          </w:p>
        </w:tc>
        <w:tc>
          <w:tcPr>
            <w:tcW w:w="567" w:type="dxa"/>
            <w:tcBorders>
              <w:top w:val="single" w:color="auto" w:sz="4" w:space="0"/>
              <w:left w:val="nil"/>
              <w:bottom w:val="single" w:color="auto" w:sz="4" w:space="0"/>
              <w:right w:val="single" w:color="auto" w:sz="4" w:space="0"/>
            </w:tcBorders>
            <w:shd w:val="clear" w:color="auto" w:fill="auto"/>
            <w:vAlign w:val="center"/>
          </w:tcPr>
          <w:p w14:paraId="0449B980">
            <w:pPr>
              <w:spacing w:line="320" w:lineRule="atLeast"/>
              <w:jc w:val="center"/>
            </w:pPr>
            <w:r>
              <w:rPr>
                <w:rFonts w:hint="eastAsia"/>
              </w:rPr>
              <w:t>标准分</w:t>
            </w:r>
          </w:p>
        </w:tc>
        <w:tc>
          <w:tcPr>
            <w:tcW w:w="709" w:type="dxa"/>
            <w:tcBorders>
              <w:top w:val="single" w:color="auto" w:sz="4" w:space="0"/>
              <w:left w:val="nil"/>
              <w:bottom w:val="single" w:color="auto" w:sz="4" w:space="0"/>
              <w:right w:val="single" w:color="auto" w:sz="4" w:space="0"/>
            </w:tcBorders>
            <w:shd w:val="clear" w:color="auto" w:fill="auto"/>
            <w:vAlign w:val="center"/>
          </w:tcPr>
          <w:p w14:paraId="1F83D1E0">
            <w:pPr>
              <w:spacing w:line="320" w:lineRule="atLeast"/>
              <w:jc w:val="center"/>
            </w:pPr>
            <w:r>
              <w:rPr>
                <w:rFonts w:hint="eastAsia"/>
              </w:rPr>
              <w:t>实际得分</w:t>
            </w:r>
          </w:p>
        </w:tc>
      </w:tr>
      <w:tr w14:paraId="77EDC9CD">
        <w:tblPrEx>
          <w:tblCellMar>
            <w:top w:w="0" w:type="dxa"/>
            <w:left w:w="108" w:type="dxa"/>
            <w:bottom w:w="0" w:type="dxa"/>
            <w:right w:w="108" w:type="dxa"/>
          </w:tblCellMar>
        </w:tblPrEx>
        <w:trPr>
          <w:trHeight w:val="2509" w:hRule="atLeast"/>
        </w:trPr>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523069">
            <w:pPr>
              <w:spacing w:line="320" w:lineRule="atLeast"/>
              <w:jc w:val="center"/>
            </w:pPr>
            <w:r>
              <w:rPr>
                <w:rFonts w:hint="eastAsia"/>
              </w:rPr>
              <w:t>岸区基层医疗卫生服务管理中心</w:t>
            </w:r>
          </w:p>
        </w:tc>
        <w:tc>
          <w:tcPr>
            <w:tcW w:w="1134" w:type="dxa"/>
            <w:tcBorders>
              <w:top w:val="single" w:color="auto" w:sz="4" w:space="0"/>
              <w:left w:val="nil"/>
              <w:bottom w:val="single" w:color="auto" w:sz="4" w:space="0"/>
              <w:right w:val="single" w:color="auto" w:sz="4" w:space="0"/>
            </w:tcBorders>
            <w:shd w:val="clear" w:color="auto" w:fill="auto"/>
            <w:vAlign w:val="center"/>
          </w:tcPr>
          <w:p w14:paraId="2AD97BB1">
            <w:pPr>
              <w:spacing w:line="320" w:lineRule="atLeast"/>
              <w:jc w:val="center"/>
            </w:pPr>
            <w:r>
              <w:rPr>
                <w:rFonts w:hint="eastAsia"/>
              </w:rPr>
              <w:t>防护物资</w:t>
            </w:r>
          </w:p>
        </w:tc>
        <w:tc>
          <w:tcPr>
            <w:tcW w:w="1134" w:type="dxa"/>
            <w:tcBorders>
              <w:top w:val="single" w:color="auto" w:sz="4" w:space="0"/>
              <w:left w:val="nil"/>
              <w:bottom w:val="single" w:color="auto" w:sz="4" w:space="0"/>
              <w:right w:val="single" w:color="auto" w:sz="4" w:space="0"/>
            </w:tcBorders>
            <w:shd w:val="clear" w:color="auto" w:fill="auto"/>
            <w:vAlign w:val="center"/>
          </w:tcPr>
          <w:p w14:paraId="2989C1C6">
            <w:pPr>
              <w:spacing w:line="320" w:lineRule="atLeast"/>
              <w:jc w:val="center"/>
            </w:pPr>
            <w:r>
              <w:rPr>
                <w:rFonts w:hint="eastAsia"/>
              </w:rPr>
              <w:t>509745</w:t>
            </w:r>
          </w:p>
        </w:tc>
        <w:tc>
          <w:tcPr>
            <w:tcW w:w="3969" w:type="dxa"/>
            <w:tcBorders>
              <w:top w:val="single" w:color="auto" w:sz="4" w:space="0"/>
              <w:left w:val="nil"/>
              <w:bottom w:val="single" w:color="auto" w:sz="4" w:space="0"/>
              <w:right w:val="single" w:color="auto" w:sz="4" w:space="0"/>
            </w:tcBorders>
            <w:shd w:val="clear" w:color="auto" w:fill="auto"/>
            <w:vAlign w:val="center"/>
          </w:tcPr>
          <w:p w14:paraId="32D9B7F7">
            <w:pPr>
              <w:spacing w:line="320" w:lineRule="atLeast"/>
            </w:pPr>
            <w:r>
              <w:rPr>
                <w:rFonts w:hint="eastAsia"/>
              </w:rPr>
              <w:t>医用防护口罩18000个，医用外科口罩300000个，一次性防护面罩3000个，防雾护目镜800个，医用防护服5000件，医用隔离医40000件，一次性使用灭菌橡胶外科手套30935双，医用检查手套20000双，医用工作帽60000个，长筒靴套7000双，一次性保护鞋套25000双，正压头盔10个。</w:t>
            </w:r>
          </w:p>
        </w:tc>
        <w:tc>
          <w:tcPr>
            <w:tcW w:w="709" w:type="dxa"/>
            <w:tcBorders>
              <w:top w:val="single" w:color="auto" w:sz="4" w:space="0"/>
              <w:left w:val="nil"/>
              <w:bottom w:val="single" w:color="auto" w:sz="4" w:space="0"/>
              <w:right w:val="single" w:color="auto" w:sz="4" w:space="0"/>
            </w:tcBorders>
            <w:shd w:val="clear" w:color="auto" w:fill="auto"/>
            <w:vAlign w:val="center"/>
          </w:tcPr>
          <w:p w14:paraId="39176966">
            <w:pPr>
              <w:spacing w:line="320" w:lineRule="atLeast"/>
              <w:jc w:val="center"/>
            </w:pPr>
            <w:r>
              <w:rPr>
                <w:rFonts w:hint="eastAsia"/>
              </w:rPr>
              <w:t>合格</w:t>
            </w:r>
          </w:p>
        </w:tc>
        <w:tc>
          <w:tcPr>
            <w:tcW w:w="567" w:type="dxa"/>
            <w:tcBorders>
              <w:top w:val="single" w:color="auto" w:sz="4" w:space="0"/>
              <w:left w:val="nil"/>
              <w:bottom w:val="single" w:color="auto" w:sz="4" w:space="0"/>
              <w:right w:val="single" w:color="auto" w:sz="4" w:space="0"/>
            </w:tcBorders>
            <w:shd w:val="clear" w:color="auto" w:fill="auto"/>
            <w:vAlign w:val="center"/>
          </w:tcPr>
          <w:p w14:paraId="727FF2B3">
            <w:pPr>
              <w:spacing w:line="320" w:lineRule="atLeast"/>
              <w:jc w:val="center"/>
            </w:pPr>
            <w:r>
              <w:rPr>
                <w:rFonts w:hint="eastAsia"/>
              </w:rPr>
              <w:t>1</w:t>
            </w:r>
          </w:p>
        </w:tc>
        <w:tc>
          <w:tcPr>
            <w:tcW w:w="709" w:type="dxa"/>
            <w:tcBorders>
              <w:top w:val="single" w:color="auto" w:sz="4" w:space="0"/>
              <w:left w:val="nil"/>
              <w:bottom w:val="single" w:color="auto" w:sz="4" w:space="0"/>
              <w:right w:val="single" w:color="auto" w:sz="4" w:space="0"/>
            </w:tcBorders>
            <w:shd w:val="clear" w:color="auto" w:fill="auto"/>
            <w:vAlign w:val="center"/>
          </w:tcPr>
          <w:p w14:paraId="19E9A697">
            <w:pPr>
              <w:spacing w:line="320" w:lineRule="atLeast"/>
              <w:jc w:val="center"/>
            </w:pPr>
            <w:r>
              <w:rPr>
                <w:rFonts w:hint="eastAsia"/>
              </w:rPr>
              <w:t>1</w:t>
            </w:r>
          </w:p>
        </w:tc>
      </w:tr>
      <w:tr w14:paraId="0842B25A">
        <w:tblPrEx>
          <w:tblCellMar>
            <w:top w:w="0" w:type="dxa"/>
            <w:left w:w="108" w:type="dxa"/>
            <w:bottom w:w="0" w:type="dxa"/>
            <w:right w:w="108" w:type="dxa"/>
          </w:tblCellMar>
        </w:tblPrEx>
        <w:trPr>
          <w:trHeight w:val="930"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696A84F1">
            <w:pPr>
              <w:spacing w:line="320" w:lineRule="atLeast"/>
              <w:jc w:val="center"/>
            </w:pPr>
          </w:p>
        </w:tc>
        <w:tc>
          <w:tcPr>
            <w:tcW w:w="1134" w:type="dxa"/>
            <w:tcBorders>
              <w:top w:val="single" w:color="auto" w:sz="4" w:space="0"/>
              <w:left w:val="nil"/>
              <w:bottom w:val="single" w:color="auto" w:sz="4" w:space="0"/>
              <w:right w:val="single" w:color="auto" w:sz="4" w:space="0"/>
            </w:tcBorders>
            <w:shd w:val="clear" w:color="auto" w:fill="auto"/>
            <w:vAlign w:val="center"/>
          </w:tcPr>
          <w:p w14:paraId="07FE7A76">
            <w:pPr>
              <w:spacing w:line="320" w:lineRule="atLeast"/>
              <w:jc w:val="center"/>
            </w:pPr>
            <w:r>
              <w:rPr>
                <w:rFonts w:hint="eastAsia"/>
              </w:rPr>
              <w:t>消杀用品</w:t>
            </w:r>
          </w:p>
        </w:tc>
        <w:tc>
          <w:tcPr>
            <w:tcW w:w="1134" w:type="dxa"/>
            <w:tcBorders>
              <w:top w:val="single" w:color="auto" w:sz="4" w:space="0"/>
              <w:left w:val="nil"/>
              <w:bottom w:val="single" w:color="auto" w:sz="4" w:space="0"/>
              <w:right w:val="single" w:color="auto" w:sz="4" w:space="0"/>
            </w:tcBorders>
            <w:shd w:val="clear" w:color="auto" w:fill="auto"/>
            <w:vAlign w:val="center"/>
          </w:tcPr>
          <w:p w14:paraId="27BB7E12">
            <w:pPr>
              <w:spacing w:line="320" w:lineRule="atLeast"/>
              <w:jc w:val="center"/>
            </w:pPr>
            <w:r>
              <w:rPr>
                <w:rFonts w:hint="eastAsia"/>
              </w:rPr>
              <w:t>8800</w:t>
            </w:r>
          </w:p>
        </w:tc>
        <w:tc>
          <w:tcPr>
            <w:tcW w:w="3969" w:type="dxa"/>
            <w:tcBorders>
              <w:top w:val="single" w:color="auto" w:sz="4" w:space="0"/>
              <w:left w:val="nil"/>
              <w:bottom w:val="single" w:color="auto" w:sz="4" w:space="0"/>
              <w:right w:val="single" w:color="auto" w:sz="4" w:space="0"/>
            </w:tcBorders>
            <w:shd w:val="clear" w:color="auto" w:fill="auto"/>
            <w:vAlign w:val="center"/>
          </w:tcPr>
          <w:p w14:paraId="2ED60A4F">
            <w:pPr>
              <w:spacing w:line="320" w:lineRule="atLeast"/>
              <w:jc w:val="center"/>
            </w:pPr>
            <w:r>
              <w:rPr>
                <w:rFonts w:hint="eastAsia"/>
              </w:rPr>
              <w:t>速干手消毒液4000瓶，医用酒精1000瓶，泡腾消毒片2000瓶，季铵盐消毒湿巾1500包，优氯净300盒。</w:t>
            </w:r>
          </w:p>
        </w:tc>
        <w:tc>
          <w:tcPr>
            <w:tcW w:w="709" w:type="dxa"/>
            <w:tcBorders>
              <w:top w:val="single" w:color="auto" w:sz="4" w:space="0"/>
              <w:left w:val="nil"/>
              <w:bottom w:val="single" w:color="auto" w:sz="4" w:space="0"/>
              <w:right w:val="single" w:color="auto" w:sz="4" w:space="0"/>
            </w:tcBorders>
            <w:shd w:val="clear" w:color="auto" w:fill="auto"/>
            <w:vAlign w:val="center"/>
          </w:tcPr>
          <w:p w14:paraId="10EBB397">
            <w:pPr>
              <w:spacing w:line="320" w:lineRule="atLeast"/>
              <w:jc w:val="center"/>
            </w:pPr>
            <w:r>
              <w:rPr>
                <w:rFonts w:hint="eastAsia"/>
              </w:rPr>
              <w:t>合格</w:t>
            </w:r>
          </w:p>
        </w:tc>
        <w:tc>
          <w:tcPr>
            <w:tcW w:w="567" w:type="dxa"/>
            <w:tcBorders>
              <w:top w:val="single" w:color="auto" w:sz="4" w:space="0"/>
              <w:left w:val="nil"/>
              <w:bottom w:val="single" w:color="auto" w:sz="4" w:space="0"/>
              <w:right w:val="single" w:color="auto" w:sz="4" w:space="0"/>
            </w:tcBorders>
            <w:shd w:val="clear" w:color="auto" w:fill="auto"/>
            <w:vAlign w:val="center"/>
          </w:tcPr>
          <w:p w14:paraId="7D401CDB">
            <w:pPr>
              <w:spacing w:line="320" w:lineRule="atLeast"/>
              <w:jc w:val="center"/>
            </w:pPr>
            <w:r>
              <w:rPr>
                <w:rFonts w:hint="eastAsia"/>
              </w:rPr>
              <w:t>1</w:t>
            </w:r>
          </w:p>
        </w:tc>
        <w:tc>
          <w:tcPr>
            <w:tcW w:w="709" w:type="dxa"/>
            <w:tcBorders>
              <w:top w:val="single" w:color="auto" w:sz="4" w:space="0"/>
              <w:left w:val="nil"/>
              <w:bottom w:val="single" w:color="auto" w:sz="4" w:space="0"/>
              <w:right w:val="single" w:color="auto" w:sz="4" w:space="0"/>
            </w:tcBorders>
            <w:shd w:val="clear" w:color="auto" w:fill="auto"/>
            <w:vAlign w:val="center"/>
          </w:tcPr>
          <w:p w14:paraId="7BF138C8">
            <w:pPr>
              <w:spacing w:line="320" w:lineRule="atLeast"/>
              <w:jc w:val="center"/>
            </w:pPr>
            <w:r>
              <w:rPr>
                <w:rFonts w:hint="eastAsia"/>
              </w:rPr>
              <w:t>1</w:t>
            </w:r>
          </w:p>
        </w:tc>
      </w:tr>
      <w:tr w14:paraId="5C77653E">
        <w:tblPrEx>
          <w:tblCellMar>
            <w:top w:w="0" w:type="dxa"/>
            <w:left w:w="108" w:type="dxa"/>
            <w:bottom w:w="0" w:type="dxa"/>
            <w:right w:w="108" w:type="dxa"/>
          </w:tblCellMar>
        </w:tblPrEx>
        <w:trPr>
          <w:trHeight w:val="1050"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34120580">
            <w:pPr>
              <w:spacing w:line="320" w:lineRule="atLeast"/>
              <w:jc w:val="center"/>
            </w:pPr>
          </w:p>
        </w:tc>
        <w:tc>
          <w:tcPr>
            <w:tcW w:w="1134" w:type="dxa"/>
            <w:tcBorders>
              <w:top w:val="single" w:color="auto" w:sz="4" w:space="0"/>
              <w:left w:val="nil"/>
              <w:bottom w:val="single" w:color="auto" w:sz="4" w:space="0"/>
              <w:right w:val="single" w:color="auto" w:sz="4" w:space="0"/>
            </w:tcBorders>
            <w:shd w:val="clear" w:color="auto" w:fill="auto"/>
            <w:vAlign w:val="center"/>
          </w:tcPr>
          <w:p w14:paraId="57C7ECF7">
            <w:pPr>
              <w:spacing w:line="320" w:lineRule="atLeast"/>
              <w:jc w:val="center"/>
            </w:pPr>
            <w:r>
              <w:rPr>
                <w:rFonts w:hint="eastAsia"/>
              </w:rPr>
              <w:t>防护器械</w:t>
            </w:r>
          </w:p>
        </w:tc>
        <w:tc>
          <w:tcPr>
            <w:tcW w:w="1134" w:type="dxa"/>
            <w:tcBorders>
              <w:top w:val="single" w:color="auto" w:sz="4" w:space="0"/>
              <w:left w:val="nil"/>
              <w:bottom w:val="single" w:color="auto" w:sz="4" w:space="0"/>
              <w:right w:val="single" w:color="auto" w:sz="4" w:space="0"/>
            </w:tcBorders>
            <w:shd w:val="clear" w:color="auto" w:fill="auto"/>
            <w:vAlign w:val="center"/>
          </w:tcPr>
          <w:p w14:paraId="65729297">
            <w:pPr>
              <w:spacing w:line="320" w:lineRule="atLeast"/>
              <w:jc w:val="center"/>
            </w:pPr>
            <w:r>
              <w:rPr>
                <w:rFonts w:hint="eastAsia"/>
              </w:rPr>
              <w:t>1077</w:t>
            </w:r>
          </w:p>
        </w:tc>
        <w:tc>
          <w:tcPr>
            <w:tcW w:w="3969" w:type="dxa"/>
            <w:tcBorders>
              <w:top w:val="single" w:color="auto" w:sz="4" w:space="0"/>
              <w:left w:val="nil"/>
              <w:bottom w:val="single" w:color="auto" w:sz="4" w:space="0"/>
              <w:right w:val="single" w:color="auto" w:sz="4" w:space="0"/>
            </w:tcBorders>
            <w:shd w:val="clear" w:color="auto" w:fill="auto"/>
            <w:vAlign w:val="center"/>
          </w:tcPr>
          <w:p w14:paraId="1130A8D3">
            <w:pPr>
              <w:spacing w:line="320" w:lineRule="atLeast"/>
              <w:jc w:val="center"/>
            </w:pPr>
            <w:r>
              <w:rPr>
                <w:rFonts w:hint="eastAsia"/>
              </w:rPr>
              <w:t>手持式红外线测温仪500个，红外热成像仪1台，正压滤盒5个，正压头套20个，正压送风系统1台，玻璃体温计500支，生物安全运输箱50个。</w:t>
            </w:r>
          </w:p>
        </w:tc>
        <w:tc>
          <w:tcPr>
            <w:tcW w:w="709" w:type="dxa"/>
            <w:tcBorders>
              <w:top w:val="single" w:color="auto" w:sz="4" w:space="0"/>
              <w:left w:val="nil"/>
              <w:bottom w:val="single" w:color="auto" w:sz="4" w:space="0"/>
              <w:right w:val="single" w:color="auto" w:sz="4" w:space="0"/>
            </w:tcBorders>
            <w:shd w:val="clear" w:color="auto" w:fill="auto"/>
            <w:vAlign w:val="center"/>
          </w:tcPr>
          <w:p w14:paraId="765E76C4">
            <w:pPr>
              <w:spacing w:line="320" w:lineRule="atLeast"/>
              <w:jc w:val="center"/>
            </w:pPr>
            <w:r>
              <w:rPr>
                <w:rFonts w:hint="eastAsia"/>
              </w:rPr>
              <w:t>合格</w:t>
            </w:r>
          </w:p>
        </w:tc>
        <w:tc>
          <w:tcPr>
            <w:tcW w:w="567" w:type="dxa"/>
            <w:tcBorders>
              <w:top w:val="single" w:color="auto" w:sz="4" w:space="0"/>
              <w:left w:val="nil"/>
              <w:bottom w:val="single" w:color="auto" w:sz="4" w:space="0"/>
              <w:right w:val="single" w:color="auto" w:sz="4" w:space="0"/>
            </w:tcBorders>
            <w:shd w:val="clear" w:color="auto" w:fill="auto"/>
            <w:vAlign w:val="center"/>
          </w:tcPr>
          <w:p w14:paraId="39526E88">
            <w:pPr>
              <w:spacing w:line="320" w:lineRule="atLeast"/>
              <w:jc w:val="center"/>
            </w:pPr>
            <w:r>
              <w:rPr>
                <w:rFonts w:hint="eastAsia"/>
              </w:rPr>
              <w:t>1</w:t>
            </w:r>
          </w:p>
        </w:tc>
        <w:tc>
          <w:tcPr>
            <w:tcW w:w="709" w:type="dxa"/>
            <w:tcBorders>
              <w:top w:val="single" w:color="auto" w:sz="4" w:space="0"/>
              <w:left w:val="nil"/>
              <w:bottom w:val="single" w:color="auto" w:sz="4" w:space="0"/>
              <w:right w:val="single" w:color="auto" w:sz="4" w:space="0"/>
            </w:tcBorders>
            <w:shd w:val="clear" w:color="auto" w:fill="auto"/>
            <w:vAlign w:val="center"/>
          </w:tcPr>
          <w:p w14:paraId="7E80D0E5">
            <w:pPr>
              <w:spacing w:line="320" w:lineRule="atLeast"/>
              <w:jc w:val="center"/>
            </w:pPr>
            <w:r>
              <w:rPr>
                <w:rFonts w:hint="eastAsia"/>
              </w:rPr>
              <w:t>1</w:t>
            </w:r>
          </w:p>
        </w:tc>
      </w:tr>
      <w:tr w14:paraId="56B5D6CB">
        <w:tblPrEx>
          <w:tblCellMar>
            <w:top w:w="0" w:type="dxa"/>
            <w:left w:w="108" w:type="dxa"/>
            <w:bottom w:w="0" w:type="dxa"/>
            <w:right w:w="108" w:type="dxa"/>
          </w:tblCellMar>
        </w:tblPrEx>
        <w:trPr>
          <w:trHeight w:val="702"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582CD402">
            <w:pPr>
              <w:spacing w:line="320" w:lineRule="atLeast"/>
              <w:jc w:val="center"/>
            </w:pPr>
          </w:p>
        </w:tc>
        <w:tc>
          <w:tcPr>
            <w:tcW w:w="1134" w:type="dxa"/>
            <w:tcBorders>
              <w:top w:val="single" w:color="auto" w:sz="4" w:space="0"/>
              <w:left w:val="nil"/>
              <w:bottom w:val="single" w:color="auto" w:sz="4" w:space="0"/>
              <w:right w:val="single" w:color="auto" w:sz="4" w:space="0"/>
            </w:tcBorders>
            <w:shd w:val="clear" w:color="auto" w:fill="auto"/>
            <w:vAlign w:val="center"/>
          </w:tcPr>
          <w:p w14:paraId="3EE6D8F6">
            <w:pPr>
              <w:spacing w:line="320" w:lineRule="atLeast"/>
              <w:jc w:val="center"/>
            </w:pPr>
            <w:r>
              <w:rPr>
                <w:rFonts w:hint="eastAsia"/>
              </w:rPr>
              <w:t xml:space="preserve">检测试剂      </w:t>
            </w:r>
          </w:p>
        </w:tc>
        <w:tc>
          <w:tcPr>
            <w:tcW w:w="1134" w:type="dxa"/>
            <w:tcBorders>
              <w:top w:val="single" w:color="auto" w:sz="4" w:space="0"/>
              <w:left w:val="nil"/>
              <w:bottom w:val="single" w:color="auto" w:sz="4" w:space="0"/>
              <w:right w:val="single" w:color="auto" w:sz="4" w:space="0"/>
            </w:tcBorders>
            <w:shd w:val="clear" w:color="auto" w:fill="auto"/>
            <w:vAlign w:val="center"/>
          </w:tcPr>
          <w:p w14:paraId="7212EF9E">
            <w:pPr>
              <w:spacing w:line="320" w:lineRule="atLeast"/>
              <w:jc w:val="center"/>
            </w:pPr>
            <w:r>
              <w:rPr>
                <w:rFonts w:hint="eastAsia"/>
              </w:rPr>
              <w:t>1000</w:t>
            </w:r>
          </w:p>
        </w:tc>
        <w:tc>
          <w:tcPr>
            <w:tcW w:w="3969" w:type="dxa"/>
            <w:tcBorders>
              <w:top w:val="single" w:color="auto" w:sz="4" w:space="0"/>
              <w:left w:val="nil"/>
              <w:bottom w:val="single" w:color="auto" w:sz="4" w:space="0"/>
              <w:right w:val="single" w:color="auto" w:sz="4" w:space="0"/>
            </w:tcBorders>
            <w:shd w:val="clear" w:color="auto" w:fill="auto"/>
            <w:vAlign w:val="center"/>
          </w:tcPr>
          <w:p w14:paraId="719985B2">
            <w:pPr>
              <w:spacing w:line="320" w:lineRule="atLeast"/>
              <w:jc w:val="center"/>
            </w:pPr>
            <w:r>
              <w:rPr>
                <w:rFonts w:hint="eastAsia"/>
              </w:rPr>
              <w:t>一次性病毒采样管（非灭活）500支，混检病毒采样管（非灭活）500支。</w:t>
            </w:r>
          </w:p>
        </w:tc>
        <w:tc>
          <w:tcPr>
            <w:tcW w:w="709" w:type="dxa"/>
            <w:tcBorders>
              <w:top w:val="single" w:color="auto" w:sz="4" w:space="0"/>
              <w:left w:val="nil"/>
              <w:bottom w:val="single" w:color="auto" w:sz="4" w:space="0"/>
              <w:right w:val="single" w:color="auto" w:sz="4" w:space="0"/>
            </w:tcBorders>
            <w:shd w:val="clear" w:color="auto" w:fill="auto"/>
            <w:vAlign w:val="center"/>
          </w:tcPr>
          <w:p w14:paraId="19906859">
            <w:pPr>
              <w:spacing w:line="320" w:lineRule="atLeast"/>
              <w:jc w:val="center"/>
            </w:pPr>
            <w:r>
              <w:rPr>
                <w:rFonts w:hint="eastAsia"/>
              </w:rPr>
              <w:t>合格</w:t>
            </w:r>
          </w:p>
        </w:tc>
        <w:tc>
          <w:tcPr>
            <w:tcW w:w="567" w:type="dxa"/>
            <w:tcBorders>
              <w:top w:val="single" w:color="auto" w:sz="4" w:space="0"/>
              <w:left w:val="nil"/>
              <w:bottom w:val="single" w:color="auto" w:sz="4" w:space="0"/>
              <w:right w:val="single" w:color="auto" w:sz="4" w:space="0"/>
            </w:tcBorders>
            <w:shd w:val="clear" w:color="auto" w:fill="auto"/>
            <w:vAlign w:val="center"/>
          </w:tcPr>
          <w:p w14:paraId="4A05E45C">
            <w:pPr>
              <w:spacing w:line="320" w:lineRule="atLeast"/>
              <w:jc w:val="center"/>
            </w:pPr>
            <w:r>
              <w:rPr>
                <w:rFonts w:hint="eastAsia"/>
              </w:rPr>
              <w:t>1</w:t>
            </w:r>
          </w:p>
        </w:tc>
        <w:tc>
          <w:tcPr>
            <w:tcW w:w="709" w:type="dxa"/>
            <w:tcBorders>
              <w:top w:val="single" w:color="auto" w:sz="4" w:space="0"/>
              <w:left w:val="nil"/>
              <w:bottom w:val="single" w:color="auto" w:sz="4" w:space="0"/>
              <w:right w:val="single" w:color="auto" w:sz="4" w:space="0"/>
            </w:tcBorders>
            <w:shd w:val="clear" w:color="auto" w:fill="auto"/>
            <w:vAlign w:val="center"/>
          </w:tcPr>
          <w:p w14:paraId="2F1A8CA7">
            <w:pPr>
              <w:spacing w:line="320" w:lineRule="atLeast"/>
              <w:jc w:val="center"/>
            </w:pPr>
            <w:r>
              <w:rPr>
                <w:rFonts w:hint="eastAsia"/>
              </w:rPr>
              <w:t>1</w:t>
            </w:r>
          </w:p>
        </w:tc>
      </w:tr>
      <w:tr w14:paraId="329F617B">
        <w:tblPrEx>
          <w:tblCellMar>
            <w:top w:w="0" w:type="dxa"/>
            <w:left w:w="108" w:type="dxa"/>
            <w:bottom w:w="0" w:type="dxa"/>
            <w:right w:w="108" w:type="dxa"/>
          </w:tblCellMar>
        </w:tblPrEx>
        <w:trPr>
          <w:trHeight w:val="393" w:hRule="atLeast"/>
        </w:trPr>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21461C">
            <w:pPr>
              <w:spacing w:line="320" w:lineRule="atLeast"/>
              <w:jc w:val="center"/>
            </w:pPr>
            <w:r>
              <w:rPr>
                <w:rFonts w:hint="eastAsia"/>
              </w:rPr>
              <w:t>国药控股重庆医疗器械公司</w:t>
            </w:r>
          </w:p>
        </w:tc>
        <w:tc>
          <w:tcPr>
            <w:tcW w:w="1134" w:type="dxa"/>
            <w:tcBorders>
              <w:top w:val="single" w:color="auto" w:sz="4" w:space="0"/>
              <w:left w:val="nil"/>
              <w:bottom w:val="single" w:color="auto" w:sz="4" w:space="0"/>
              <w:right w:val="single" w:color="auto" w:sz="4" w:space="0"/>
            </w:tcBorders>
            <w:shd w:val="clear" w:color="auto" w:fill="auto"/>
            <w:vAlign w:val="center"/>
          </w:tcPr>
          <w:p w14:paraId="2757F091">
            <w:pPr>
              <w:spacing w:line="320" w:lineRule="atLeast"/>
              <w:jc w:val="center"/>
            </w:pPr>
            <w:r>
              <w:rPr>
                <w:rFonts w:hint="eastAsia"/>
              </w:rPr>
              <w:t>防护器械</w:t>
            </w:r>
          </w:p>
        </w:tc>
        <w:tc>
          <w:tcPr>
            <w:tcW w:w="1134" w:type="dxa"/>
            <w:tcBorders>
              <w:top w:val="single" w:color="auto" w:sz="4" w:space="0"/>
              <w:left w:val="nil"/>
              <w:bottom w:val="single" w:color="auto" w:sz="4" w:space="0"/>
              <w:right w:val="single" w:color="auto" w:sz="4" w:space="0"/>
            </w:tcBorders>
            <w:shd w:val="clear" w:color="auto" w:fill="auto"/>
            <w:vAlign w:val="center"/>
          </w:tcPr>
          <w:p w14:paraId="5898B51D">
            <w:pPr>
              <w:spacing w:line="320" w:lineRule="atLeast"/>
              <w:jc w:val="center"/>
            </w:pPr>
            <w:r>
              <w:rPr>
                <w:rFonts w:hint="eastAsia"/>
              </w:rPr>
              <w:t>5</w:t>
            </w:r>
          </w:p>
        </w:tc>
        <w:tc>
          <w:tcPr>
            <w:tcW w:w="3969" w:type="dxa"/>
            <w:tcBorders>
              <w:top w:val="single" w:color="auto" w:sz="4" w:space="0"/>
              <w:left w:val="nil"/>
              <w:bottom w:val="single" w:color="auto" w:sz="4" w:space="0"/>
              <w:right w:val="single" w:color="auto" w:sz="4" w:space="0"/>
            </w:tcBorders>
            <w:shd w:val="clear" w:color="auto" w:fill="auto"/>
            <w:vAlign w:val="center"/>
          </w:tcPr>
          <w:p w14:paraId="25108E70">
            <w:pPr>
              <w:spacing w:line="320" w:lineRule="atLeast"/>
              <w:jc w:val="center"/>
            </w:pPr>
            <w:r>
              <w:rPr>
                <w:rFonts w:hint="eastAsia"/>
              </w:rPr>
              <w:t>红外热像仪5台。</w:t>
            </w:r>
          </w:p>
        </w:tc>
        <w:tc>
          <w:tcPr>
            <w:tcW w:w="709" w:type="dxa"/>
            <w:tcBorders>
              <w:top w:val="single" w:color="auto" w:sz="4" w:space="0"/>
              <w:left w:val="nil"/>
              <w:bottom w:val="single" w:color="auto" w:sz="4" w:space="0"/>
              <w:right w:val="single" w:color="auto" w:sz="4" w:space="0"/>
            </w:tcBorders>
            <w:shd w:val="clear" w:color="auto" w:fill="auto"/>
            <w:vAlign w:val="center"/>
          </w:tcPr>
          <w:p w14:paraId="3B891B00">
            <w:pPr>
              <w:spacing w:line="320" w:lineRule="atLeast"/>
              <w:jc w:val="center"/>
            </w:pPr>
            <w:r>
              <w:rPr>
                <w:rFonts w:hint="eastAsia"/>
              </w:rPr>
              <w:t>合格</w:t>
            </w:r>
          </w:p>
        </w:tc>
        <w:tc>
          <w:tcPr>
            <w:tcW w:w="567" w:type="dxa"/>
            <w:tcBorders>
              <w:top w:val="single" w:color="auto" w:sz="4" w:space="0"/>
              <w:left w:val="nil"/>
              <w:bottom w:val="single" w:color="auto" w:sz="4" w:space="0"/>
              <w:right w:val="single" w:color="auto" w:sz="4" w:space="0"/>
            </w:tcBorders>
            <w:shd w:val="clear" w:color="auto" w:fill="auto"/>
            <w:vAlign w:val="center"/>
          </w:tcPr>
          <w:p w14:paraId="244AEE22">
            <w:pPr>
              <w:spacing w:line="320" w:lineRule="atLeast"/>
              <w:jc w:val="center"/>
            </w:pPr>
            <w:r>
              <w:rPr>
                <w:rFonts w:hint="eastAsia"/>
              </w:rPr>
              <w:t>0.5</w:t>
            </w:r>
          </w:p>
        </w:tc>
        <w:tc>
          <w:tcPr>
            <w:tcW w:w="709" w:type="dxa"/>
            <w:tcBorders>
              <w:top w:val="single" w:color="auto" w:sz="4" w:space="0"/>
              <w:left w:val="nil"/>
              <w:bottom w:val="single" w:color="auto" w:sz="4" w:space="0"/>
              <w:right w:val="single" w:color="auto" w:sz="4" w:space="0"/>
            </w:tcBorders>
            <w:shd w:val="clear" w:color="auto" w:fill="auto"/>
            <w:vAlign w:val="center"/>
          </w:tcPr>
          <w:p w14:paraId="3DC08812">
            <w:pPr>
              <w:spacing w:line="320" w:lineRule="atLeast"/>
              <w:jc w:val="center"/>
            </w:pPr>
            <w:r>
              <w:rPr>
                <w:rFonts w:hint="eastAsia"/>
              </w:rPr>
              <w:t>0.5</w:t>
            </w:r>
          </w:p>
        </w:tc>
      </w:tr>
      <w:tr w14:paraId="4485F70B">
        <w:tblPrEx>
          <w:tblCellMar>
            <w:top w:w="0" w:type="dxa"/>
            <w:left w:w="108" w:type="dxa"/>
            <w:bottom w:w="0" w:type="dxa"/>
            <w:right w:w="108" w:type="dxa"/>
          </w:tblCellMar>
        </w:tblPrEx>
        <w:trPr>
          <w:trHeight w:val="413"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30CB34A2">
            <w:pPr>
              <w:spacing w:line="320" w:lineRule="atLeast"/>
              <w:jc w:val="center"/>
            </w:pPr>
          </w:p>
        </w:tc>
        <w:tc>
          <w:tcPr>
            <w:tcW w:w="1134" w:type="dxa"/>
            <w:tcBorders>
              <w:top w:val="single" w:color="auto" w:sz="4" w:space="0"/>
              <w:left w:val="nil"/>
              <w:bottom w:val="single" w:color="auto" w:sz="4" w:space="0"/>
              <w:right w:val="single" w:color="auto" w:sz="4" w:space="0"/>
            </w:tcBorders>
            <w:shd w:val="clear" w:color="auto" w:fill="auto"/>
            <w:vAlign w:val="center"/>
          </w:tcPr>
          <w:p w14:paraId="69D34C2E">
            <w:pPr>
              <w:spacing w:line="320" w:lineRule="atLeast"/>
              <w:jc w:val="center"/>
            </w:pPr>
            <w:r>
              <w:rPr>
                <w:rFonts w:hint="eastAsia"/>
              </w:rPr>
              <w:t>防护物资</w:t>
            </w:r>
          </w:p>
        </w:tc>
        <w:tc>
          <w:tcPr>
            <w:tcW w:w="1134" w:type="dxa"/>
            <w:tcBorders>
              <w:top w:val="single" w:color="auto" w:sz="4" w:space="0"/>
              <w:left w:val="nil"/>
              <w:bottom w:val="single" w:color="auto" w:sz="4" w:space="0"/>
              <w:right w:val="single" w:color="auto" w:sz="4" w:space="0"/>
            </w:tcBorders>
            <w:shd w:val="clear" w:color="auto" w:fill="auto"/>
            <w:vAlign w:val="center"/>
          </w:tcPr>
          <w:p w14:paraId="1628D200">
            <w:pPr>
              <w:spacing w:line="320" w:lineRule="atLeast"/>
              <w:jc w:val="center"/>
              <w:rPr>
                <w:color w:val="000000"/>
              </w:rPr>
            </w:pPr>
            <w:r>
              <w:rPr>
                <w:rFonts w:hint="eastAsia"/>
                <w:color w:val="000000"/>
              </w:rPr>
              <w:t>7785</w:t>
            </w:r>
          </w:p>
        </w:tc>
        <w:tc>
          <w:tcPr>
            <w:tcW w:w="3969" w:type="dxa"/>
            <w:tcBorders>
              <w:top w:val="single" w:color="auto" w:sz="4" w:space="0"/>
              <w:left w:val="nil"/>
              <w:bottom w:val="single" w:color="auto" w:sz="4" w:space="0"/>
              <w:right w:val="single" w:color="auto" w:sz="4" w:space="0"/>
            </w:tcBorders>
            <w:shd w:val="clear" w:color="auto" w:fill="auto"/>
            <w:vAlign w:val="center"/>
          </w:tcPr>
          <w:p w14:paraId="33E2D67F">
            <w:pPr>
              <w:spacing w:line="320" w:lineRule="atLeast"/>
              <w:jc w:val="center"/>
            </w:pPr>
            <w:r>
              <w:rPr>
                <w:rFonts w:hint="eastAsia"/>
              </w:rPr>
              <w:t>全面罩50个，医用隔离面罩7735个。</w:t>
            </w:r>
          </w:p>
        </w:tc>
        <w:tc>
          <w:tcPr>
            <w:tcW w:w="709" w:type="dxa"/>
            <w:tcBorders>
              <w:top w:val="single" w:color="auto" w:sz="4" w:space="0"/>
              <w:left w:val="nil"/>
              <w:bottom w:val="single" w:color="auto" w:sz="4" w:space="0"/>
              <w:right w:val="single" w:color="auto" w:sz="4" w:space="0"/>
            </w:tcBorders>
            <w:shd w:val="clear" w:color="auto" w:fill="auto"/>
            <w:vAlign w:val="center"/>
          </w:tcPr>
          <w:p w14:paraId="67C40BCB">
            <w:pPr>
              <w:spacing w:line="320" w:lineRule="atLeast"/>
              <w:jc w:val="center"/>
            </w:pPr>
            <w:r>
              <w:rPr>
                <w:rFonts w:hint="eastAsia"/>
              </w:rPr>
              <w:t>合格</w:t>
            </w:r>
          </w:p>
        </w:tc>
        <w:tc>
          <w:tcPr>
            <w:tcW w:w="567" w:type="dxa"/>
            <w:tcBorders>
              <w:top w:val="single" w:color="auto" w:sz="4" w:space="0"/>
              <w:left w:val="nil"/>
              <w:bottom w:val="single" w:color="auto" w:sz="4" w:space="0"/>
              <w:right w:val="single" w:color="auto" w:sz="4" w:space="0"/>
            </w:tcBorders>
            <w:shd w:val="clear" w:color="auto" w:fill="auto"/>
            <w:vAlign w:val="center"/>
          </w:tcPr>
          <w:p w14:paraId="43295076">
            <w:pPr>
              <w:spacing w:line="320" w:lineRule="atLeast"/>
              <w:jc w:val="center"/>
            </w:pPr>
            <w:r>
              <w:rPr>
                <w:rFonts w:hint="eastAsia"/>
              </w:rPr>
              <w:t>1</w:t>
            </w:r>
          </w:p>
        </w:tc>
        <w:tc>
          <w:tcPr>
            <w:tcW w:w="709" w:type="dxa"/>
            <w:tcBorders>
              <w:top w:val="single" w:color="auto" w:sz="4" w:space="0"/>
              <w:left w:val="nil"/>
              <w:bottom w:val="single" w:color="auto" w:sz="4" w:space="0"/>
              <w:right w:val="single" w:color="auto" w:sz="4" w:space="0"/>
            </w:tcBorders>
            <w:shd w:val="clear" w:color="auto" w:fill="auto"/>
            <w:vAlign w:val="center"/>
          </w:tcPr>
          <w:p w14:paraId="6E747077">
            <w:pPr>
              <w:spacing w:line="320" w:lineRule="atLeast"/>
              <w:jc w:val="center"/>
            </w:pPr>
            <w:r>
              <w:rPr>
                <w:rFonts w:hint="eastAsia"/>
              </w:rPr>
              <w:t>1</w:t>
            </w:r>
          </w:p>
        </w:tc>
      </w:tr>
      <w:tr w14:paraId="7C22C12C">
        <w:tblPrEx>
          <w:tblCellMar>
            <w:top w:w="0" w:type="dxa"/>
            <w:left w:w="108" w:type="dxa"/>
            <w:bottom w:w="0" w:type="dxa"/>
            <w:right w:w="108" w:type="dxa"/>
          </w:tblCellMar>
        </w:tblPrEx>
        <w:trPr>
          <w:trHeight w:val="419"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5F58C11A">
            <w:pPr>
              <w:spacing w:line="320" w:lineRule="atLeast"/>
              <w:jc w:val="center"/>
            </w:pPr>
          </w:p>
        </w:tc>
        <w:tc>
          <w:tcPr>
            <w:tcW w:w="1134" w:type="dxa"/>
            <w:tcBorders>
              <w:top w:val="single" w:color="auto" w:sz="4" w:space="0"/>
              <w:left w:val="nil"/>
              <w:bottom w:val="single" w:color="auto" w:sz="4" w:space="0"/>
              <w:right w:val="single" w:color="auto" w:sz="4" w:space="0"/>
            </w:tcBorders>
            <w:shd w:val="clear" w:color="auto" w:fill="auto"/>
            <w:vAlign w:val="center"/>
          </w:tcPr>
          <w:p w14:paraId="534A8B2B">
            <w:pPr>
              <w:spacing w:line="320" w:lineRule="atLeast"/>
              <w:jc w:val="center"/>
            </w:pPr>
            <w:r>
              <w:rPr>
                <w:rFonts w:hint="eastAsia"/>
              </w:rPr>
              <w:t>消杀用品</w:t>
            </w:r>
          </w:p>
        </w:tc>
        <w:tc>
          <w:tcPr>
            <w:tcW w:w="1134" w:type="dxa"/>
            <w:tcBorders>
              <w:top w:val="single" w:color="auto" w:sz="4" w:space="0"/>
              <w:left w:val="nil"/>
              <w:bottom w:val="single" w:color="auto" w:sz="4" w:space="0"/>
              <w:right w:val="single" w:color="auto" w:sz="4" w:space="0"/>
            </w:tcBorders>
            <w:shd w:val="clear" w:color="auto" w:fill="auto"/>
            <w:vAlign w:val="center"/>
          </w:tcPr>
          <w:p w14:paraId="488B46E4">
            <w:pPr>
              <w:spacing w:line="320" w:lineRule="atLeast"/>
              <w:jc w:val="center"/>
              <w:rPr>
                <w:color w:val="000000"/>
              </w:rPr>
            </w:pPr>
            <w:r>
              <w:rPr>
                <w:rFonts w:hint="eastAsia"/>
                <w:color w:val="000000"/>
              </w:rPr>
              <w:t>794</w:t>
            </w:r>
          </w:p>
        </w:tc>
        <w:tc>
          <w:tcPr>
            <w:tcW w:w="3969" w:type="dxa"/>
            <w:tcBorders>
              <w:top w:val="single" w:color="auto" w:sz="4" w:space="0"/>
              <w:left w:val="nil"/>
              <w:bottom w:val="single" w:color="auto" w:sz="4" w:space="0"/>
              <w:right w:val="single" w:color="auto" w:sz="4" w:space="0"/>
            </w:tcBorders>
            <w:shd w:val="clear" w:color="auto" w:fill="auto"/>
            <w:vAlign w:val="center"/>
          </w:tcPr>
          <w:p w14:paraId="1E0FBB7A">
            <w:pPr>
              <w:spacing w:line="320" w:lineRule="atLeast"/>
              <w:jc w:val="center"/>
            </w:pPr>
            <w:r>
              <w:rPr>
                <w:rFonts w:hint="eastAsia"/>
              </w:rPr>
              <w:t>95%消毒酒精（500ml）794瓶。</w:t>
            </w:r>
          </w:p>
        </w:tc>
        <w:tc>
          <w:tcPr>
            <w:tcW w:w="709" w:type="dxa"/>
            <w:tcBorders>
              <w:top w:val="single" w:color="auto" w:sz="4" w:space="0"/>
              <w:left w:val="nil"/>
              <w:bottom w:val="single" w:color="auto" w:sz="4" w:space="0"/>
              <w:right w:val="single" w:color="auto" w:sz="4" w:space="0"/>
            </w:tcBorders>
            <w:shd w:val="clear" w:color="auto" w:fill="auto"/>
            <w:vAlign w:val="center"/>
          </w:tcPr>
          <w:p w14:paraId="1F1568E5">
            <w:pPr>
              <w:spacing w:line="320" w:lineRule="atLeast"/>
              <w:jc w:val="center"/>
            </w:pPr>
            <w:r>
              <w:rPr>
                <w:rFonts w:hint="eastAsia"/>
              </w:rPr>
              <w:t>合格</w:t>
            </w:r>
          </w:p>
        </w:tc>
        <w:tc>
          <w:tcPr>
            <w:tcW w:w="567" w:type="dxa"/>
            <w:tcBorders>
              <w:top w:val="single" w:color="auto" w:sz="4" w:space="0"/>
              <w:left w:val="nil"/>
              <w:bottom w:val="single" w:color="auto" w:sz="4" w:space="0"/>
              <w:right w:val="single" w:color="auto" w:sz="4" w:space="0"/>
            </w:tcBorders>
            <w:shd w:val="clear" w:color="auto" w:fill="auto"/>
            <w:vAlign w:val="center"/>
          </w:tcPr>
          <w:p w14:paraId="26087BC4">
            <w:pPr>
              <w:spacing w:line="320" w:lineRule="atLeast"/>
              <w:jc w:val="center"/>
            </w:pPr>
            <w:r>
              <w:rPr>
                <w:rFonts w:hint="eastAsia"/>
              </w:rPr>
              <w:t>0.5</w:t>
            </w:r>
          </w:p>
        </w:tc>
        <w:tc>
          <w:tcPr>
            <w:tcW w:w="709" w:type="dxa"/>
            <w:tcBorders>
              <w:top w:val="single" w:color="auto" w:sz="4" w:space="0"/>
              <w:left w:val="nil"/>
              <w:bottom w:val="single" w:color="auto" w:sz="4" w:space="0"/>
              <w:right w:val="single" w:color="auto" w:sz="4" w:space="0"/>
            </w:tcBorders>
            <w:shd w:val="clear" w:color="auto" w:fill="auto"/>
            <w:vAlign w:val="center"/>
          </w:tcPr>
          <w:p w14:paraId="6B599EBD">
            <w:pPr>
              <w:spacing w:line="320" w:lineRule="atLeast"/>
              <w:jc w:val="center"/>
            </w:pPr>
            <w:r>
              <w:rPr>
                <w:rFonts w:hint="eastAsia"/>
              </w:rPr>
              <w:t>0.5</w:t>
            </w:r>
          </w:p>
        </w:tc>
      </w:tr>
      <w:tr w14:paraId="515FF7D7">
        <w:tblPrEx>
          <w:tblCellMar>
            <w:top w:w="0" w:type="dxa"/>
            <w:left w:w="108" w:type="dxa"/>
            <w:bottom w:w="0" w:type="dxa"/>
            <w:right w:w="108" w:type="dxa"/>
          </w:tblCellMar>
        </w:tblPrEx>
        <w:trPr>
          <w:trHeight w:val="1160" w:hRule="atLeast"/>
        </w:trPr>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FECF41">
            <w:pPr>
              <w:spacing w:line="320" w:lineRule="atLeast"/>
              <w:jc w:val="center"/>
            </w:pPr>
            <w:r>
              <w:rPr>
                <w:rFonts w:hint="eastAsia"/>
              </w:rPr>
              <w:t>国药控制重庆泰民医药有限公司</w:t>
            </w:r>
          </w:p>
        </w:tc>
        <w:tc>
          <w:tcPr>
            <w:tcW w:w="1134" w:type="dxa"/>
            <w:tcBorders>
              <w:top w:val="single" w:color="auto" w:sz="4" w:space="0"/>
              <w:left w:val="nil"/>
              <w:bottom w:val="single" w:color="auto" w:sz="4" w:space="0"/>
              <w:right w:val="single" w:color="auto" w:sz="4" w:space="0"/>
            </w:tcBorders>
            <w:shd w:val="clear" w:color="auto" w:fill="auto"/>
            <w:vAlign w:val="center"/>
          </w:tcPr>
          <w:p w14:paraId="608535E6">
            <w:pPr>
              <w:spacing w:line="320" w:lineRule="atLeast"/>
              <w:jc w:val="center"/>
            </w:pPr>
            <w:r>
              <w:rPr>
                <w:rFonts w:hint="eastAsia"/>
              </w:rPr>
              <w:t>防护物资</w:t>
            </w:r>
          </w:p>
        </w:tc>
        <w:tc>
          <w:tcPr>
            <w:tcW w:w="1134" w:type="dxa"/>
            <w:tcBorders>
              <w:top w:val="single" w:color="auto" w:sz="4" w:space="0"/>
              <w:left w:val="nil"/>
              <w:bottom w:val="single" w:color="auto" w:sz="4" w:space="0"/>
              <w:right w:val="single" w:color="auto" w:sz="4" w:space="0"/>
            </w:tcBorders>
            <w:shd w:val="clear" w:color="auto" w:fill="auto"/>
            <w:vAlign w:val="center"/>
          </w:tcPr>
          <w:p w14:paraId="0C5FB7B0">
            <w:pPr>
              <w:spacing w:line="320" w:lineRule="atLeast"/>
              <w:jc w:val="center"/>
            </w:pPr>
            <w:r>
              <w:rPr>
                <w:rFonts w:hint="eastAsia"/>
              </w:rPr>
              <w:t>52336</w:t>
            </w:r>
          </w:p>
        </w:tc>
        <w:tc>
          <w:tcPr>
            <w:tcW w:w="3969" w:type="dxa"/>
            <w:tcBorders>
              <w:top w:val="single" w:color="auto" w:sz="4" w:space="0"/>
              <w:left w:val="nil"/>
              <w:bottom w:val="single" w:color="auto" w:sz="4" w:space="0"/>
              <w:right w:val="single" w:color="auto" w:sz="4" w:space="0"/>
            </w:tcBorders>
            <w:shd w:val="clear" w:color="auto" w:fill="auto"/>
            <w:vAlign w:val="center"/>
          </w:tcPr>
          <w:p w14:paraId="7791B68B">
            <w:pPr>
              <w:spacing w:line="320" w:lineRule="atLeast"/>
              <w:jc w:val="center"/>
            </w:pPr>
            <w:r>
              <w:rPr>
                <w:rFonts w:hint="eastAsia"/>
              </w:rPr>
              <w:t>紧急物资医用防护服9999件，一次性医用隔离衣18216件，手术衣390件，防疫口罩10000个石墨烯防护口罩995个，耐化学品德工业用模压塑料靴3双，医用护目镜12733个。</w:t>
            </w:r>
          </w:p>
        </w:tc>
        <w:tc>
          <w:tcPr>
            <w:tcW w:w="709" w:type="dxa"/>
            <w:tcBorders>
              <w:top w:val="single" w:color="auto" w:sz="4" w:space="0"/>
              <w:left w:val="nil"/>
              <w:bottom w:val="single" w:color="auto" w:sz="4" w:space="0"/>
              <w:right w:val="single" w:color="auto" w:sz="4" w:space="0"/>
            </w:tcBorders>
            <w:shd w:val="clear" w:color="auto" w:fill="auto"/>
            <w:vAlign w:val="center"/>
          </w:tcPr>
          <w:p w14:paraId="26A238E7">
            <w:pPr>
              <w:spacing w:line="320" w:lineRule="atLeast"/>
              <w:jc w:val="center"/>
            </w:pPr>
            <w:r>
              <w:rPr>
                <w:rFonts w:hint="eastAsia"/>
              </w:rPr>
              <w:t>合格</w:t>
            </w:r>
          </w:p>
        </w:tc>
        <w:tc>
          <w:tcPr>
            <w:tcW w:w="567" w:type="dxa"/>
            <w:tcBorders>
              <w:top w:val="single" w:color="auto" w:sz="4" w:space="0"/>
              <w:left w:val="nil"/>
              <w:bottom w:val="single" w:color="auto" w:sz="4" w:space="0"/>
              <w:right w:val="single" w:color="auto" w:sz="4" w:space="0"/>
            </w:tcBorders>
            <w:shd w:val="clear" w:color="auto" w:fill="auto"/>
            <w:vAlign w:val="center"/>
          </w:tcPr>
          <w:p w14:paraId="4EDFA582">
            <w:pPr>
              <w:spacing w:line="320" w:lineRule="atLeast"/>
              <w:jc w:val="center"/>
            </w:pPr>
            <w:r>
              <w:rPr>
                <w:rFonts w:hint="eastAsia"/>
              </w:rPr>
              <w:t>2</w:t>
            </w:r>
          </w:p>
        </w:tc>
        <w:tc>
          <w:tcPr>
            <w:tcW w:w="709" w:type="dxa"/>
            <w:tcBorders>
              <w:top w:val="single" w:color="auto" w:sz="4" w:space="0"/>
              <w:left w:val="nil"/>
              <w:bottom w:val="single" w:color="auto" w:sz="4" w:space="0"/>
              <w:right w:val="single" w:color="auto" w:sz="4" w:space="0"/>
            </w:tcBorders>
            <w:shd w:val="clear" w:color="auto" w:fill="auto"/>
            <w:vAlign w:val="center"/>
          </w:tcPr>
          <w:p w14:paraId="7E3AE84E">
            <w:pPr>
              <w:spacing w:line="320" w:lineRule="atLeast"/>
              <w:jc w:val="center"/>
            </w:pPr>
            <w:r>
              <w:rPr>
                <w:rFonts w:hint="eastAsia"/>
              </w:rPr>
              <w:t>2</w:t>
            </w:r>
          </w:p>
        </w:tc>
      </w:tr>
      <w:tr w14:paraId="4D454708">
        <w:tblPrEx>
          <w:tblCellMar>
            <w:top w:w="0" w:type="dxa"/>
            <w:left w:w="108" w:type="dxa"/>
            <w:bottom w:w="0" w:type="dxa"/>
            <w:right w:w="108" w:type="dxa"/>
          </w:tblCellMar>
        </w:tblPrEx>
        <w:trPr>
          <w:trHeight w:val="841"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6F849546">
            <w:pPr>
              <w:spacing w:line="320" w:lineRule="atLeast"/>
              <w:jc w:val="center"/>
            </w:pPr>
          </w:p>
        </w:tc>
        <w:tc>
          <w:tcPr>
            <w:tcW w:w="1134" w:type="dxa"/>
            <w:tcBorders>
              <w:top w:val="single" w:color="auto" w:sz="4" w:space="0"/>
              <w:left w:val="nil"/>
              <w:bottom w:val="single" w:color="auto" w:sz="4" w:space="0"/>
              <w:right w:val="single" w:color="auto" w:sz="4" w:space="0"/>
            </w:tcBorders>
            <w:shd w:val="clear" w:color="auto" w:fill="auto"/>
            <w:vAlign w:val="center"/>
          </w:tcPr>
          <w:p w14:paraId="44091DF5">
            <w:pPr>
              <w:spacing w:line="320" w:lineRule="atLeast"/>
              <w:jc w:val="center"/>
            </w:pPr>
            <w:r>
              <w:rPr>
                <w:rFonts w:hint="eastAsia"/>
              </w:rPr>
              <w:t>防护器械</w:t>
            </w:r>
          </w:p>
        </w:tc>
        <w:tc>
          <w:tcPr>
            <w:tcW w:w="1134" w:type="dxa"/>
            <w:tcBorders>
              <w:top w:val="single" w:color="auto" w:sz="4" w:space="0"/>
              <w:left w:val="nil"/>
              <w:bottom w:val="single" w:color="auto" w:sz="4" w:space="0"/>
              <w:right w:val="single" w:color="auto" w:sz="4" w:space="0"/>
            </w:tcBorders>
            <w:shd w:val="clear" w:color="auto" w:fill="auto"/>
            <w:vAlign w:val="center"/>
          </w:tcPr>
          <w:p w14:paraId="68AB8E98">
            <w:pPr>
              <w:spacing w:line="320" w:lineRule="atLeast"/>
              <w:jc w:val="center"/>
            </w:pPr>
            <w:r>
              <w:rPr>
                <w:rFonts w:hint="eastAsia"/>
              </w:rPr>
              <w:t>347</w:t>
            </w:r>
          </w:p>
        </w:tc>
        <w:tc>
          <w:tcPr>
            <w:tcW w:w="3969" w:type="dxa"/>
            <w:tcBorders>
              <w:top w:val="single" w:color="auto" w:sz="4" w:space="0"/>
              <w:left w:val="nil"/>
              <w:bottom w:val="single" w:color="auto" w:sz="4" w:space="0"/>
              <w:right w:val="single" w:color="auto" w:sz="4" w:space="0"/>
            </w:tcBorders>
            <w:shd w:val="clear" w:color="auto" w:fill="auto"/>
            <w:vAlign w:val="center"/>
          </w:tcPr>
          <w:p w14:paraId="618C4CE8">
            <w:pPr>
              <w:spacing w:line="320" w:lineRule="atLeast"/>
              <w:jc w:val="center"/>
            </w:pPr>
            <w:r>
              <w:rPr>
                <w:rFonts w:hint="eastAsia"/>
              </w:rPr>
              <w:t>背负式蓄电池超低容量喷雾机3台，丸山喷雾器341台，红外热成像体温快速筛检仪3台。</w:t>
            </w:r>
          </w:p>
        </w:tc>
        <w:tc>
          <w:tcPr>
            <w:tcW w:w="709" w:type="dxa"/>
            <w:tcBorders>
              <w:top w:val="single" w:color="auto" w:sz="4" w:space="0"/>
              <w:left w:val="nil"/>
              <w:bottom w:val="single" w:color="auto" w:sz="4" w:space="0"/>
              <w:right w:val="single" w:color="auto" w:sz="4" w:space="0"/>
            </w:tcBorders>
            <w:shd w:val="clear" w:color="auto" w:fill="auto"/>
            <w:vAlign w:val="center"/>
          </w:tcPr>
          <w:p w14:paraId="0A5E2CC2">
            <w:pPr>
              <w:spacing w:line="320" w:lineRule="atLeast"/>
              <w:jc w:val="center"/>
            </w:pPr>
            <w:r>
              <w:rPr>
                <w:rFonts w:hint="eastAsia"/>
              </w:rPr>
              <w:t>合格</w:t>
            </w:r>
          </w:p>
        </w:tc>
        <w:tc>
          <w:tcPr>
            <w:tcW w:w="567" w:type="dxa"/>
            <w:tcBorders>
              <w:top w:val="single" w:color="auto" w:sz="4" w:space="0"/>
              <w:left w:val="nil"/>
              <w:bottom w:val="single" w:color="auto" w:sz="4" w:space="0"/>
              <w:right w:val="single" w:color="auto" w:sz="4" w:space="0"/>
            </w:tcBorders>
            <w:shd w:val="clear" w:color="auto" w:fill="auto"/>
            <w:vAlign w:val="center"/>
          </w:tcPr>
          <w:p w14:paraId="7C83E15D">
            <w:pPr>
              <w:spacing w:line="320" w:lineRule="atLeast"/>
              <w:jc w:val="center"/>
            </w:pPr>
            <w:r>
              <w:rPr>
                <w:rFonts w:hint="eastAsia"/>
              </w:rPr>
              <w:t>1</w:t>
            </w:r>
          </w:p>
        </w:tc>
        <w:tc>
          <w:tcPr>
            <w:tcW w:w="709" w:type="dxa"/>
            <w:tcBorders>
              <w:top w:val="single" w:color="auto" w:sz="4" w:space="0"/>
              <w:left w:val="nil"/>
              <w:bottom w:val="single" w:color="auto" w:sz="4" w:space="0"/>
              <w:right w:val="single" w:color="auto" w:sz="4" w:space="0"/>
            </w:tcBorders>
            <w:shd w:val="clear" w:color="auto" w:fill="auto"/>
            <w:vAlign w:val="center"/>
          </w:tcPr>
          <w:p w14:paraId="2A40F241">
            <w:pPr>
              <w:spacing w:line="320" w:lineRule="atLeast"/>
              <w:jc w:val="center"/>
            </w:pPr>
            <w:r>
              <w:rPr>
                <w:rFonts w:hint="eastAsia"/>
              </w:rPr>
              <w:t>1</w:t>
            </w:r>
          </w:p>
        </w:tc>
      </w:tr>
      <w:tr w14:paraId="4F5E1C09">
        <w:tblPrEx>
          <w:tblCellMar>
            <w:top w:w="0" w:type="dxa"/>
            <w:left w:w="108" w:type="dxa"/>
            <w:bottom w:w="0" w:type="dxa"/>
            <w:right w:w="108" w:type="dxa"/>
          </w:tblCellMar>
        </w:tblPrEx>
        <w:trPr>
          <w:trHeight w:val="558"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04ACCD91">
            <w:pPr>
              <w:spacing w:line="320" w:lineRule="atLeast"/>
              <w:jc w:val="center"/>
            </w:pPr>
          </w:p>
        </w:tc>
        <w:tc>
          <w:tcPr>
            <w:tcW w:w="1134" w:type="dxa"/>
            <w:tcBorders>
              <w:top w:val="single" w:color="auto" w:sz="4" w:space="0"/>
              <w:left w:val="nil"/>
              <w:bottom w:val="single" w:color="auto" w:sz="4" w:space="0"/>
              <w:right w:val="single" w:color="auto" w:sz="4" w:space="0"/>
            </w:tcBorders>
            <w:shd w:val="clear" w:color="auto" w:fill="auto"/>
            <w:vAlign w:val="center"/>
          </w:tcPr>
          <w:p w14:paraId="06B47147">
            <w:pPr>
              <w:spacing w:line="320" w:lineRule="atLeast"/>
              <w:jc w:val="center"/>
            </w:pPr>
            <w:r>
              <w:rPr>
                <w:rFonts w:hint="eastAsia"/>
              </w:rPr>
              <w:t>检测试剂</w:t>
            </w:r>
          </w:p>
        </w:tc>
        <w:tc>
          <w:tcPr>
            <w:tcW w:w="1134" w:type="dxa"/>
            <w:tcBorders>
              <w:top w:val="single" w:color="auto" w:sz="4" w:space="0"/>
              <w:left w:val="nil"/>
              <w:bottom w:val="single" w:color="auto" w:sz="4" w:space="0"/>
              <w:right w:val="single" w:color="auto" w:sz="4" w:space="0"/>
            </w:tcBorders>
            <w:shd w:val="clear" w:color="auto" w:fill="auto"/>
            <w:vAlign w:val="center"/>
          </w:tcPr>
          <w:p w14:paraId="4CD4A04E">
            <w:pPr>
              <w:spacing w:line="320" w:lineRule="atLeast"/>
              <w:jc w:val="center"/>
            </w:pPr>
            <w:r>
              <w:rPr>
                <w:rFonts w:hint="eastAsia"/>
              </w:rPr>
              <w:t>360</w:t>
            </w:r>
          </w:p>
        </w:tc>
        <w:tc>
          <w:tcPr>
            <w:tcW w:w="3969" w:type="dxa"/>
            <w:tcBorders>
              <w:top w:val="single" w:color="auto" w:sz="4" w:space="0"/>
              <w:left w:val="nil"/>
              <w:bottom w:val="single" w:color="auto" w:sz="4" w:space="0"/>
              <w:right w:val="single" w:color="auto" w:sz="4" w:space="0"/>
            </w:tcBorders>
            <w:shd w:val="clear" w:color="auto" w:fill="auto"/>
            <w:vAlign w:val="center"/>
          </w:tcPr>
          <w:p w14:paraId="65BC2B26">
            <w:pPr>
              <w:spacing w:line="320" w:lineRule="atLeast"/>
              <w:jc w:val="center"/>
            </w:pPr>
            <w:r>
              <w:rPr>
                <w:rFonts w:hint="eastAsia"/>
              </w:rPr>
              <w:t>新型冠状病毒免核酸提取RNA检测试剂盒360盒。</w:t>
            </w:r>
          </w:p>
        </w:tc>
        <w:tc>
          <w:tcPr>
            <w:tcW w:w="709" w:type="dxa"/>
            <w:tcBorders>
              <w:top w:val="single" w:color="auto" w:sz="4" w:space="0"/>
              <w:left w:val="nil"/>
              <w:bottom w:val="single" w:color="auto" w:sz="4" w:space="0"/>
              <w:right w:val="single" w:color="auto" w:sz="4" w:space="0"/>
            </w:tcBorders>
            <w:shd w:val="clear" w:color="auto" w:fill="auto"/>
            <w:vAlign w:val="center"/>
          </w:tcPr>
          <w:p w14:paraId="57A7987D">
            <w:pPr>
              <w:spacing w:line="320" w:lineRule="atLeast"/>
              <w:jc w:val="center"/>
            </w:pPr>
            <w:r>
              <w:rPr>
                <w:rFonts w:hint="eastAsia"/>
              </w:rPr>
              <w:t>合格</w:t>
            </w:r>
          </w:p>
        </w:tc>
        <w:tc>
          <w:tcPr>
            <w:tcW w:w="567" w:type="dxa"/>
            <w:tcBorders>
              <w:top w:val="single" w:color="auto" w:sz="4" w:space="0"/>
              <w:left w:val="nil"/>
              <w:bottom w:val="single" w:color="auto" w:sz="4" w:space="0"/>
              <w:right w:val="single" w:color="auto" w:sz="4" w:space="0"/>
            </w:tcBorders>
            <w:shd w:val="clear" w:color="auto" w:fill="auto"/>
            <w:vAlign w:val="center"/>
          </w:tcPr>
          <w:p w14:paraId="665E70A5">
            <w:pPr>
              <w:spacing w:line="320" w:lineRule="atLeast"/>
              <w:jc w:val="center"/>
            </w:pPr>
            <w:r>
              <w:rPr>
                <w:rFonts w:hint="eastAsia"/>
              </w:rPr>
              <w:t>1</w:t>
            </w:r>
          </w:p>
        </w:tc>
        <w:tc>
          <w:tcPr>
            <w:tcW w:w="709" w:type="dxa"/>
            <w:tcBorders>
              <w:top w:val="single" w:color="auto" w:sz="4" w:space="0"/>
              <w:left w:val="nil"/>
              <w:bottom w:val="single" w:color="auto" w:sz="4" w:space="0"/>
              <w:right w:val="single" w:color="auto" w:sz="4" w:space="0"/>
            </w:tcBorders>
            <w:shd w:val="clear" w:color="auto" w:fill="auto"/>
            <w:vAlign w:val="center"/>
          </w:tcPr>
          <w:p w14:paraId="4790E49C">
            <w:pPr>
              <w:spacing w:line="320" w:lineRule="atLeast"/>
              <w:jc w:val="center"/>
            </w:pPr>
            <w:r>
              <w:rPr>
                <w:rFonts w:hint="eastAsia"/>
              </w:rPr>
              <w:t>1</w:t>
            </w:r>
          </w:p>
        </w:tc>
      </w:tr>
      <w:tr w14:paraId="479DDBED">
        <w:tblPrEx>
          <w:tblCellMar>
            <w:top w:w="0" w:type="dxa"/>
            <w:left w:w="108" w:type="dxa"/>
            <w:bottom w:w="0" w:type="dxa"/>
            <w:right w:w="108" w:type="dxa"/>
          </w:tblCellMar>
        </w:tblPrEx>
        <w:trPr>
          <w:trHeight w:val="530" w:hRule="atLeast"/>
        </w:trPr>
        <w:tc>
          <w:tcPr>
            <w:tcW w:w="19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221FBD">
            <w:pPr>
              <w:spacing w:line="320" w:lineRule="atLeast"/>
              <w:jc w:val="center"/>
            </w:pPr>
            <w:r>
              <w:rPr>
                <w:rFonts w:hint="eastAsia"/>
              </w:rPr>
              <w:t>合计</w:t>
            </w:r>
          </w:p>
        </w:tc>
        <w:tc>
          <w:tcPr>
            <w:tcW w:w="1134" w:type="dxa"/>
            <w:tcBorders>
              <w:top w:val="single" w:color="auto" w:sz="4" w:space="0"/>
              <w:left w:val="nil"/>
              <w:bottom w:val="single" w:color="auto" w:sz="4" w:space="0"/>
              <w:right w:val="single" w:color="auto" w:sz="4" w:space="0"/>
            </w:tcBorders>
            <w:shd w:val="clear" w:color="auto" w:fill="auto"/>
            <w:vAlign w:val="center"/>
          </w:tcPr>
          <w:p w14:paraId="035A62EA">
            <w:pPr>
              <w:spacing w:line="320" w:lineRule="atLeast"/>
              <w:jc w:val="center"/>
            </w:pPr>
            <w:r>
              <w:rPr>
                <w:rFonts w:hint="eastAsia"/>
              </w:rPr>
              <w:t>582249</w:t>
            </w:r>
          </w:p>
        </w:tc>
        <w:tc>
          <w:tcPr>
            <w:tcW w:w="3969" w:type="dxa"/>
            <w:tcBorders>
              <w:top w:val="single" w:color="auto" w:sz="4" w:space="0"/>
              <w:left w:val="nil"/>
              <w:bottom w:val="single" w:color="auto" w:sz="4" w:space="0"/>
              <w:right w:val="single" w:color="auto" w:sz="4" w:space="0"/>
            </w:tcBorders>
            <w:shd w:val="clear" w:color="auto" w:fill="auto"/>
            <w:vAlign w:val="center"/>
          </w:tcPr>
          <w:p w14:paraId="11155C63">
            <w:pPr>
              <w:spacing w:line="320" w:lineRule="atLeast"/>
              <w:jc w:val="center"/>
            </w:pPr>
          </w:p>
        </w:tc>
        <w:tc>
          <w:tcPr>
            <w:tcW w:w="709" w:type="dxa"/>
            <w:tcBorders>
              <w:top w:val="single" w:color="auto" w:sz="4" w:space="0"/>
              <w:left w:val="nil"/>
              <w:bottom w:val="single" w:color="auto" w:sz="4" w:space="0"/>
              <w:right w:val="single" w:color="auto" w:sz="4" w:space="0"/>
            </w:tcBorders>
            <w:shd w:val="clear" w:color="auto" w:fill="auto"/>
            <w:vAlign w:val="center"/>
          </w:tcPr>
          <w:p w14:paraId="0B2C5629">
            <w:pPr>
              <w:spacing w:line="320" w:lineRule="atLeast"/>
              <w:jc w:val="center"/>
            </w:pPr>
          </w:p>
        </w:tc>
        <w:tc>
          <w:tcPr>
            <w:tcW w:w="567" w:type="dxa"/>
            <w:tcBorders>
              <w:top w:val="single" w:color="auto" w:sz="4" w:space="0"/>
              <w:left w:val="nil"/>
              <w:bottom w:val="single" w:color="auto" w:sz="4" w:space="0"/>
              <w:right w:val="single" w:color="auto" w:sz="4" w:space="0"/>
            </w:tcBorders>
            <w:shd w:val="clear" w:color="auto" w:fill="auto"/>
            <w:vAlign w:val="center"/>
          </w:tcPr>
          <w:p w14:paraId="5B3A8313">
            <w:pPr>
              <w:spacing w:line="320" w:lineRule="atLeast"/>
              <w:jc w:val="center"/>
            </w:pPr>
            <w:r>
              <w:rPr>
                <w:rFonts w:hint="eastAsia"/>
              </w:rPr>
              <w:t>10</w:t>
            </w:r>
          </w:p>
        </w:tc>
        <w:tc>
          <w:tcPr>
            <w:tcW w:w="709" w:type="dxa"/>
            <w:tcBorders>
              <w:top w:val="single" w:color="auto" w:sz="4" w:space="0"/>
              <w:left w:val="nil"/>
              <w:bottom w:val="single" w:color="auto" w:sz="4" w:space="0"/>
              <w:right w:val="single" w:color="auto" w:sz="4" w:space="0"/>
            </w:tcBorders>
            <w:shd w:val="clear" w:color="auto" w:fill="auto"/>
            <w:vAlign w:val="center"/>
          </w:tcPr>
          <w:p w14:paraId="7CD5A6A9">
            <w:pPr>
              <w:spacing w:line="320" w:lineRule="atLeast"/>
              <w:jc w:val="center"/>
            </w:pPr>
            <w:r>
              <w:rPr>
                <w:rFonts w:hint="eastAsia"/>
              </w:rPr>
              <w:t>10</w:t>
            </w:r>
          </w:p>
        </w:tc>
      </w:tr>
    </w:tbl>
    <w:p w14:paraId="7E2409BC">
      <w:pPr>
        <w:pStyle w:val="13"/>
        <w:tabs>
          <w:tab w:val="center" w:pos="4153"/>
          <w:tab w:val="left" w:pos="7275"/>
        </w:tabs>
        <w:spacing w:line="600" w:lineRule="exact"/>
        <w:ind w:firstLine="0" w:firstLineChars="0"/>
        <w:rPr>
          <w:rFonts w:ascii="方正仿宋_GBK" w:hAnsi="宋体" w:eastAsia="方正仿宋_GBK" w:cs="宋体"/>
          <w:bCs/>
          <w:kern w:val="0"/>
          <w:sz w:val="32"/>
          <w:szCs w:val="32"/>
        </w:rPr>
      </w:pPr>
    </w:p>
    <w:p w14:paraId="0931A849">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南岸区基药管理中心于2020年11月5日对代储单位重庆国药器械公司购进区级应急储备物资进行验收，质量状况为合格。按重庆市经济和信息化委员会《关于移交疫情防控储备物资的通知》要求，国药控股重庆医疗器械公司、国药控股重庆泰民医药公司于2020年12月24日将库存应急储备物资移交至重庆医药(集团)股份有限公司集中收储，双方在出库复核单上签收，质量状况为合格。</w:t>
      </w:r>
    </w:p>
    <w:p w14:paraId="5B86A267">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（3）产出时效</w:t>
      </w:r>
    </w:p>
    <w:tbl>
      <w:tblPr>
        <w:tblStyle w:val="7"/>
        <w:tblW w:w="9105" w:type="dxa"/>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28"/>
        <w:gridCol w:w="812"/>
        <w:gridCol w:w="1144"/>
        <w:gridCol w:w="4170"/>
        <w:gridCol w:w="714"/>
        <w:gridCol w:w="577"/>
        <w:gridCol w:w="660"/>
      </w:tblGrid>
      <w:tr w14:paraId="090865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73" w:hRule="atLeast"/>
        </w:trPr>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14:paraId="2308B414">
            <w:pPr>
              <w:spacing w:line="320" w:lineRule="atLeast"/>
              <w:jc w:val="center"/>
            </w:pPr>
            <w:r>
              <w:rPr>
                <w:rFonts w:hint="eastAsia"/>
              </w:rPr>
              <w:t>项目实施 单位</w:t>
            </w:r>
          </w:p>
        </w:tc>
        <w:tc>
          <w:tcPr>
            <w:tcW w:w="812" w:type="dxa"/>
            <w:tcBorders>
              <w:top w:val="single" w:color="auto" w:sz="4" w:space="0"/>
              <w:left w:val="single" w:color="auto" w:sz="4" w:space="0"/>
              <w:bottom w:val="single" w:color="auto" w:sz="4" w:space="0"/>
              <w:right w:val="single" w:color="auto" w:sz="4" w:space="0"/>
            </w:tcBorders>
            <w:shd w:val="clear" w:color="auto" w:fill="auto"/>
            <w:vAlign w:val="center"/>
          </w:tcPr>
          <w:p w14:paraId="20AD091E">
            <w:pPr>
              <w:spacing w:line="320" w:lineRule="atLeast"/>
              <w:jc w:val="center"/>
            </w:pPr>
            <w:r>
              <w:rPr>
                <w:rFonts w:hint="eastAsia"/>
              </w:rPr>
              <w:t>储备物资类别</w:t>
            </w:r>
          </w:p>
        </w:tc>
        <w:tc>
          <w:tcPr>
            <w:tcW w:w="1144" w:type="dxa"/>
            <w:tcBorders>
              <w:top w:val="single" w:color="auto" w:sz="4" w:space="0"/>
              <w:left w:val="single" w:color="auto" w:sz="4" w:space="0"/>
              <w:bottom w:val="single" w:color="auto" w:sz="4" w:space="0"/>
              <w:right w:val="single" w:color="auto" w:sz="4" w:space="0"/>
            </w:tcBorders>
            <w:shd w:val="clear" w:color="auto" w:fill="auto"/>
            <w:vAlign w:val="center"/>
          </w:tcPr>
          <w:p w14:paraId="52F3A625">
            <w:pPr>
              <w:spacing w:line="320" w:lineRule="atLeast"/>
              <w:jc w:val="center"/>
            </w:pPr>
            <w:r>
              <w:rPr>
                <w:rFonts w:hint="eastAsia"/>
              </w:rPr>
              <w:t>储备总数量(个/台/瓶/套）</w:t>
            </w:r>
          </w:p>
        </w:tc>
        <w:tc>
          <w:tcPr>
            <w:tcW w:w="4170" w:type="dxa"/>
            <w:tcBorders>
              <w:top w:val="single" w:color="auto" w:sz="4" w:space="0"/>
              <w:left w:val="single" w:color="auto" w:sz="4" w:space="0"/>
              <w:bottom w:val="single" w:color="auto" w:sz="4" w:space="0"/>
              <w:right w:val="single" w:color="auto" w:sz="4" w:space="0"/>
            </w:tcBorders>
            <w:shd w:val="clear" w:color="auto" w:fill="auto"/>
            <w:vAlign w:val="center"/>
          </w:tcPr>
          <w:p w14:paraId="75EF4C87">
            <w:pPr>
              <w:spacing w:line="320" w:lineRule="atLeast"/>
              <w:jc w:val="center"/>
            </w:pPr>
            <w:r>
              <w:rPr>
                <w:rFonts w:hint="eastAsia"/>
              </w:rPr>
              <w:t>储备具体数量(个/台/瓶/套）</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1BCD96CA">
            <w:pPr>
              <w:spacing w:line="320" w:lineRule="atLeast"/>
              <w:jc w:val="center"/>
            </w:pPr>
            <w:r>
              <w:rPr>
                <w:rFonts w:hint="eastAsia"/>
              </w:rPr>
              <w:t>完成  及时性</w:t>
            </w:r>
          </w:p>
        </w:tc>
        <w:tc>
          <w:tcPr>
            <w:tcW w:w="577" w:type="dxa"/>
            <w:tcBorders>
              <w:top w:val="single" w:color="auto" w:sz="4" w:space="0"/>
              <w:left w:val="single" w:color="auto" w:sz="4" w:space="0"/>
              <w:bottom w:val="single" w:color="auto" w:sz="4" w:space="0"/>
              <w:right w:val="single" w:color="auto" w:sz="4" w:space="0"/>
            </w:tcBorders>
            <w:shd w:val="clear" w:color="auto" w:fill="auto"/>
            <w:vAlign w:val="center"/>
          </w:tcPr>
          <w:p w14:paraId="281FB813">
            <w:pPr>
              <w:spacing w:line="320" w:lineRule="atLeast"/>
              <w:jc w:val="center"/>
            </w:pPr>
            <w:r>
              <w:rPr>
                <w:rFonts w:hint="eastAsia"/>
              </w:rPr>
              <w:t>标准分</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14:paraId="0C82193A">
            <w:pPr>
              <w:spacing w:line="320" w:lineRule="atLeast"/>
              <w:jc w:val="center"/>
            </w:pPr>
            <w:r>
              <w:rPr>
                <w:rFonts w:hint="eastAsia"/>
              </w:rPr>
              <w:t>实际得分</w:t>
            </w:r>
          </w:p>
        </w:tc>
      </w:tr>
      <w:tr w14:paraId="3D3278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62" w:hRule="atLeast"/>
        </w:trPr>
        <w:tc>
          <w:tcPr>
            <w:tcW w:w="102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D3FF10">
            <w:pPr>
              <w:spacing w:line="320" w:lineRule="atLeast"/>
              <w:jc w:val="center"/>
            </w:pPr>
            <w:r>
              <w:rPr>
                <w:rFonts w:hint="eastAsia"/>
              </w:rPr>
              <w:t>南岸区基层医疗卫生服务管理中心</w:t>
            </w:r>
          </w:p>
        </w:tc>
        <w:tc>
          <w:tcPr>
            <w:tcW w:w="812" w:type="dxa"/>
            <w:tcBorders>
              <w:top w:val="single" w:color="auto" w:sz="4" w:space="0"/>
              <w:left w:val="single" w:color="auto" w:sz="4" w:space="0"/>
              <w:bottom w:val="single" w:color="auto" w:sz="4" w:space="0"/>
              <w:right w:val="single" w:color="auto" w:sz="4" w:space="0"/>
            </w:tcBorders>
            <w:shd w:val="clear" w:color="auto" w:fill="auto"/>
            <w:vAlign w:val="center"/>
          </w:tcPr>
          <w:p w14:paraId="61B3F868">
            <w:pPr>
              <w:spacing w:line="320" w:lineRule="atLeast"/>
              <w:jc w:val="center"/>
            </w:pPr>
            <w:r>
              <w:rPr>
                <w:rFonts w:hint="eastAsia"/>
              </w:rPr>
              <w:t>防护  物资</w:t>
            </w:r>
          </w:p>
        </w:tc>
        <w:tc>
          <w:tcPr>
            <w:tcW w:w="1144" w:type="dxa"/>
            <w:tcBorders>
              <w:top w:val="single" w:color="auto" w:sz="4" w:space="0"/>
              <w:left w:val="single" w:color="auto" w:sz="4" w:space="0"/>
              <w:bottom w:val="single" w:color="auto" w:sz="4" w:space="0"/>
              <w:right w:val="single" w:color="auto" w:sz="4" w:space="0"/>
            </w:tcBorders>
            <w:shd w:val="clear" w:color="auto" w:fill="auto"/>
            <w:vAlign w:val="center"/>
          </w:tcPr>
          <w:p w14:paraId="2CD08EA7">
            <w:pPr>
              <w:spacing w:line="320" w:lineRule="atLeast"/>
              <w:jc w:val="center"/>
            </w:pPr>
            <w:r>
              <w:rPr>
                <w:rFonts w:hint="eastAsia"/>
              </w:rPr>
              <w:t>509745</w:t>
            </w:r>
          </w:p>
        </w:tc>
        <w:tc>
          <w:tcPr>
            <w:tcW w:w="4170" w:type="dxa"/>
            <w:tcBorders>
              <w:top w:val="single" w:color="auto" w:sz="4" w:space="0"/>
              <w:left w:val="single" w:color="auto" w:sz="4" w:space="0"/>
              <w:bottom w:val="single" w:color="auto" w:sz="4" w:space="0"/>
              <w:right w:val="single" w:color="auto" w:sz="4" w:space="0"/>
            </w:tcBorders>
            <w:shd w:val="clear" w:color="auto" w:fill="auto"/>
            <w:vAlign w:val="center"/>
          </w:tcPr>
          <w:p w14:paraId="158F4D31">
            <w:pPr>
              <w:spacing w:line="320" w:lineRule="atLeast"/>
              <w:jc w:val="center"/>
            </w:pPr>
            <w:r>
              <w:rPr>
                <w:rFonts w:hint="eastAsia"/>
              </w:rPr>
              <w:t>医用防护口罩18000个，医用外科口罩300000个，一次性防护面罩3000个，防雾护目镜800个，医用防护服5000件，医用隔离医40000件，一次性使用灭菌橡胶外科手套30935双，医用检查手套20000双，医用工作帽60000个，长筒靴套7000双，一次性保护鞋套25000双，正压头盔10个。</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32DD3B4C">
            <w:pPr>
              <w:spacing w:line="320" w:lineRule="atLeast"/>
              <w:jc w:val="center"/>
            </w:pPr>
            <w:r>
              <w:rPr>
                <w:rFonts w:hint="eastAsia"/>
              </w:rPr>
              <w:t>完成  及时</w:t>
            </w:r>
          </w:p>
        </w:tc>
        <w:tc>
          <w:tcPr>
            <w:tcW w:w="577" w:type="dxa"/>
            <w:tcBorders>
              <w:top w:val="single" w:color="auto" w:sz="4" w:space="0"/>
              <w:left w:val="single" w:color="auto" w:sz="4" w:space="0"/>
              <w:bottom w:val="single" w:color="auto" w:sz="4" w:space="0"/>
              <w:right w:val="single" w:color="auto" w:sz="4" w:space="0"/>
            </w:tcBorders>
            <w:shd w:val="clear" w:color="auto" w:fill="auto"/>
            <w:vAlign w:val="center"/>
          </w:tcPr>
          <w:p w14:paraId="2A82C767">
            <w:pPr>
              <w:spacing w:line="320" w:lineRule="atLeast"/>
              <w:jc w:val="center"/>
            </w:pPr>
            <w:r>
              <w:rPr>
                <w:rFonts w:hint="eastAsia"/>
              </w:rPr>
              <w:t>1</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14:paraId="7761917E">
            <w:pPr>
              <w:spacing w:line="320" w:lineRule="atLeast"/>
              <w:jc w:val="center"/>
            </w:pPr>
            <w:r>
              <w:rPr>
                <w:rFonts w:hint="eastAsia"/>
              </w:rPr>
              <w:t>1</w:t>
            </w:r>
          </w:p>
        </w:tc>
      </w:tr>
      <w:tr w14:paraId="35D736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28" w:type="dxa"/>
            <w:vMerge w:val="continue"/>
            <w:tcBorders>
              <w:top w:val="single" w:color="auto" w:sz="4" w:space="0"/>
              <w:left w:val="single" w:color="auto" w:sz="4" w:space="0"/>
              <w:bottom w:val="single" w:color="auto" w:sz="4" w:space="0"/>
              <w:right w:val="single" w:color="auto" w:sz="4" w:space="0"/>
            </w:tcBorders>
            <w:vAlign w:val="center"/>
          </w:tcPr>
          <w:p w14:paraId="3097486C">
            <w:pPr>
              <w:spacing w:line="320" w:lineRule="atLeast"/>
              <w:jc w:val="center"/>
            </w:pPr>
          </w:p>
        </w:tc>
        <w:tc>
          <w:tcPr>
            <w:tcW w:w="812" w:type="dxa"/>
            <w:tcBorders>
              <w:top w:val="single" w:color="auto" w:sz="4" w:space="0"/>
              <w:left w:val="single" w:color="auto" w:sz="4" w:space="0"/>
              <w:bottom w:val="single" w:color="auto" w:sz="4" w:space="0"/>
              <w:right w:val="single" w:color="auto" w:sz="4" w:space="0"/>
            </w:tcBorders>
            <w:shd w:val="clear" w:color="auto" w:fill="auto"/>
            <w:vAlign w:val="center"/>
          </w:tcPr>
          <w:p w14:paraId="0B8F648F">
            <w:pPr>
              <w:spacing w:line="320" w:lineRule="atLeast"/>
              <w:jc w:val="center"/>
            </w:pPr>
            <w:r>
              <w:rPr>
                <w:rFonts w:hint="eastAsia"/>
              </w:rPr>
              <w:t>消杀  用品</w:t>
            </w:r>
          </w:p>
        </w:tc>
        <w:tc>
          <w:tcPr>
            <w:tcW w:w="1144" w:type="dxa"/>
            <w:tcBorders>
              <w:top w:val="single" w:color="auto" w:sz="4" w:space="0"/>
              <w:left w:val="single" w:color="auto" w:sz="4" w:space="0"/>
              <w:bottom w:val="single" w:color="auto" w:sz="4" w:space="0"/>
              <w:right w:val="single" w:color="auto" w:sz="4" w:space="0"/>
            </w:tcBorders>
            <w:shd w:val="clear" w:color="auto" w:fill="auto"/>
            <w:vAlign w:val="center"/>
          </w:tcPr>
          <w:p w14:paraId="35CCC459">
            <w:pPr>
              <w:spacing w:line="320" w:lineRule="atLeast"/>
              <w:jc w:val="center"/>
            </w:pPr>
            <w:r>
              <w:rPr>
                <w:rFonts w:hint="eastAsia"/>
              </w:rPr>
              <w:t>8800</w:t>
            </w:r>
          </w:p>
        </w:tc>
        <w:tc>
          <w:tcPr>
            <w:tcW w:w="4170" w:type="dxa"/>
            <w:tcBorders>
              <w:top w:val="single" w:color="auto" w:sz="4" w:space="0"/>
              <w:left w:val="single" w:color="auto" w:sz="4" w:space="0"/>
              <w:bottom w:val="single" w:color="auto" w:sz="4" w:space="0"/>
              <w:right w:val="single" w:color="auto" w:sz="4" w:space="0"/>
            </w:tcBorders>
            <w:shd w:val="clear" w:color="auto" w:fill="auto"/>
            <w:vAlign w:val="center"/>
          </w:tcPr>
          <w:p w14:paraId="63D57B6E">
            <w:pPr>
              <w:spacing w:line="320" w:lineRule="atLeast"/>
              <w:jc w:val="center"/>
            </w:pPr>
            <w:r>
              <w:rPr>
                <w:rFonts w:hint="eastAsia"/>
              </w:rPr>
              <w:t>速干手消毒液4000瓶，医用酒精1000瓶，泡腾消毒片2000瓶，季铵盐消毒湿巾1500包，优氯净300盒。</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29C18559">
            <w:pPr>
              <w:spacing w:line="320" w:lineRule="atLeast"/>
              <w:jc w:val="center"/>
            </w:pPr>
            <w:r>
              <w:rPr>
                <w:rFonts w:hint="eastAsia"/>
              </w:rPr>
              <w:t>完成  及时</w:t>
            </w:r>
          </w:p>
        </w:tc>
        <w:tc>
          <w:tcPr>
            <w:tcW w:w="577" w:type="dxa"/>
            <w:tcBorders>
              <w:top w:val="single" w:color="auto" w:sz="4" w:space="0"/>
              <w:left w:val="single" w:color="auto" w:sz="4" w:space="0"/>
              <w:bottom w:val="single" w:color="auto" w:sz="4" w:space="0"/>
              <w:right w:val="single" w:color="auto" w:sz="4" w:space="0"/>
            </w:tcBorders>
            <w:shd w:val="clear" w:color="auto" w:fill="auto"/>
            <w:vAlign w:val="center"/>
          </w:tcPr>
          <w:p w14:paraId="79C06073">
            <w:pPr>
              <w:spacing w:line="320" w:lineRule="atLeast"/>
              <w:jc w:val="center"/>
            </w:pPr>
            <w:r>
              <w:rPr>
                <w:rFonts w:hint="eastAsia"/>
              </w:rPr>
              <w:t>1</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14:paraId="495165EA">
            <w:pPr>
              <w:spacing w:line="320" w:lineRule="atLeast"/>
              <w:jc w:val="center"/>
            </w:pPr>
            <w:r>
              <w:rPr>
                <w:rFonts w:hint="eastAsia"/>
              </w:rPr>
              <w:t>1</w:t>
            </w:r>
          </w:p>
        </w:tc>
      </w:tr>
      <w:tr w14:paraId="04035D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74" w:hRule="atLeast"/>
        </w:trPr>
        <w:tc>
          <w:tcPr>
            <w:tcW w:w="1028" w:type="dxa"/>
            <w:vMerge w:val="continue"/>
            <w:tcBorders>
              <w:top w:val="single" w:color="auto" w:sz="4" w:space="0"/>
              <w:left w:val="single" w:color="auto" w:sz="4" w:space="0"/>
              <w:bottom w:val="single" w:color="auto" w:sz="4" w:space="0"/>
              <w:right w:val="single" w:color="auto" w:sz="4" w:space="0"/>
            </w:tcBorders>
            <w:vAlign w:val="center"/>
          </w:tcPr>
          <w:p w14:paraId="49D71FF1">
            <w:pPr>
              <w:spacing w:line="320" w:lineRule="atLeast"/>
              <w:jc w:val="center"/>
            </w:pPr>
          </w:p>
        </w:tc>
        <w:tc>
          <w:tcPr>
            <w:tcW w:w="812" w:type="dxa"/>
            <w:tcBorders>
              <w:top w:val="single" w:color="auto" w:sz="4" w:space="0"/>
              <w:left w:val="single" w:color="auto" w:sz="4" w:space="0"/>
              <w:bottom w:val="single" w:color="auto" w:sz="4" w:space="0"/>
              <w:right w:val="single" w:color="auto" w:sz="4" w:space="0"/>
            </w:tcBorders>
            <w:shd w:val="clear" w:color="auto" w:fill="auto"/>
            <w:vAlign w:val="center"/>
          </w:tcPr>
          <w:p w14:paraId="0E95BC6E">
            <w:pPr>
              <w:spacing w:line="320" w:lineRule="atLeast"/>
              <w:jc w:val="center"/>
            </w:pPr>
            <w:r>
              <w:rPr>
                <w:rFonts w:hint="eastAsia"/>
              </w:rPr>
              <w:t>防护  器械</w:t>
            </w:r>
          </w:p>
        </w:tc>
        <w:tc>
          <w:tcPr>
            <w:tcW w:w="1144" w:type="dxa"/>
            <w:tcBorders>
              <w:top w:val="single" w:color="auto" w:sz="4" w:space="0"/>
              <w:left w:val="single" w:color="auto" w:sz="4" w:space="0"/>
              <w:bottom w:val="single" w:color="auto" w:sz="4" w:space="0"/>
              <w:right w:val="single" w:color="auto" w:sz="4" w:space="0"/>
            </w:tcBorders>
            <w:shd w:val="clear" w:color="auto" w:fill="auto"/>
            <w:vAlign w:val="center"/>
          </w:tcPr>
          <w:p w14:paraId="5A575376">
            <w:pPr>
              <w:spacing w:line="320" w:lineRule="atLeast"/>
              <w:jc w:val="center"/>
            </w:pPr>
            <w:r>
              <w:rPr>
                <w:rFonts w:hint="eastAsia"/>
              </w:rPr>
              <w:t>1077</w:t>
            </w:r>
          </w:p>
        </w:tc>
        <w:tc>
          <w:tcPr>
            <w:tcW w:w="4170" w:type="dxa"/>
            <w:tcBorders>
              <w:top w:val="single" w:color="auto" w:sz="4" w:space="0"/>
              <w:left w:val="single" w:color="auto" w:sz="4" w:space="0"/>
              <w:bottom w:val="single" w:color="auto" w:sz="4" w:space="0"/>
              <w:right w:val="single" w:color="auto" w:sz="4" w:space="0"/>
            </w:tcBorders>
            <w:shd w:val="clear" w:color="auto" w:fill="auto"/>
            <w:vAlign w:val="center"/>
          </w:tcPr>
          <w:p w14:paraId="124DC1D5">
            <w:pPr>
              <w:spacing w:line="320" w:lineRule="atLeast"/>
            </w:pPr>
            <w:r>
              <w:rPr>
                <w:rFonts w:hint="eastAsia"/>
              </w:rPr>
              <w:t>手持式红外线测温仪500个，红外热成像仪1台，正压滤盒5个，正压头套20个，正压送风系统1台，玻璃体温计500支，生物安全运输箱50个。</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1ED140CE">
            <w:pPr>
              <w:spacing w:line="320" w:lineRule="atLeast"/>
              <w:jc w:val="center"/>
            </w:pPr>
            <w:r>
              <w:rPr>
                <w:rFonts w:hint="eastAsia"/>
              </w:rPr>
              <w:t>完成  及时</w:t>
            </w:r>
          </w:p>
        </w:tc>
        <w:tc>
          <w:tcPr>
            <w:tcW w:w="577" w:type="dxa"/>
            <w:tcBorders>
              <w:top w:val="single" w:color="auto" w:sz="4" w:space="0"/>
              <w:left w:val="single" w:color="auto" w:sz="4" w:space="0"/>
              <w:bottom w:val="single" w:color="auto" w:sz="4" w:space="0"/>
              <w:right w:val="single" w:color="auto" w:sz="4" w:space="0"/>
            </w:tcBorders>
            <w:shd w:val="clear" w:color="auto" w:fill="auto"/>
            <w:vAlign w:val="center"/>
          </w:tcPr>
          <w:p w14:paraId="6DB2A4C9">
            <w:pPr>
              <w:spacing w:line="320" w:lineRule="atLeast"/>
              <w:jc w:val="center"/>
            </w:pPr>
            <w:r>
              <w:rPr>
                <w:rFonts w:hint="eastAsia"/>
              </w:rPr>
              <w:t>1</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14:paraId="3F97F810">
            <w:pPr>
              <w:spacing w:line="320" w:lineRule="atLeast"/>
              <w:jc w:val="center"/>
            </w:pPr>
            <w:r>
              <w:rPr>
                <w:rFonts w:hint="eastAsia"/>
              </w:rPr>
              <w:t>1</w:t>
            </w:r>
          </w:p>
        </w:tc>
      </w:tr>
      <w:tr w14:paraId="3C8E16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1028" w:type="dxa"/>
            <w:vMerge w:val="continue"/>
            <w:tcBorders>
              <w:top w:val="single" w:color="auto" w:sz="4" w:space="0"/>
              <w:left w:val="single" w:color="auto" w:sz="4" w:space="0"/>
              <w:bottom w:val="single" w:color="auto" w:sz="4" w:space="0"/>
              <w:right w:val="single" w:color="auto" w:sz="4" w:space="0"/>
            </w:tcBorders>
            <w:vAlign w:val="center"/>
          </w:tcPr>
          <w:p w14:paraId="1BA284F4">
            <w:pPr>
              <w:spacing w:line="320" w:lineRule="atLeast"/>
              <w:jc w:val="center"/>
            </w:pPr>
          </w:p>
        </w:tc>
        <w:tc>
          <w:tcPr>
            <w:tcW w:w="812" w:type="dxa"/>
            <w:tcBorders>
              <w:top w:val="single" w:color="auto" w:sz="4" w:space="0"/>
              <w:left w:val="single" w:color="auto" w:sz="4" w:space="0"/>
              <w:bottom w:val="single" w:color="auto" w:sz="4" w:space="0"/>
              <w:right w:val="single" w:color="auto" w:sz="4" w:space="0"/>
            </w:tcBorders>
            <w:shd w:val="clear" w:color="auto" w:fill="auto"/>
            <w:vAlign w:val="center"/>
          </w:tcPr>
          <w:p w14:paraId="570990D1">
            <w:pPr>
              <w:spacing w:line="320" w:lineRule="atLeast"/>
              <w:jc w:val="center"/>
            </w:pPr>
            <w:r>
              <w:rPr>
                <w:rFonts w:hint="eastAsia"/>
              </w:rPr>
              <w:t xml:space="preserve">检测  试剂      </w:t>
            </w:r>
          </w:p>
        </w:tc>
        <w:tc>
          <w:tcPr>
            <w:tcW w:w="1144" w:type="dxa"/>
            <w:tcBorders>
              <w:top w:val="single" w:color="auto" w:sz="4" w:space="0"/>
              <w:left w:val="single" w:color="auto" w:sz="4" w:space="0"/>
              <w:bottom w:val="single" w:color="auto" w:sz="4" w:space="0"/>
              <w:right w:val="single" w:color="auto" w:sz="4" w:space="0"/>
            </w:tcBorders>
            <w:shd w:val="clear" w:color="auto" w:fill="auto"/>
            <w:vAlign w:val="center"/>
          </w:tcPr>
          <w:p w14:paraId="44A768E4">
            <w:pPr>
              <w:spacing w:line="320" w:lineRule="atLeast"/>
              <w:jc w:val="center"/>
            </w:pPr>
            <w:r>
              <w:rPr>
                <w:rFonts w:hint="eastAsia"/>
              </w:rPr>
              <w:t>1000</w:t>
            </w:r>
          </w:p>
        </w:tc>
        <w:tc>
          <w:tcPr>
            <w:tcW w:w="4170" w:type="dxa"/>
            <w:tcBorders>
              <w:top w:val="single" w:color="auto" w:sz="4" w:space="0"/>
              <w:left w:val="single" w:color="auto" w:sz="4" w:space="0"/>
              <w:bottom w:val="single" w:color="auto" w:sz="4" w:space="0"/>
              <w:right w:val="single" w:color="auto" w:sz="4" w:space="0"/>
            </w:tcBorders>
            <w:shd w:val="clear" w:color="auto" w:fill="auto"/>
            <w:vAlign w:val="center"/>
          </w:tcPr>
          <w:p w14:paraId="661577D5">
            <w:pPr>
              <w:spacing w:line="320" w:lineRule="atLeast"/>
            </w:pPr>
            <w:r>
              <w:rPr>
                <w:rFonts w:hint="eastAsia"/>
              </w:rPr>
              <w:t>一次性病毒采样管（非灭活）500支，1:10混检病毒采样管（非灭活）500支。</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153FAF9D">
            <w:pPr>
              <w:spacing w:line="320" w:lineRule="atLeast"/>
              <w:jc w:val="center"/>
            </w:pPr>
            <w:r>
              <w:rPr>
                <w:rFonts w:hint="eastAsia"/>
              </w:rPr>
              <w:t>完成  及时</w:t>
            </w:r>
          </w:p>
        </w:tc>
        <w:tc>
          <w:tcPr>
            <w:tcW w:w="577" w:type="dxa"/>
            <w:tcBorders>
              <w:top w:val="single" w:color="auto" w:sz="4" w:space="0"/>
              <w:left w:val="single" w:color="auto" w:sz="4" w:space="0"/>
              <w:bottom w:val="single" w:color="auto" w:sz="4" w:space="0"/>
              <w:right w:val="single" w:color="auto" w:sz="4" w:space="0"/>
            </w:tcBorders>
            <w:shd w:val="clear" w:color="auto" w:fill="auto"/>
            <w:vAlign w:val="center"/>
          </w:tcPr>
          <w:p w14:paraId="051B3106">
            <w:pPr>
              <w:spacing w:line="320" w:lineRule="atLeast"/>
              <w:jc w:val="center"/>
            </w:pPr>
            <w:r>
              <w:rPr>
                <w:rFonts w:hint="eastAsia"/>
              </w:rPr>
              <w:t>1</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14:paraId="195F72C2">
            <w:pPr>
              <w:spacing w:line="320" w:lineRule="atLeast"/>
              <w:jc w:val="center"/>
            </w:pPr>
            <w:r>
              <w:rPr>
                <w:rFonts w:hint="eastAsia"/>
              </w:rPr>
              <w:t>1</w:t>
            </w:r>
          </w:p>
        </w:tc>
      </w:tr>
      <w:tr w14:paraId="0071B0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02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AD5113">
            <w:pPr>
              <w:spacing w:line="320" w:lineRule="atLeast"/>
              <w:jc w:val="center"/>
            </w:pPr>
            <w:r>
              <w:rPr>
                <w:rFonts w:hint="eastAsia"/>
              </w:rPr>
              <w:t>国药控股重庆医疗器械公司</w:t>
            </w:r>
          </w:p>
        </w:tc>
        <w:tc>
          <w:tcPr>
            <w:tcW w:w="812" w:type="dxa"/>
            <w:tcBorders>
              <w:top w:val="single" w:color="auto" w:sz="4" w:space="0"/>
              <w:left w:val="single" w:color="auto" w:sz="4" w:space="0"/>
              <w:bottom w:val="single" w:color="auto" w:sz="4" w:space="0"/>
              <w:right w:val="single" w:color="auto" w:sz="4" w:space="0"/>
            </w:tcBorders>
            <w:shd w:val="clear" w:color="auto" w:fill="auto"/>
            <w:vAlign w:val="center"/>
          </w:tcPr>
          <w:p w14:paraId="6E5A8BE4">
            <w:pPr>
              <w:spacing w:line="320" w:lineRule="atLeast"/>
              <w:jc w:val="center"/>
            </w:pPr>
            <w:r>
              <w:rPr>
                <w:rFonts w:hint="eastAsia"/>
              </w:rPr>
              <w:t>防护  器械</w:t>
            </w:r>
          </w:p>
        </w:tc>
        <w:tc>
          <w:tcPr>
            <w:tcW w:w="1144" w:type="dxa"/>
            <w:tcBorders>
              <w:top w:val="single" w:color="auto" w:sz="4" w:space="0"/>
              <w:left w:val="single" w:color="auto" w:sz="4" w:space="0"/>
              <w:bottom w:val="single" w:color="auto" w:sz="4" w:space="0"/>
              <w:right w:val="single" w:color="auto" w:sz="4" w:space="0"/>
            </w:tcBorders>
            <w:shd w:val="clear" w:color="auto" w:fill="auto"/>
            <w:vAlign w:val="center"/>
          </w:tcPr>
          <w:p w14:paraId="3AAEE345">
            <w:pPr>
              <w:spacing w:line="320" w:lineRule="atLeast"/>
              <w:jc w:val="center"/>
            </w:pPr>
            <w:r>
              <w:rPr>
                <w:rFonts w:hint="eastAsia"/>
              </w:rPr>
              <w:t>5</w:t>
            </w:r>
          </w:p>
        </w:tc>
        <w:tc>
          <w:tcPr>
            <w:tcW w:w="4170" w:type="dxa"/>
            <w:tcBorders>
              <w:top w:val="single" w:color="auto" w:sz="4" w:space="0"/>
              <w:left w:val="single" w:color="auto" w:sz="4" w:space="0"/>
              <w:bottom w:val="single" w:color="auto" w:sz="4" w:space="0"/>
              <w:right w:val="single" w:color="auto" w:sz="4" w:space="0"/>
            </w:tcBorders>
            <w:shd w:val="clear" w:color="auto" w:fill="auto"/>
            <w:vAlign w:val="center"/>
          </w:tcPr>
          <w:p w14:paraId="2E3BFEE3">
            <w:pPr>
              <w:spacing w:line="320" w:lineRule="atLeast"/>
            </w:pPr>
            <w:r>
              <w:rPr>
                <w:rFonts w:hint="eastAsia"/>
              </w:rPr>
              <w:t>红外热像仪5台。</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6DEA4042">
            <w:pPr>
              <w:spacing w:line="320" w:lineRule="atLeast"/>
              <w:jc w:val="center"/>
            </w:pPr>
            <w:r>
              <w:rPr>
                <w:rFonts w:hint="eastAsia"/>
              </w:rPr>
              <w:t>完成  及时</w:t>
            </w:r>
          </w:p>
        </w:tc>
        <w:tc>
          <w:tcPr>
            <w:tcW w:w="577" w:type="dxa"/>
            <w:tcBorders>
              <w:top w:val="single" w:color="auto" w:sz="4" w:space="0"/>
              <w:left w:val="single" w:color="auto" w:sz="4" w:space="0"/>
              <w:bottom w:val="single" w:color="auto" w:sz="4" w:space="0"/>
              <w:right w:val="single" w:color="auto" w:sz="4" w:space="0"/>
            </w:tcBorders>
            <w:shd w:val="clear" w:color="auto" w:fill="auto"/>
            <w:vAlign w:val="center"/>
          </w:tcPr>
          <w:p w14:paraId="45420646">
            <w:pPr>
              <w:spacing w:line="320" w:lineRule="atLeast"/>
              <w:jc w:val="center"/>
            </w:pPr>
            <w:r>
              <w:rPr>
                <w:rFonts w:hint="eastAsia"/>
              </w:rPr>
              <w:t>0.5</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14:paraId="5CE1989F">
            <w:pPr>
              <w:spacing w:line="320" w:lineRule="atLeast"/>
              <w:jc w:val="center"/>
            </w:pPr>
            <w:r>
              <w:rPr>
                <w:rFonts w:hint="eastAsia"/>
              </w:rPr>
              <w:t>0.5</w:t>
            </w:r>
          </w:p>
        </w:tc>
      </w:tr>
      <w:tr w14:paraId="23DBDE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1028" w:type="dxa"/>
            <w:vMerge w:val="continue"/>
            <w:tcBorders>
              <w:top w:val="single" w:color="auto" w:sz="4" w:space="0"/>
              <w:left w:val="single" w:color="auto" w:sz="4" w:space="0"/>
              <w:bottom w:val="single" w:color="auto" w:sz="4" w:space="0"/>
              <w:right w:val="single" w:color="auto" w:sz="4" w:space="0"/>
            </w:tcBorders>
            <w:vAlign w:val="center"/>
          </w:tcPr>
          <w:p w14:paraId="214A402E">
            <w:pPr>
              <w:spacing w:line="320" w:lineRule="atLeast"/>
              <w:jc w:val="center"/>
            </w:pPr>
          </w:p>
        </w:tc>
        <w:tc>
          <w:tcPr>
            <w:tcW w:w="812" w:type="dxa"/>
            <w:tcBorders>
              <w:top w:val="single" w:color="auto" w:sz="4" w:space="0"/>
              <w:left w:val="single" w:color="auto" w:sz="4" w:space="0"/>
              <w:bottom w:val="single" w:color="auto" w:sz="4" w:space="0"/>
              <w:right w:val="single" w:color="auto" w:sz="4" w:space="0"/>
            </w:tcBorders>
            <w:shd w:val="clear" w:color="auto" w:fill="auto"/>
            <w:vAlign w:val="center"/>
          </w:tcPr>
          <w:p w14:paraId="6265C106">
            <w:pPr>
              <w:spacing w:line="320" w:lineRule="atLeast"/>
              <w:jc w:val="center"/>
            </w:pPr>
            <w:r>
              <w:rPr>
                <w:rFonts w:hint="eastAsia"/>
              </w:rPr>
              <w:t>防护  物资</w:t>
            </w:r>
          </w:p>
        </w:tc>
        <w:tc>
          <w:tcPr>
            <w:tcW w:w="1144" w:type="dxa"/>
            <w:tcBorders>
              <w:top w:val="single" w:color="auto" w:sz="4" w:space="0"/>
              <w:left w:val="single" w:color="auto" w:sz="4" w:space="0"/>
              <w:bottom w:val="single" w:color="auto" w:sz="4" w:space="0"/>
              <w:right w:val="single" w:color="auto" w:sz="4" w:space="0"/>
            </w:tcBorders>
            <w:shd w:val="clear" w:color="auto" w:fill="auto"/>
            <w:vAlign w:val="center"/>
          </w:tcPr>
          <w:p w14:paraId="0CD0BAF2">
            <w:pPr>
              <w:spacing w:line="320" w:lineRule="atLeast"/>
              <w:jc w:val="center"/>
              <w:rPr>
                <w:color w:val="000000"/>
              </w:rPr>
            </w:pPr>
            <w:r>
              <w:rPr>
                <w:rFonts w:hint="eastAsia"/>
                <w:color w:val="000000"/>
              </w:rPr>
              <w:t>7785</w:t>
            </w:r>
          </w:p>
        </w:tc>
        <w:tc>
          <w:tcPr>
            <w:tcW w:w="4170" w:type="dxa"/>
            <w:tcBorders>
              <w:top w:val="single" w:color="auto" w:sz="4" w:space="0"/>
              <w:left w:val="single" w:color="auto" w:sz="4" w:space="0"/>
              <w:bottom w:val="single" w:color="auto" w:sz="4" w:space="0"/>
              <w:right w:val="single" w:color="auto" w:sz="4" w:space="0"/>
            </w:tcBorders>
            <w:shd w:val="clear" w:color="auto" w:fill="auto"/>
            <w:vAlign w:val="center"/>
          </w:tcPr>
          <w:p w14:paraId="10BE921F">
            <w:pPr>
              <w:spacing w:line="320" w:lineRule="atLeast"/>
            </w:pPr>
            <w:r>
              <w:rPr>
                <w:rFonts w:hint="eastAsia"/>
              </w:rPr>
              <w:t>全面罩50个，医用隔离面罩7735个。</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4FFFD429">
            <w:pPr>
              <w:spacing w:line="320" w:lineRule="atLeast"/>
              <w:jc w:val="center"/>
            </w:pPr>
            <w:r>
              <w:rPr>
                <w:rFonts w:hint="eastAsia"/>
              </w:rPr>
              <w:t>完成  及时</w:t>
            </w:r>
          </w:p>
        </w:tc>
        <w:tc>
          <w:tcPr>
            <w:tcW w:w="577" w:type="dxa"/>
            <w:tcBorders>
              <w:top w:val="single" w:color="auto" w:sz="4" w:space="0"/>
              <w:left w:val="single" w:color="auto" w:sz="4" w:space="0"/>
              <w:bottom w:val="single" w:color="auto" w:sz="4" w:space="0"/>
              <w:right w:val="single" w:color="auto" w:sz="4" w:space="0"/>
            </w:tcBorders>
            <w:shd w:val="clear" w:color="auto" w:fill="auto"/>
            <w:vAlign w:val="center"/>
          </w:tcPr>
          <w:p w14:paraId="4ABDEDF2">
            <w:pPr>
              <w:spacing w:line="320" w:lineRule="atLeast"/>
              <w:jc w:val="center"/>
            </w:pPr>
            <w:r>
              <w:rPr>
                <w:rFonts w:hint="eastAsia"/>
              </w:rPr>
              <w:t>1</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14:paraId="6D0B9219">
            <w:pPr>
              <w:spacing w:line="320" w:lineRule="atLeast"/>
              <w:jc w:val="center"/>
            </w:pPr>
            <w:r>
              <w:rPr>
                <w:rFonts w:hint="eastAsia"/>
              </w:rPr>
              <w:t>1</w:t>
            </w:r>
          </w:p>
        </w:tc>
      </w:tr>
      <w:tr w14:paraId="20B567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1028" w:type="dxa"/>
            <w:vMerge w:val="continue"/>
            <w:tcBorders>
              <w:top w:val="single" w:color="auto" w:sz="4" w:space="0"/>
              <w:left w:val="single" w:color="auto" w:sz="4" w:space="0"/>
              <w:bottom w:val="single" w:color="auto" w:sz="4" w:space="0"/>
              <w:right w:val="single" w:color="auto" w:sz="4" w:space="0"/>
            </w:tcBorders>
            <w:vAlign w:val="center"/>
          </w:tcPr>
          <w:p w14:paraId="6D171C8E">
            <w:pPr>
              <w:spacing w:line="320" w:lineRule="atLeast"/>
              <w:jc w:val="center"/>
            </w:pPr>
          </w:p>
        </w:tc>
        <w:tc>
          <w:tcPr>
            <w:tcW w:w="812" w:type="dxa"/>
            <w:tcBorders>
              <w:top w:val="single" w:color="auto" w:sz="4" w:space="0"/>
              <w:left w:val="single" w:color="auto" w:sz="4" w:space="0"/>
              <w:bottom w:val="single" w:color="auto" w:sz="4" w:space="0"/>
              <w:right w:val="single" w:color="auto" w:sz="4" w:space="0"/>
            </w:tcBorders>
            <w:shd w:val="clear" w:color="auto" w:fill="auto"/>
            <w:vAlign w:val="center"/>
          </w:tcPr>
          <w:p w14:paraId="686A317F">
            <w:pPr>
              <w:spacing w:line="320" w:lineRule="atLeast"/>
              <w:jc w:val="center"/>
            </w:pPr>
            <w:r>
              <w:rPr>
                <w:rFonts w:hint="eastAsia"/>
              </w:rPr>
              <w:t>消杀  用品</w:t>
            </w:r>
          </w:p>
        </w:tc>
        <w:tc>
          <w:tcPr>
            <w:tcW w:w="1144" w:type="dxa"/>
            <w:tcBorders>
              <w:top w:val="single" w:color="auto" w:sz="4" w:space="0"/>
              <w:left w:val="single" w:color="auto" w:sz="4" w:space="0"/>
              <w:bottom w:val="single" w:color="auto" w:sz="4" w:space="0"/>
              <w:right w:val="single" w:color="auto" w:sz="4" w:space="0"/>
            </w:tcBorders>
            <w:shd w:val="clear" w:color="auto" w:fill="auto"/>
            <w:vAlign w:val="center"/>
          </w:tcPr>
          <w:p w14:paraId="75633F8B">
            <w:pPr>
              <w:spacing w:line="320" w:lineRule="atLeast"/>
              <w:jc w:val="center"/>
              <w:rPr>
                <w:color w:val="000000"/>
              </w:rPr>
            </w:pPr>
            <w:r>
              <w:rPr>
                <w:rFonts w:hint="eastAsia"/>
                <w:color w:val="000000"/>
              </w:rPr>
              <w:t>794</w:t>
            </w:r>
          </w:p>
        </w:tc>
        <w:tc>
          <w:tcPr>
            <w:tcW w:w="4170" w:type="dxa"/>
            <w:tcBorders>
              <w:top w:val="single" w:color="auto" w:sz="4" w:space="0"/>
              <w:left w:val="single" w:color="auto" w:sz="4" w:space="0"/>
              <w:bottom w:val="single" w:color="auto" w:sz="4" w:space="0"/>
              <w:right w:val="single" w:color="auto" w:sz="4" w:space="0"/>
            </w:tcBorders>
            <w:shd w:val="clear" w:color="auto" w:fill="auto"/>
            <w:vAlign w:val="center"/>
          </w:tcPr>
          <w:p w14:paraId="78DF4363">
            <w:pPr>
              <w:spacing w:line="320" w:lineRule="atLeast"/>
            </w:pPr>
            <w:r>
              <w:rPr>
                <w:rFonts w:hint="eastAsia"/>
              </w:rPr>
              <w:t>95%消毒酒精（500ml）794瓶。</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1B9297D3">
            <w:pPr>
              <w:spacing w:line="320" w:lineRule="atLeast"/>
              <w:jc w:val="center"/>
            </w:pPr>
            <w:r>
              <w:rPr>
                <w:rFonts w:hint="eastAsia"/>
              </w:rPr>
              <w:t>完成  及时</w:t>
            </w:r>
          </w:p>
        </w:tc>
        <w:tc>
          <w:tcPr>
            <w:tcW w:w="577" w:type="dxa"/>
            <w:tcBorders>
              <w:top w:val="single" w:color="auto" w:sz="4" w:space="0"/>
              <w:left w:val="single" w:color="auto" w:sz="4" w:space="0"/>
              <w:bottom w:val="single" w:color="auto" w:sz="4" w:space="0"/>
              <w:right w:val="single" w:color="auto" w:sz="4" w:space="0"/>
            </w:tcBorders>
            <w:shd w:val="clear" w:color="auto" w:fill="auto"/>
            <w:vAlign w:val="center"/>
          </w:tcPr>
          <w:p w14:paraId="23C258FD">
            <w:pPr>
              <w:spacing w:line="320" w:lineRule="atLeast"/>
              <w:jc w:val="center"/>
            </w:pPr>
            <w:r>
              <w:rPr>
                <w:rFonts w:hint="eastAsia"/>
              </w:rPr>
              <w:t>0.5</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14:paraId="2D74B16F">
            <w:pPr>
              <w:spacing w:line="320" w:lineRule="atLeast"/>
              <w:jc w:val="center"/>
            </w:pPr>
            <w:r>
              <w:rPr>
                <w:rFonts w:hint="eastAsia"/>
              </w:rPr>
              <w:t>0.5</w:t>
            </w:r>
          </w:p>
        </w:tc>
      </w:tr>
      <w:tr w14:paraId="40A8D3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26" w:hRule="atLeast"/>
        </w:trPr>
        <w:tc>
          <w:tcPr>
            <w:tcW w:w="102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6386A8">
            <w:pPr>
              <w:spacing w:line="320" w:lineRule="atLeast"/>
              <w:jc w:val="center"/>
            </w:pPr>
            <w:r>
              <w:rPr>
                <w:rFonts w:hint="eastAsia"/>
              </w:rPr>
              <w:t>国药控制重庆泰民医药有限公司</w:t>
            </w:r>
          </w:p>
        </w:tc>
        <w:tc>
          <w:tcPr>
            <w:tcW w:w="812" w:type="dxa"/>
            <w:tcBorders>
              <w:top w:val="single" w:color="auto" w:sz="4" w:space="0"/>
              <w:left w:val="single" w:color="auto" w:sz="4" w:space="0"/>
              <w:bottom w:val="single" w:color="auto" w:sz="4" w:space="0"/>
              <w:right w:val="single" w:color="auto" w:sz="4" w:space="0"/>
            </w:tcBorders>
            <w:shd w:val="clear" w:color="auto" w:fill="auto"/>
            <w:vAlign w:val="center"/>
          </w:tcPr>
          <w:p w14:paraId="47F790F0">
            <w:pPr>
              <w:spacing w:line="320" w:lineRule="atLeast"/>
              <w:jc w:val="center"/>
            </w:pPr>
            <w:r>
              <w:rPr>
                <w:rFonts w:hint="eastAsia"/>
              </w:rPr>
              <w:t>防护  物资</w:t>
            </w:r>
          </w:p>
        </w:tc>
        <w:tc>
          <w:tcPr>
            <w:tcW w:w="1144" w:type="dxa"/>
            <w:tcBorders>
              <w:top w:val="single" w:color="auto" w:sz="4" w:space="0"/>
              <w:left w:val="single" w:color="auto" w:sz="4" w:space="0"/>
              <w:bottom w:val="single" w:color="auto" w:sz="4" w:space="0"/>
              <w:right w:val="single" w:color="auto" w:sz="4" w:space="0"/>
            </w:tcBorders>
            <w:shd w:val="clear" w:color="auto" w:fill="auto"/>
            <w:vAlign w:val="center"/>
          </w:tcPr>
          <w:p w14:paraId="04E54DEF">
            <w:pPr>
              <w:spacing w:line="320" w:lineRule="atLeast"/>
              <w:jc w:val="center"/>
            </w:pPr>
            <w:r>
              <w:rPr>
                <w:rFonts w:hint="eastAsia"/>
              </w:rPr>
              <w:t>52336</w:t>
            </w:r>
          </w:p>
        </w:tc>
        <w:tc>
          <w:tcPr>
            <w:tcW w:w="4170" w:type="dxa"/>
            <w:tcBorders>
              <w:top w:val="single" w:color="auto" w:sz="4" w:space="0"/>
              <w:left w:val="single" w:color="auto" w:sz="4" w:space="0"/>
              <w:bottom w:val="single" w:color="auto" w:sz="4" w:space="0"/>
              <w:right w:val="single" w:color="auto" w:sz="4" w:space="0"/>
            </w:tcBorders>
            <w:shd w:val="clear" w:color="auto" w:fill="auto"/>
            <w:vAlign w:val="center"/>
          </w:tcPr>
          <w:p w14:paraId="07C80B1E">
            <w:pPr>
              <w:spacing w:line="320" w:lineRule="atLeast"/>
            </w:pPr>
            <w:r>
              <w:rPr>
                <w:rFonts w:hint="eastAsia"/>
              </w:rPr>
              <w:t>紧急物资医用防护服9999件，一次性医用隔离衣18216件，手术衣390件，I'am防疫口罩10000个石墨烯防护口罩995个，耐化学品德工业用模压塑料靴3双，医用护目镜12733个。</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1AC1A006">
            <w:pPr>
              <w:spacing w:line="320" w:lineRule="atLeast"/>
              <w:jc w:val="center"/>
            </w:pPr>
            <w:r>
              <w:rPr>
                <w:rFonts w:hint="eastAsia"/>
              </w:rPr>
              <w:t>完成  及时</w:t>
            </w:r>
          </w:p>
        </w:tc>
        <w:tc>
          <w:tcPr>
            <w:tcW w:w="577" w:type="dxa"/>
            <w:tcBorders>
              <w:top w:val="single" w:color="auto" w:sz="4" w:space="0"/>
              <w:left w:val="single" w:color="auto" w:sz="4" w:space="0"/>
              <w:bottom w:val="single" w:color="auto" w:sz="4" w:space="0"/>
              <w:right w:val="single" w:color="auto" w:sz="4" w:space="0"/>
            </w:tcBorders>
            <w:shd w:val="clear" w:color="auto" w:fill="auto"/>
            <w:vAlign w:val="center"/>
          </w:tcPr>
          <w:p w14:paraId="2FA27765">
            <w:pPr>
              <w:spacing w:line="320" w:lineRule="atLeast"/>
              <w:jc w:val="center"/>
            </w:pPr>
            <w:r>
              <w:rPr>
                <w:rFonts w:hint="eastAsia"/>
              </w:rPr>
              <w:t>2</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14:paraId="5D45A230">
            <w:pPr>
              <w:spacing w:line="320" w:lineRule="atLeast"/>
              <w:jc w:val="center"/>
            </w:pPr>
            <w:r>
              <w:rPr>
                <w:rFonts w:hint="eastAsia"/>
              </w:rPr>
              <w:t>2</w:t>
            </w:r>
          </w:p>
        </w:tc>
      </w:tr>
      <w:tr w14:paraId="410524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8" w:hRule="atLeast"/>
        </w:trPr>
        <w:tc>
          <w:tcPr>
            <w:tcW w:w="1028" w:type="dxa"/>
            <w:vMerge w:val="continue"/>
            <w:tcBorders>
              <w:top w:val="single" w:color="auto" w:sz="4" w:space="0"/>
              <w:left w:val="single" w:color="auto" w:sz="4" w:space="0"/>
              <w:bottom w:val="single" w:color="auto" w:sz="4" w:space="0"/>
              <w:right w:val="single" w:color="auto" w:sz="4" w:space="0"/>
            </w:tcBorders>
            <w:vAlign w:val="center"/>
          </w:tcPr>
          <w:p w14:paraId="55C7510B">
            <w:pPr>
              <w:spacing w:line="320" w:lineRule="atLeast"/>
              <w:jc w:val="center"/>
            </w:pPr>
          </w:p>
        </w:tc>
        <w:tc>
          <w:tcPr>
            <w:tcW w:w="812" w:type="dxa"/>
            <w:tcBorders>
              <w:top w:val="single" w:color="auto" w:sz="4" w:space="0"/>
              <w:left w:val="single" w:color="auto" w:sz="4" w:space="0"/>
              <w:bottom w:val="single" w:color="auto" w:sz="4" w:space="0"/>
              <w:right w:val="single" w:color="auto" w:sz="4" w:space="0"/>
            </w:tcBorders>
            <w:shd w:val="clear" w:color="auto" w:fill="auto"/>
            <w:vAlign w:val="center"/>
          </w:tcPr>
          <w:p w14:paraId="1479939A">
            <w:pPr>
              <w:spacing w:line="320" w:lineRule="atLeast"/>
              <w:jc w:val="center"/>
            </w:pPr>
            <w:r>
              <w:rPr>
                <w:rFonts w:hint="eastAsia"/>
              </w:rPr>
              <w:t>防护  器械</w:t>
            </w:r>
          </w:p>
        </w:tc>
        <w:tc>
          <w:tcPr>
            <w:tcW w:w="1144" w:type="dxa"/>
            <w:tcBorders>
              <w:top w:val="single" w:color="auto" w:sz="4" w:space="0"/>
              <w:left w:val="single" w:color="auto" w:sz="4" w:space="0"/>
              <w:bottom w:val="single" w:color="auto" w:sz="4" w:space="0"/>
              <w:right w:val="single" w:color="auto" w:sz="4" w:space="0"/>
            </w:tcBorders>
            <w:shd w:val="clear" w:color="auto" w:fill="auto"/>
            <w:vAlign w:val="center"/>
          </w:tcPr>
          <w:p w14:paraId="10923F15">
            <w:pPr>
              <w:spacing w:line="320" w:lineRule="atLeast"/>
              <w:jc w:val="center"/>
            </w:pPr>
            <w:r>
              <w:rPr>
                <w:rFonts w:hint="eastAsia"/>
              </w:rPr>
              <w:t>347</w:t>
            </w:r>
          </w:p>
        </w:tc>
        <w:tc>
          <w:tcPr>
            <w:tcW w:w="4170" w:type="dxa"/>
            <w:tcBorders>
              <w:top w:val="single" w:color="auto" w:sz="4" w:space="0"/>
              <w:left w:val="single" w:color="auto" w:sz="4" w:space="0"/>
              <w:bottom w:val="single" w:color="auto" w:sz="4" w:space="0"/>
              <w:right w:val="single" w:color="auto" w:sz="4" w:space="0"/>
            </w:tcBorders>
            <w:shd w:val="clear" w:color="auto" w:fill="auto"/>
            <w:vAlign w:val="center"/>
          </w:tcPr>
          <w:p w14:paraId="76852728">
            <w:pPr>
              <w:spacing w:line="320" w:lineRule="atLeast"/>
            </w:pPr>
            <w:r>
              <w:rPr>
                <w:rFonts w:hint="eastAsia"/>
              </w:rPr>
              <w:t>背负式蓄电池超低容量喷雾机3台，丸山喷雾器341台，红外热成像体温快速筛检仪3台。</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7ED6EA4E">
            <w:pPr>
              <w:spacing w:line="320" w:lineRule="atLeast"/>
              <w:jc w:val="center"/>
            </w:pPr>
            <w:r>
              <w:rPr>
                <w:rFonts w:hint="eastAsia"/>
              </w:rPr>
              <w:t>完成  及时</w:t>
            </w:r>
          </w:p>
        </w:tc>
        <w:tc>
          <w:tcPr>
            <w:tcW w:w="577" w:type="dxa"/>
            <w:tcBorders>
              <w:top w:val="single" w:color="auto" w:sz="4" w:space="0"/>
              <w:left w:val="single" w:color="auto" w:sz="4" w:space="0"/>
              <w:bottom w:val="single" w:color="auto" w:sz="4" w:space="0"/>
              <w:right w:val="single" w:color="auto" w:sz="4" w:space="0"/>
            </w:tcBorders>
            <w:shd w:val="clear" w:color="auto" w:fill="auto"/>
            <w:vAlign w:val="center"/>
          </w:tcPr>
          <w:p w14:paraId="0D7D9A0D">
            <w:pPr>
              <w:spacing w:line="320" w:lineRule="atLeast"/>
              <w:jc w:val="center"/>
            </w:pPr>
            <w:r>
              <w:rPr>
                <w:rFonts w:hint="eastAsia"/>
              </w:rPr>
              <w:t>1</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14:paraId="663EEECD">
            <w:pPr>
              <w:spacing w:line="320" w:lineRule="atLeast"/>
              <w:jc w:val="center"/>
            </w:pPr>
            <w:r>
              <w:rPr>
                <w:rFonts w:hint="eastAsia"/>
              </w:rPr>
              <w:t>1</w:t>
            </w:r>
          </w:p>
        </w:tc>
      </w:tr>
      <w:tr w14:paraId="7DFB95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028" w:type="dxa"/>
            <w:vMerge w:val="continue"/>
            <w:tcBorders>
              <w:top w:val="single" w:color="auto" w:sz="4" w:space="0"/>
              <w:left w:val="single" w:color="auto" w:sz="4" w:space="0"/>
              <w:bottom w:val="single" w:color="auto" w:sz="4" w:space="0"/>
              <w:right w:val="single" w:color="auto" w:sz="4" w:space="0"/>
            </w:tcBorders>
            <w:vAlign w:val="center"/>
          </w:tcPr>
          <w:p w14:paraId="43431A2A">
            <w:pPr>
              <w:spacing w:line="320" w:lineRule="atLeast"/>
              <w:jc w:val="center"/>
            </w:pPr>
          </w:p>
        </w:tc>
        <w:tc>
          <w:tcPr>
            <w:tcW w:w="812" w:type="dxa"/>
            <w:tcBorders>
              <w:top w:val="single" w:color="auto" w:sz="4" w:space="0"/>
              <w:left w:val="single" w:color="auto" w:sz="4" w:space="0"/>
              <w:bottom w:val="single" w:color="auto" w:sz="4" w:space="0"/>
              <w:right w:val="single" w:color="auto" w:sz="4" w:space="0"/>
            </w:tcBorders>
            <w:shd w:val="clear" w:color="auto" w:fill="auto"/>
            <w:vAlign w:val="center"/>
          </w:tcPr>
          <w:p w14:paraId="6DEA8BB1">
            <w:pPr>
              <w:spacing w:line="320" w:lineRule="atLeast"/>
              <w:jc w:val="center"/>
            </w:pPr>
            <w:r>
              <w:rPr>
                <w:rFonts w:hint="eastAsia"/>
              </w:rPr>
              <w:t>检测  试剂</w:t>
            </w:r>
          </w:p>
        </w:tc>
        <w:tc>
          <w:tcPr>
            <w:tcW w:w="1144" w:type="dxa"/>
            <w:tcBorders>
              <w:top w:val="single" w:color="auto" w:sz="4" w:space="0"/>
              <w:left w:val="single" w:color="auto" w:sz="4" w:space="0"/>
              <w:bottom w:val="single" w:color="auto" w:sz="4" w:space="0"/>
              <w:right w:val="single" w:color="auto" w:sz="4" w:space="0"/>
            </w:tcBorders>
            <w:shd w:val="clear" w:color="auto" w:fill="auto"/>
            <w:vAlign w:val="center"/>
          </w:tcPr>
          <w:p w14:paraId="6D113D7B">
            <w:pPr>
              <w:spacing w:line="320" w:lineRule="atLeast"/>
              <w:jc w:val="center"/>
            </w:pPr>
            <w:r>
              <w:rPr>
                <w:rFonts w:hint="eastAsia"/>
              </w:rPr>
              <w:t>360</w:t>
            </w:r>
          </w:p>
        </w:tc>
        <w:tc>
          <w:tcPr>
            <w:tcW w:w="4170" w:type="dxa"/>
            <w:tcBorders>
              <w:top w:val="single" w:color="auto" w:sz="4" w:space="0"/>
              <w:left w:val="single" w:color="auto" w:sz="4" w:space="0"/>
              <w:bottom w:val="single" w:color="auto" w:sz="4" w:space="0"/>
              <w:right w:val="single" w:color="auto" w:sz="4" w:space="0"/>
            </w:tcBorders>
            <w:shd w:val="clear" w:color="auto" w:fill="auto"/>
            <w:vAlign w:val="center"/>
          </w:tcPr>
          <w:p w14:paraId="592D82F0">
            <w:pPr>
              <w:spacing w:line="320" w:lineRule="atLeast"/>
            </w:pPr>
            <w:r>
              <w:rPr>
                <w:rFonts w:hint="eastAsia"/>
              </w:rPr>
              <w:t>新型冠状病毒免核酸提取RNA检测试剂盒360盒</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56467C99">
            <w:pPr>
              <w:spacing w:line="320" w:lineRule="atLeast"/>
              <w:jc w:val="center"/>
            </w:pPr>
            <w:r>
              <w:rPr>
                <w:rFonts w:hint="eastAsia"/>
              </w:rPr>
              <w:t>完成  及时</w:t>
            </w:r>
          </w:p>
        </w:tc>
        <w:tc>
          <w:tcPr>
            <w:tcW w:w="577" w:type="dxa"/>
            <w:tcBorders>
              <w:top w:val="single" w:color="auto" w:sz="4" w:space="0"/>
              <w:left w:val="single" w:color="auto" w:sz="4" w:space="0"/>
              <w:bottom w:val="single" w:color="auto" w:sz="4" w:space="0"/>
              <w:right w:val="single" w:color="auto" w:sz="4" w:space="0"/>
            </w:tcBorders>
            <w:shd w:val="clear" w:color="auto" w:fill="auto"/>
            <w:vAlign w:val="center"/>
          </w:tcPr>
          <w:p w14:paraId="0B273AF7">
            <w:pPr>
              <w:spacing w:line="320" w:lineRule="atLeast"/>
              <w:jc w:val="center"/>
            </w:pPr>
            <w:r>
              <w:rPr>
                <w:rFonts w:hint="eastAsia"/>
              </w:rPr>
              <w:t>1</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14:paraId="6AC57E0C">
            <w:pPr>
              <w:spacing w:line="320" w:lineRule="atLeast"/>
              <w:jc w:val="center"/>
            </w:pPr>
            <w:r>
              <w:rPr>
                <w:rFonts w:hint="eastAsia"/>
              </w:rPr>
              <w:t>1</w:t>
            </w:r>
          </w:p>
        </w:tc>
      </w:tr>
      <w:tr w14:paraId="183E2C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18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F4E539">
            <w:pPr>
              <w:spacing w:line="320" w:lineRule="atLeast"/>
              <w:jc w:val="center"/>
            </w:pPr>
            <w:r>
              <w:rPr>
                <w:rFonts w:hint="eastAsia"/>
              </w:rPr>
              <w:t>合计</w:t>
            </w:r>
          </w:p>
        </w:tc>
        <w:tc>
          <w:tcPr>
            <w:tcW w:w="1144" w:type="dxa"/>
            <w:tcBorders>
              <w:top w:val="single" w:color="auto" w:sz="4" w:space="0"/>
              <w:left w:val="single" w:color="auto" w:sz="4" w:space="0"/>
              <w:bottom w:val="single" w:color="auto" w:sz="4" w:space="0"/>
              <w:right w:val="single" w:color="auto" w:sz="4" w:space="0"/>
            </w:tcBorders>
            <w:shd w:val="clear" w:color="auto" w:fill="auto"/>
            <w:vAlign w:val="center"/>
          </w:tcPr>
          <w:p w14:paraId="5EBB8329">
            <w:pPr>
              <w:spacing w:line="320" w:lineRule="atLeast"/>
              <w:jc w:val="center"/>
            </w:pPr>
            <w:r>
              <w:rPr>
                <w:rFonts w:hint="eastAsia"/>
              </w:rPr>
              <w:t>582249</w:t>
            </w:r>
          </w:p>
        </w:tc>
        <w:tc>
          <w:tcPr>
            <w:tcW w:w="4170" w:type="dxa"/>
            <w:tcBorders>
              <w:top w:val="single" w:color="auto" w:sz="4" w:space="0"/>
              <w:left w:val="single" w:color="auto" w:sz="4" w:space="0"/>
              <w:bottom w:val="single" w:color="auto" w:sz="4" w:space="0"/>
              <w:right w:val="single" w:color="auto" w:sz="4" w:space="0"/>
            </w:tcBorders>
            <w:shd w:val="clear" w:color="auto" w:fill="auto"/>
            <w:vAlign w:val="center"/>
          </w:tcPr>
          <w:p w14:paraId="3E1C9FEE">
            <w:pPr>
              <w:spacing w:line="320" w:lineRule="atLeast"/>
              <w:jc w:val="center"/>
            </w:pP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30C9F642">
            <w:pPr>
              <w:spacing w:line="320" w:lineRule="atLeast"/>
              <w:jc w:val="center"/>
            </w:pPr>
          </w:p>
        </w:tc>
        <w:tc>
          <w:tcPr>
            <w:tcW w:w="577" w:type="dxa"/>
            <w:tcBorders>
              <w:top w:val="single" w:color="auto" w:sz="4" w:space="0"/>
              <w:left w:val="single" w:color="auto" w:sz="4" w:space="0"/>
              <w:bottom w:val="single" w:color="auto" w:sz="4" w:space="0"/>
              <w:right w:val="single" w:color="auto" w:sz="4" w:space="0"/>
            </w:tcBorders>
            <w:shd w:val="clear" w:color="auto" w:fill="auto"/>
            <w:vAlign w:val="center"/>
          </w:tcPr>
          <w:p w14:paraId="5148511B">
            <w:pPr>
              <w:spacing w:line="320" w:lineRule="atLeast"/>
              <w:jc w:val="center"/>
            </w:pPr>
            <w:r>
              <w:rPr>
                <w:rFonts w:hint="eastAsia"/>
              </w:rPr>
              <w:t>10</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14:paraId="1ED0189B">
            <w:pPr>
              <w:spacing w:line="320" w:lineRule="atLeast"/>
              <w:jc w:val="center"/>
            </w:pPr>
            <w:r>
              <w:rPr>
                <w:rFonts w:hint="eastAsia"/>
              </w:rPr>
              <w:t>10</w:t>
            </w:r>
          </w:p>
        </w:tc>
      </w:tr>
    </w:tbl>
    <w:p w14:paraId="09182512">
      <w:pPr>
        <w:pStyle w:val="13"/>
        <w:tabs>
          <w:tab w:val="center" w:pos="4153"/>
          <w:tab w:val="left" w:pos="7275"/>
        </w:tabs>
        <w:spacing w:line="600" w:lineRule="exact"/>
        <w:ind w:firstLine="0" w:firstLineChars="0"/>
        <w:rPr>
          <w:rFonts w:ascii="方正仿宋_GBK" w:hAnsi="宋体" w:eastAsia="方正仿宋_GBK" w:cs="宋体"/>
          <w:bCs/>
          <w:kern w:val="0"/>
          <w:sz w:val="32"/>
          <w:szCs w:val="32"/>
        </w:rPr>
      </w:pPr>
    </w:p>
    <w:p w14:paraId="46C471EE">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（4）产出成本</w:t>
      </w:r>
    </w:p>
    <w:tbl>
      <w:tblPr>
        <w:tblStyle w:val="7"/>
        <w:tblW w:w="9215" w:type="dxa"/>
        <w:tblInd w:w="-176" w:type="dxa"/>
        <w:tblLayout w:type="fixed"/>
        <w:tblCellMar>
          <w:top w:w="0" w:type="dxa"/>
          <w:left w:w="108" w:type="dxa"/>
          <w:bottom w:w="0" w:type="dxa"/>
          <w:right w:w="108" w:type="dxa"/>
        </w:tblCellMar>
      </w:tblPr>
      <w:tblGrid>
        <w:gridCol w:w="851"/>
        <w:gridCol w:w="709"/>
        <w:gridCol w:w="992"/>
        <w:gridCol w:w="3828"/>
        <w:gridCol w:w="1701"/>
        <w:gridCol w:w="567"/>
        <w:gridCol w:w="567"/>
      </w:tblGrid>
      <w:tr w14:paraId="6F18FF40">
        <w:tblPrEx>
          <w:tblCellMar>
            <w:top w:w="0" w:type="dxa"/>
            <w:left w:w="108" w:type="dxa"/>
            <w:bottom w:w="0" w:type="dxa"/>
            <w:right w:w="108" w:type="dxa"/>
          </w:tblCellMar>
        </w:tblPrEx>
        <w:trPr>
          <w:trHeight w:val="830" w:hRule="atLeast"/>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11E85279">
            <w:pPr>
              <w:spacing w:line="320" w:lineRule="atLeast"/>
              <w:jc w:val="center"/>
            </w:pPr>
            <w:r>
              <w:rPr>
                <w:rFonts w:hint="eastAsia"/>
              </w:rPr>
              <w:t>项目实施单位</w:t>
            </w:r>
          </w:p>
        </w:tc>
        <w:tc>
          <w:tcPr>
            <w:tcW w:w="709" w:type="dxa"/>
            <w:tcBorders>
              <w:top w:val="single" w:color="auto" w:sz="4" w:space="0"/>
              <w:left w:val="nil"/>
              <w:bottom w:val="single" w:color="auto" w:sz="4" w:space="0"/>
              <w:right w:val="single" w:color="auto" w:sz="4" w:space="0"/>
            </w:tcBorders>
            <w:shd w:val="clear" w:color="auto" w:fill="auto"/>
            <w:vAlign w:val="center"/>
          </w:tcPr>
          <w:p w14:paraId="5B40D2F3">
            <w:pPr>
              <w:spacing w:line="320" w:lineRule="atLeast"/>
              <w:jc w:val="center"/>
            </w:pPr>
            <w:r>
              <w:rPr>
                <w:rFonts w:hint="eastAsia"/>
              </w:rPr>
              <w:t>储备物资类别</w:t>
            </w:r>
          </w:p>
        </w:tc>
        <w:tc>
          <w:tcPr>
            <w:tcW w:w="992" w:type="dxa"/>
            <w:tcBorders>
              <w:top w:val="single" w:color="auto" w:sz="4" w:space="0"/>
              <w:left w:val="nil"/>
              <w:bottom w:val="single" w:color="auto" w:sz="4" w:space="0"/>
              <w:right w:val="single" w:color="auto" w:sz="4" w:space="0"/>
            </w:tcBorders>
            <w:shd w:val="clear" w:color="auto" w:fill="auto"/>
            <w:vAlign w:val="center"/>
          </w:tcPr>
          <w:p w14:paraId="63F70BC2">
            <w:pPr>
              <w:spacing w:line="320" w:lineRule="atLeast"/>
              <w:jc w:val="center"/>
            </w:pPr>
            <w:r>
              <w:rPr>
                <w:rFonts w:hint="eastAsia"/>
              </w:rPr>
              <w:t>储备总数量(个/台/瓶/套）</w:t>
            </w:r>
          </w:p>
        </w:tc>
        <w:tc>
          <w:tcPr>
            <w:tcW w:w="3828" w:type="dxa"/>
            <w:tcBorders>
              <w:top w:val="single" w:color="auto" w:sz="4" w:space="0"/>
              <w:left w:val="nil"/>
              <w:bottom w:val="single" w:color="auto" w:sz="4" w:space="0"/>
              <w:right w:val="single" w:color="auto" w:sz="4" w:space="0"/>
            </w:tcBorders>
            <w:shd w:val="clear" w:color="auto" w:fill="auto"/>
            <w:vAlign w:val="center"/>
          </w:tcPr>
          <w:p w14:paraId="0C5004DD">
            <w:pPr>
              <w:spacing w:line="320" w:lineRule="atLeast"/>
              <w:jc w:val="center"/>
            </w:pPr>
            <w:r>
              <w:rPr>
                <w:rFonts w:hint="eastAsia"/>
              </w:rPr>
              <w:t>储备具体数量(个/台/瓶/套）</w:t>
            </w:r>
          </w:p>
        </w:tc>
        <w:tc>
          <w:tcPr>
            <w:tcW w:w="1701" w:type="dxa"/>
            <w:tcBorders>
              <w:top w:val="single" w:color="auto" w:sz="4" w:space="0"/>
              <w:left w:val="nil"/>
              <w:bottom w:val="single" w:color="auto" w:sz="4" w:space="0"/>
              <w:right w:val="single" w:color="auto" w:sz="4" w:space="0"/>
            </w:tcBorders>
            <w:shd w:val="clear" w:color="auto" w:fill="auto"/>
            <w:vAlign w:val="center"/>
          </w:tcPr>
          <w:p w14:paraId="7BD111DF">
            <w:pPr>
              <w:spacing w:line="320" w:lineRule="atLeast"/>
              <w:jc w:val="center"/>
            </w:pPr>
            <w:r>
              <w:rPr>
                <w:rFonts w:hint="eastAsia"/>
              </w:rPr>
              <w:t>产出成本情况</w:t>
            </w:r>
          </w:p>
        </w:tc>
        <w:tc>
          <w:tcPr>
            <w:tcW w:w="567" w:type="dxa"/>
            <w:tcBorders>
              <w:top w:val="single" w:color="auto" w:sz="4" w:space="0"/>
              <w:left w:val="nil"/>
              <w:bottom w:val="single" w:color="auto" w:sz="4" w:space="0"/>
              <w:right w:val="single" w:color="auto" w:sz="4" w:space="0"/>
            </w:tcBorders>
            <w:shd w:val="clear" w:color="auto" w:fill="auto"/>
            <w:vAlign w:val="center"/>
          </w:tcPr>
          <w:p w14:paraId="6C0CA8E6">
            <w:pPr>
              <w:spacing w:line="320" w:lineRule="atLeast"/>
              <w:jc w:val="center"/>
            </w:pPr>
            <w:r>
              <w:rPr>
                <w:rFonts w:hint="eastAsia"/>
              </w:rPr>
              <w:t>标准分</w:t>
            </w:r>
          </w:p>
        </w:tc>
        <w:tc>
          <w:tcPr>
            <w:tcW w:w="567" w:type="dxa"/>
            <w:tcBorders>
              <w:top w:val="single" w:color="auto" w:sz="4" w:space="0"/>
              <w:left w:val="nil"/>
              <w:bottom w:val="single" w:color="auto" w:sz="4" w:space="0"/>
              <w:right w:val="single" w:color="auto" w:sz="4" w:space="0"/>
            </w:tcBorders>
            <w:shd w:val="clear" w:color="auto" w:fill="auto"/>
            <w:vAlign w:val="center"/>
          </w:tcPr>
          <w:p w14:paraId="126DF1DD">
            <w:pPr>
              <w:spacing w:line="320" w:lineRule="atLeast"/>
              <w:jc w:val="center"/>
            </w:pPr>
            <w:r>
              <w:rPr>
                <w:rFonts w:hint="eastAsia"/>
              </w:rPr>
              <w:t>实际得分</w:t>
            </w:r>
          </w:p>
        </w:tc>
      </w:tr>
      <w:tr w14:paraId="2603ED0E">
        <w:tblPrEx>
          <w:tblCellMar>
            <w:top w:w="0" w:type="dxa"/>
            <w:left w:w="108" w:type="dxa"/>
            <w:bottom w:w="0" w:type="dxa"/>
            <w:right w:w="108" w:type="dxa"/>
          </w:tblCellMar>
        </w:tblPrEx>
        <w:trPr>
          <w:trHeight w:val="1850" w:hRule="atLeast"/>
        </w:trPr>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9760DC">
            <w:pPr>
              <w:spacing w:line="320" w:lineRule="atLeast"/>
              <w:jc w:val="center"/>
            </w:pPr>
            <w:r>
              <w:rPr>
                <w:rFonts w:hint="eastAsia"/>
              </w:rPr>
              <w:t>南岸区基层医疗卫生服务管理中心</w:t>
            </w:r>
          </w:p>
        </w:tc>
        <w:tc>
          <w:tcPr>
            <w:tcW w:w="709" w:type="dxa"/>
            <w:tcBorders>
              <w:top w:val="single" w:color="auto" w:sz="4" w:space="0"/>
              <w:left w:val="nil"/>
              <w:bottom w:val="single" w:color="auto" w:sz="4" w:space="0"/>
              <w:right w:val="single" w:color="auto" w:sz="4" w:space="0"/>
            </w:tcBorders>
            <w:shd w:val="clear" w:color="auto" w:fill="auto"/>
            <w:vAlign w:val="center"/>
          </w:tcPr>
          <w:p w14:paraId="15ED699E">
            <w:pPr>
              <w:spacing w:line="320" w:lineRule="atLeast"/>
              <w:jc w:val="center"/>
            </w:pPr>
            <w:r>
              <w:rPr>
                <w:rFonts w:hint="eastAsia"/>
              </w:rPr>
              <w:t>防护 物资</w:t>
            </w:r>
          </w:p>
        </w:tc>
        <w:tc>
          <w:tcPr>
            <w:tcW w:w="992" w:type="dxa"/>
            <w:tcBorders>
              <w:top w:val="single" w:color="auto" w:sz="4" w:space="0"/>
              <w:left w:val="nil"/>
              <w:bottom w:val="single" w:color="auto" w:sz="4" w:space="0"/>
              <w:right w:val="single" w:color="auto" w:sz="4" w:space="0"/>
            </w:tcBorders>
            <w:shd w:val="clear" w:color="auto" w:fill="auto"/>
            <w:vAlign w:val="center"/>
          </w:tcPr>
          <w:p w14:paraId="6291FC90">
            <w:pPr>
              <w:spacing w:line="320" w:lineRule="atLeast"/>
              <w:jc w:val="center"/>
            </w:pPr>
            <w:r>
              <w:rPr>
                <w:rFonts w:hint="eastAsia"/>
              </w:rPr>
              <w:t>509745</w:t>
            </w:r>
          </w:p>
        </w:tc>
        <w:tc>
          <w:tcPr>
            <w:tcW w:w="3828" w:type="dxa"/>
            <w:tcBorders>
              <w:top w:val="single" w:color="auto" w:sz="4" w:space="0"/>
              <w:left w:val="nil"/>
              <w:bottom w:val="single" w:color="auto" w:sz="4" w:space="0"/>
              <w:right w:val="single" w:color="auto" w:sz="4" w:space="0"/>
            </w:tcBorders>
            <w:shd w:val="clear" w:color="auto" w:fill="auto"/>
            <w:vAlign w:val="center"/>
          </w:tcPr>
          <w:p w14:paraId="3660A8AC">
            <w:pPr>
              <w:spacing w:line="320" w:lineRule="atLeast"/>
            </w:pPr>
            <w:r>
              <w:rPr>
                <w:rFonts w:hint="eastAsia"/>
              </w:rPr>
              <w:t>医用防护口罩18000个，医用外科口罩300000个，一次性防护面罩3000个，防雾护目镜800个，医用防护服5000件，医用隔离医40000件，一次性使用灭菌橡胶外科手套30935双，医用检查手套20000双，医用工作帽60000个，长筒靴套7000双，一次性保护鞋套25000双，正压头盔10个</w:t>
            </w:r>
          </w:p>
        </w:tc>
        <w:tc>
          <w:tcPr>
            <w:tcW w:w="1701" w:type="dxa"/>
            <w:tcBorders>
              <w:top w:val="single" w:color="auto" w:sz="4" w:space="0"/>
              <w:left w:val="nil"/>
              <w:bottom w:val="single" w:color="auto" w:sz="4" w:space="0"/>
              <w:right w:val="single" w:color="auto" w:sz="4" w:space="0"/>
            </w:tcBorders>
            <w:shd w:val="clear" w:color="auto" w:fill="auto"/>
            <w:vAlign w:val="center"/>
          </w:tcPr>
          <w:p w14:paraId="2A195BE3">
            <w:pPr>
              <w:spacing w:line="320" w:lineRule="atLeast"/>
              <w:jc w:val="center"/>
            </w:pPr>
            <w:r>
              <w:rPr>
                <w:rFonts w:hint="eastAsia"/>
              </w:rPr>
              <w:t>计划成本165.52万元，实际成本165.52万元，未超出计划成本。</w:t>
            </w:r>
          </w:p>
        </w:tc>
        <w:tc>
          <w:tcPr>
            <w:tcW w:w="567" w:type="dxa"/>
            <w:tcBorders>
              <w:top w:val="single" w:color="auto" w:sz="4" w:space="0"/>
              <w:left w:val="nil"/>
              <w:bottom w:val="single" w:color="auto" w:sz="4" w:space="0"/>
              <w:right w:val="single" w:color="auto" w:sz="4" w:space="0"/>
            </w:tcBorders>
            <w:shd w:val="clear" w:color="auto" w:fill="auto"/>
            <w:vAlign w:val="center"/>
          </w:tcPr>
          <w:p w14:paraId="6E0EAD5B">
            <w:pPr>
              <w:spacing w:line="320" w:lineRule="atLeast"/>
              <w:jc w:val="center"/>
            </w:pPr>
            <w:r>
              <w:rPr>
                <w:rFonts w:hint="eastAsia"/>
              </w:rPr>
              <w:t>1</w:t>
            </w:r>
          </w:p>
        </w:tc>
        <w:tc>
          <w:tcPr>
            <w:tcW w:w="567" w:type="dxa"/>
            <w:tcBorders>
              <w:top w:val="single" w:color="auto" w:sz="4" w:space="0"/>
              <w:left w:val="nil"/>
              <w:bottom w:val="single" w:color="auto" w:sz="4" w:space="0"/>
              <w:right w:val="single" w:color="auto" w:sz="4" w:space="0"/>
            </w:tcBorders>
            <w:shd w:val="clear" w:color="auto" w:fill="auto"/>
            <w:vAlign w:val="center"/>
          </w:tcPr>
          <w:p w14:paraId="41ACE095">
            <w:pPr>
              <w:spacing w:line="320" w:lineRule="atLeast"/>
              <w:jc w:val="center"/>
            </w:pPr>
            <w:r>
              <w:rPr>
                <w:rFonts w:hint="eastAsia"/>
              </w:rPr>
              <w:t>1</w:t>
            </w:r>
          </w:p>
        </w:tc>
      </w:tr>
      <w:tr w14:paraId="3F8F944E">
        <w:tblPrEx>
          <w:tblCellMar>
            <w:top w:w="0" w:type="dxa"/>
            <w:left w:w="108" w:type="dxa"/>
            <w:bottom w:w="0" w:type="dxa"/>
            <w:right w:w="108" w:type="dxa"/>
          </w:tblCellMar>
        </w:tblPrEx>
        <w:trPr>
          <w:trHeight w:val="900"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261141C3">
            <w:pPr>
              <w:spacing w:line="320" w:lineRule="atLeast"/>
              <w:jc w:val="center"/>
            </w:pPr>
          </w:p>
        </w:tc>
        <w:tc>
          <w:tcPr>
            <w:tcW w:w="709" w:type="dxa"/>
            <w:tcBorders>
              <w:top w:val="single" w:color="auto" w:sz="4" w:space="0"/>
              <w:left w:val="nil"/>
              <w:bottom w:val="single" w:color="auto" w:sz="4" w:space="0"/>
              <w:right w:val="single" w:color="auto" w:sz="4" w:space="0"/>
            </w:tcBorders>
            <w:shd w:val="clear" w:color="auto" w:fill="auto"/>
            <w:vAlign w:val="center"/>
          </w:tcPr>
          <w:p w14:paraId="0CD91604">
            <w:pPr>
              <w:spacing w:line="320" w:lineRule="atLeast"/>
              <w:jc w:val="center"/>
            </w:pPr>
            <w:r>
              <w:rPr>
                <w:rFonts w:hint="eastAsia"/>
              </w:rPr>
              <w:t>消杀 用品</w:t>
            </w:r>
          </w:p>
        </w:tc>
        <w:tc>
          <w:tcPr>
            <w:tcW w:w="992" w:type="dxa"/>
            <w:tcBorders>
              <w:top w:val="single" w:color="auto" w:sz="4" w:space="0"/>
              <w:left w:val="nil"/>
              <w:bottom w:val="single" w:color="auto" w:sz="4" w:space="0"/>
              <w:right w:val="single" w:color="auto" w:sz="4" w:space="0"/>
            </w:tcBorders>
            <w:shd w:val="clear" w:color="auto" w:fill="auto"/>
            <w:vAlign w:val="center"/>
          </w:tcPr>
          <w:p w14:paraId="0FB54A4B">
            <w:pPr>
              <w:spacing w:line="320" w:lineRule="atLeast"/>
              <w:jc w:val="center"/>
            </w:pPr>
            <w:r>
              <w:rPr>
                <w:rFonts w:hint="eastAsia"/>
              </w:rPr>
              <w:t>8800</w:t>
            </w:r>
          </w:p>
        </w:tc>
        <w:tc>
          <w:tcPr>
            <w:tcW w:w="3828" w:type="dxa"/>
            <w:tcBorders>
              <w:top w:val="single" w:color="auto" w:sz="4" w:space="0"/>
              <w:left w:val="nil"/>
              <w:bottom w:val="single" w:color="auto" w:sz="4" w:space="0"/>
              <w:right w:val="single" w:color="auto" w:sz="4" w:space="0"/>
            </w:tcBorders>
            <w:shd w:val="clear" w:color="auto" w:fill="auto"/>
            <w:vAlign w:val="center"/>
          </w:tcPr>
          <w:p w14:paraId="4C0DBDD1">
            <w:pPr>
              <w:spacing w:line="320" w:lineRule="atLeast"/>
              <w:jc w:val="center"/>
            </w:pPr>
            <w:r>
              <w:rPr>
                <w:rFonts w:hint="eastAsia"/>
              </w:rPr>
              <w:t>速干手消毒液4000瓶，医用酒精1000瓶，泡腾消毒片2000瓶，季铵盐消毒湿巾1500包，优氯净300盒。</w:t>
            </w:r>
          </w:p>
        </w:tc>
        <w:tc>
          <w:tcPr>
            <w:tcW w:w="1701" w:type="dxa"/>
            <w:tcBorders>
              <w:top w:val="single" w:color="auto" w:sz="4" w:space="0"/>
              <w:left w:val="nil"/>
              <w:bottom w:val="single" w:color="auto" w:sz="4" w:space="0"/>
              <w:right w:val="single" w:color="auto" w:sz="4" w:space="0"/>
            </w:tcBorders>
            <w:shd w:val="clear" w:color="auto" w:fill="auto"/>
            <w:vAlign w:val="center"/>
          </w:tcPr>
          <w:p w14:paraId="1B481451">
            <w:pPr>
              <w:spacing w:line="320" w:lineRule="atLeast"/>
              <w:jc w:val="center"/>
            </w:pPr>
            <w:r>
              <w:rPr>
                <w:rFonts w:hint="eastAsia"/>
              </w:rPr>
              <w:t>计划成本9.73万元，实际成本9.73万元，未超出计划成本。</w:t>
            </w:r>
          </w:p>
        </w:tc>
        <w:tc>
          <w:tcPr>
            <w:tcW w:w="567" w:type="dxa"/>
            <w:tcBorders>
              <w:top w:val="single" w:color="auto" w:sz="4" w:space="0"/>
              <w:left w:val="nil"/>
              <w:bottom w:val="single" w:color="auto" w:sz="4" w:space="0"/>
              <w:right w:val="single" w:color="auto" w:sz="4" w:space="0"/>
            </w:tcBorders>
            <w:shd w:val="clear" w:color="auto" w:fill="auto"/>
            <w:vAlign w:val="center"/>
          </w:tcPr>
          <w:p w14:paraId="7987E5E5">
            <w:pPr>
              <w:spacing w:line="320" w:lineRule="atLeast"/>
              <w:jc w:val="center"/>
            </w:pPr>
            <w:r>
              <w:rPr>
                <w:rFonts w:hint="eastAsia"/>
              </w:rPr>
              <w:t>1</w:t>
            </w:r>
          </w:p>
        </w:tc>
        <w:tc>
          <w:tcPr>
            <w:tcW w:w="567" w:type="dxa"/>
            <w:tcBorders>
              <w:top w:val="single" w:color="auto" w:sz="4" w:space="0"/>
              <w:left w:val="nil"/>
              <w:bottom w:val="single" w:color="auto" w:sz="4" w:space="0"/>
              <w:right w:val="single" w:color="auto" w:sz="4" w:space="0"/>
            </w:tcBorders>
            <w:shd w:val="clear" w:color="auto" w:fill="auto"/>
            <w:vAlign w:val="center"/>
          </w:tcPr>
          <w:p w14:paraId="550FE810">
            <w:pPr>
              <w:spacing w:line="320" w:lineRule="atLeast"/>
              <w:jc w:val="center"/>
            </w:pPr>
            <w:r>
              <w:rPr>
                <w:rFonts w:hint="eastAsia"/>
              </w:rPr>
              <w:t>1</w:t>
            </w:r>
          </w:p>
        </w:tc>
      </w:tr>
      <w:tr w14:paraId="5B3C85D1">
        <w:tblPrEx>
          <w:tblCellMar>
            <w:top w:w="0" w:type="dxa"/>
            <w:left w:w="108" w:type="dxa"/>
            <w:bottom w:w="0" w:type="dxa"/>
            <w:right w:w="108" w:type="dxa"/>
          </w:tblCellMar>
        </w:tblPrEx>
        <w:trPr>
          <w:trHeight w:val="1050"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7067A4AD">
            <w:pPr>
              <w:spacing w:line="320" w:lineRule="atLeast"/>
              <w:jc w:val="center"/>
            </w:pPr>
          </w:p>
        </w:tc>
        <w:tc>
          <w:tcPr>
            <w:tcW w:w="709" w:type="dxa"/>
            <w:tcBorders>
              <w:top w:val="single" w:color="auto" w:sz="4" w:space="0"/>
              <w:left w:val="nil"/>
              <w:bottom w:val="single" w:color="auto" w:sz="4" w:space="0"/>
              <w:right w:val="single" w:color="auto" w:sz="4" w:space="0"/>
            </w:tcBorders>
            <w:shd w:val="clear" w:color="auto" w:fill="auto"/>
            <w:vAlign w:val="center"/>
          </w:tcPr>
          <w:p w14:paraId="59CF35BB">
            <w:pPr>
              <w:spacing w:line="320" w:lineRule="atLeast"/>
              <w:jc w:val="center"/>
            </w:pPr>
            <w:r>
              <w:rPr>
                <w:rFonts w:hint="eastAsia"/>
              </w:rPr>
              <w:t>防护 器械</w:t>
            </w:r>
          </w:p>
        </w:tc>
        <w:tc>
          <w:tcPr>
            <w:tcW w:w="992" w:type="dxa"/>
            <w:tcBorders>
              <w:top w:val="single" w:color="auto" w:sz="4" w:space="0"/>
              <w:left w:val="nil"/>
              <w:bottom w:val="single" w:color="auto" w:sz="4" w:space="0"/>
              <w:right w:val="single" w:color="auto" w:sz="4" w:space="0"/>
            </w:tcBorders>
            <w:shd w:val="clear" w:color="auto" w:fill="auto"/>
            <w:vAlign w:val="center"/>
          </w:tcPr>
          <w:p w14:paraId="1A50E463">
            <w:pPr>
              <w:spacing w:line="320" w:lineRule="atLeast"/>
              <w:jc w:val="center"/>
            </w:pPr>
            <w:r>
              <w:rPr>
                <w:rFonts w:hint="eastAsia"/>
              </w:rPr>
              <w:t>1077</w:t>
            </w:r>
          </w:p>
        </w:tc>
        <w:tc>
          <w:tcPr>
            <w:tcW w:w="3828" w:type="dxa"/>
            <w:tcBorders>
              <w:top w:val="single" w:color="auto" w:sz="4" w:space="0"/>
              <w:left w:val="nil"/>
              <w:bottom w:val="single" w:color="auto" w:sz="4" w:space="0"/>
              <w:right w:val="single" w:color="auto" w:sz="4" w:space="0"/>
            </w:tcBorders>
            <w:shd w:val="clear" w:color="auto" w:fill="auto"/>
            <w:vAlign w:val="center"/>
          </w:tcPr>
          <w:p w14:paraId="1E88F3A0">
            <w:pPr>
              <w:spacing w:line="320" w:lineRule="atLeast"/>
              <w:jc w:val="center"/>
            </w:pPr>
            <w:r>
              <w:rPr>
                <w:rFonts w:hint="eastAsia"/>
              </w:rPr>
              <w:t>手持式红外线测温仪500个，红外热成像仪1台，正压滤盒5个，正压头套20个，正压送风系统1台，玻璃体温计500支，生物安全运输箱50个。</w:t>
            </w:r>
          </w:p>
        </w:tc>
        <w:tc>
          <w:tcPr>
            <w:tcW w:w="1701" w:type="dxa"/>
            <w:tcBorders>
              <w:top w:val="single" w:color="auto" w:sz="4" w:space="0"/>
              <w:left w:val="nil"/>
              <w:bottom w:val="single" w:color="auto" w:sz="4" w:space="0"/>
              <w:right w:val="single" w:color="auto" w:sz="4" w:space="0"/>
            </w:tcBorders>
            <w:shd w:val="clear" w:color="auto" w:fill="auto"/>
            <w:vAlign w:val="center"/>
          </w:tcPr>
          <w:p w14:paraId="41061F54">
            <w:pPr>
              <w:spacing w:line="320" w:lineRule="atLeast"/>
              <w:jc w:val="center"/>
            </w:pPr>
            <w:r>
              <w:rPr>
                <w:rFonts w:hint="eastAsia"/>
              </w:rPr>
              <w:t>计划成本19.91万元，实际成本19.91万元，未超出计划成本。</w:t>
            </w:r>
          </w:p>
        </w:tc>
        <w:tc>
          <w:tcPr>
            <w:tcW w:w="567" w:type="dxa"/>
            <w:tcBorders>
              <w:top w:val="single" w:color="auto" w:sz="4" w:space="0"/>
              <w:left w:val="nil"/>
              <w:bottom w:val="single" w:color="auto" w:sz="4" w:space="0"/>
              <w:right w:val="single" w:color="auto" w:sz="4" w:space="0"/>
            </w:tcBorders>
            <w:shd w:val="clear" w:color="auto" w:fill="auto"/>
            <w:vAlign w:val="center"/>
          </w:tcPr>
          <w:p w14:paraId="7E0F5574">
            <w:pPr>
              <w:spacing w:line="320" w:lineRule="atLeast"/>
              <w:jc w:val="center"/>
            </w:pPr>
            <w:r>
              <w:rPr>
                <w:rFonts w:hint="eastAsia"/>
              </w:rPr>
              <w:t>1</w:t>
            </w:r>
          </w:p>
        </w:tc>
        <w:tc>
          <w:tcPr>
            <w:tcW w:w="567" w:type="dxa"/>
            <w:tcBorders>
              <w:top w:val="single" w:color="auto" w:sz="4" w:space="0"/>
              <w:left w:val="nil"/>
              <w:bottom w:val="single" w:color="auto" w:sz="4" w:space="0"/>
              <w:right w:val="single" w:color="auto" w:sz="4" w:space="0"/>
            </w:tcBorders>
            <w:shd w:val="clear" w:color="auto" w:fill="auto"/>
            <w:vAlign w:val="center"/>
          </w:tcPr>
          <w:p w14:paraId="75032F26">
            <w:pPr>
              <w:spacing w:line="320" w:lineRule="atLeast"/>
              <w:jc w:val="center"/>
            </w:pPr>
            <w:r>
              <w:rPr>
                <w:rFonts w:hint="eastAsia"/>
              </w:rPr>
              <w:t>1</w:t>
            </w:r>
          </w:p>
        </w:tc>
      </w:tr>
      <w:tr w14:paraId="70CF1FF1">
        <w:tblPrEx>
          <w:tblCellMar>
            <w:top w:w="0" w:type="dxa"/>
            <w:left w:w="108" w:type="dxa"/>
            <w:bottom w:w="0" w:type="dxa"/>
            <w:right w:w="108" w:type="dxa"/>
          </w:tblCellMar>
        </w:tblPrEx>
        <w:trPr>
          <w:trHeight w:val="890"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0770DF5F">
            <w:pPr>
              <w:spacing w:line="320" w:lineRule="atLeast"/>
              <w:jc w:val="center"/>
            </w:pPr>
          </w:p>
        </w:tc>
        <w:tc>
          <w:tcPr>
            <w:tcW w:w="709" w:type="dxa"/>
            <w:tcBorders>
              <w:top w:val="single" w:color="auto" w:sz="4" w:space="0"/>
              <w:left w:val="nil"/>
              <w:bottom w:val="single" w:color="auto" w:sz="4" w:space="0"/>
              <w:right w:val="single" w:color="auto" w:sz="4" w:space="0"/>
            </w:tcBorders>
            <w:shd w:val="clear" w:color="auto" w:fill="auto"/>
            <w:vAlign w:val="center"/>
          </w:tcPr>
          <w:p w14:paraId="6CACA9AB">
            <w:pPr>
              <w:spacing w:line="320" w:lineRule="atLeast"/>
              <w:jc w:val="center"/>
            </w:pPr>
            <w:r>
              <w:rPr>
                <w:rFonts w:hint="eastAsia"/>
              </w:rPr>
              <w:t xml:space="preserve">检测 试剂      </w:t>
            </w:r>
          </w:p>
        </w:tc>
        <w:tc>
          <w:tcPr>
            <w:tcW w:w="992" w:type="dxa"/>
            <w:tcBorders>
              <w:top w:val="single" w:color="auto" w:sz="4" w:space="0"/>
              <w:left w:val="nil"/>
              <w:bottom w:val="single" w:color="auto" w:sz="4" w:space="0"/>
              <w:right w:val="single" w:color="auto" w:sz="4" w:space="0"/>
            </w:tcBorders>
            <w:shd w:val="clear" w:color="auto" w:fill="auto"/>
            <w:vAlign w:val="center"/>
          </w:tcPr>
          <w:p w14:paraId="10FF74EB">
            <w:pPr>
              <w:spacing w:line="320" w:lineRule="atLeast"/>
              <w:jc w:val="center"/>
            </w:pPr>
            <w:r>
              <w:rPr>
                <w:rFonts w:hint="eastAsia"/>
              </w:rPr>
              <w:t>1000</w:t>
            </w:r>
          </w:p>
        </w:tc>
        <w:tc>
          <w:tcPr>
            <w:tcW w:w="3828" w:type="dxa"/>
            <w:tcBorders>
              <w:top w:val="single" w:color="auto" w:sz="4" w:space="0"/>
              <w:left w:val="nil"/>
              <w:bottom w:val="single" w:color="auto" w:sz="4" w:space="0"/>
              <w:right w:val="single" w:color="auto" w:sz="4" w:space="0"/>
            </w:tcBorders>
            <w:shd w:val="clear" w:color="auto" w:fill="auto"/>
            <w:vAlign w:val="center"/>
          </w:tcPr>
          <w:p w14:paraId="496BBDAB">
            <w:pPr>
              <w:spacing w:line="320" w:lineRule="atLeast"/>
              <w:jc w:val="center"/>
            </w:pPr>
            <w:r>
              <w:rPr>
                <w:rFonts w:hint="eastAsia"/>
              </w:rPr>
              <w:t xml:space="preserve">一次性使用病毒采样管（非灭活）500支，1:10混检病毒采样管（非灭活）500支， </w:t>
            </w:r>
          </w:p>
        </w:tc>
        <w:tc>
          <w:tcPr>
            <w:tcW w:w="1701" w:type="dxa"/>
            <w:tcBorders>
              <w:top w:val="single" w:color="auto" w:sz="4" w:space="0"/>
              <w:left w:val="nil"/>
              <w:bottom w:val="single" w:color="auto" w:sz="4" w:space="0"/>
              <w:right w:val="single" w:color="auto" w:sz="4" w:space="0"/>
            </w:tcBorders>
            <w:shd w:val="clear" w:color="auto" w:fill="auto"/>
            <w:vAlign w:val="center"/>
          </w:tcPr>
          <w:p w14:paraId="27EF54EB">
            <w:pPr>
              <w:spacing w:line="320" w:lineRule="atLeast"/>
              <w:jc w:val="center"/>
            </w:pPr>
            <w:r>
              <w:rPr>
                <w:rFonts w:hint="eastAsia"/>
              </w:rPr>
              <w:t>计划成本0.84万元，实际成本0.84万元，未超出计划成本。</w:t>
            </w:r>
          </w:p>
        </w:tc>
        <w:tc>
          <w:tcPr>
            <w:tcW w:w="567" w:type="dxa"/>
            <w:tcBorders>
              <w:top w:val="single" w:color="auto" w:sz="4" w:space="0"/>
              <w:left w:val="nil"/>
              <w:bottom w:val="single" w:color="auto" w:sz="4" w:space="0"/>
              <w:right w:val="single" w:color="auto" w:sz="4" w:space="0"/>
            </w:tcBorders>
            <w:shd w:val="clear" w:color="auto" w:fill="auto"/>
            <w:vAlign w:val="center"/>
          </w:tcPr>
          <w:p w14:paraId="68F0CE7A">
            <w:pPr>
              <w:spacing w:line="320" w:lineRule="atLeast"/>
              <w:jc w:val="center"/>
            </w:pPr>
            <w:r>
              <w:rPr>
                <w:rFonts w:hint="eastAsia"/>
              </w:rPr>
              <w:t>1</w:t>
            </w:r>
          </w:p>
        </w:tc>
        <w:tc>
          <w:tcPr>
            <w:tcW w:w="567" w:type="dxa"/>
            <w:tcBorders>
              <w:top w:val="single" w:color="auto" w:sz="4" w:space="0"/>
              <w:left w:val="nil"/>
              <w:bottom w:val="single" w:color="auto" w:sz="4" w:space="0"/>
              <w:right w:val="single" w:color="auto" w:sz="4" w:space="0"/>
            </w:tcBorders>
            <w:shd w:val="clear" w:color="auto" w:fill="auto"/>
            <w:vAlign w:val="center"/>
          </w:tcPr>
          <w:p w14:paraId="0F7DAAFD">
            <w:pPr>
              <w:spacing w:line="320" w:lineRule="atLeast"/>
              <w:jc w:val="center"/>
            </w:pPr>
            <w:r>
              <w:rPr>
                <w:rFonts w:hint="eastAsia"/>
              </w:rPr>
              <w:t>1</w:t>
            </w:r>
          </w:p>
        </w:tc>
      </w:tr>
      <w:tr w14:paraId="3AD9803A">
        <w:tblPrEx>
          <w:tblCellMar>
            <w:top w:w="0" w:type="dxa"/>
            <w:left w:w="108" w:type="dxa"/>
            <w:bottom w:w="0" w:type="dxa"/>
            <w:right w:w="108" w:type="dxa"/>
          </w:tblCellMar>
        </w:tblPrEx>
        <w:trPr>
          <w:trHeight w:val="680" w:hRule="atLeast"/>
        </w:trPr>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D2C82F">
            <w:pPr>
              <w:spacing w:line="320" w:lineRule="atLeast"/>
              <w:jc w:val="center"/>
            </w:pPr>
            <w:r>
              <w:rPr>
                <w:rFonts w:hint="eastAsia"/>
              </w:rPr>
              <w:t>国药控股重庆医疗器械公司</w:t>
            </w:r>
          </w:p>
        </w:tc>
        <w:tc>
          <w:tcPr>
            <w:tcW w:w="709" w:type="dxa"/>
            <w:tcBorders>
              <w:top w:val="single" w:color="auto" w:sz="4" w:space="0"/>
              <w:left w:val="nil"/>
              <w:bottom w:val="single" w:color="auto" w:sz="4" w:space="0"/>
              <w:right w:val="single" w:color="auto" w:sz="4" w:space="0"/>
            </w:tcBorders>
            <w:shd w:val="clear" w:color="auto" w:fill="auto"/>
            <w:vAlign w:val="center"/>
          </w:tcPr>
          <w:p w14:paraId="6E920F65">
            <w:pPr>
              <w:spacing w:line="320" w:lineRule="atLeast"/>
              <w:jc w:val="center"/>
            </w:pPr>
            <w:r>
              <w:rPr>
                <w:rFonts w:hint="eastAsia"/>
              </w:rPr>
              <w:t>防护 器械</w:t>
            </w:r>
          </w:p>
        </w:tc>
        <w:tc>
          <w:tcPr>
            <w:tcW w:w="992" w:type="dxa"/>
            <w:tcBorders>
              <w:top w:val="single" w:color="auto" w:sz="4" w:space="0"/>
              <w:left w:val="nil"/>
              <w:bottom w:val="single" w:color="auto" w:sz="4" w:space="0"/>
              <w:right w:val="single" w:color="auto" w:sz="4" w:space="0"/>
            </w:tcBorders>
            <w:shd w:val="clear" w:color="auto" w:fill="auto"/>
            <w:vAlign w:val="center"/>
          </w:tcPr>
          <w:p w14:paraId="76E22E3B">
            <w:pPr>
              <w:spacing w:line="320" w:lineRule="atLeast"/>
              <w:jc w:val="center"/>
            </w:pPr>
            <w:r>
              <w:rPr>
                <w:rFonts w:hint="eastAsia"/>
              </w:rPr>
              <w:t>5</w:t>
            </w:r>
          </w:p>
        </w:tc>
        <w:tc>
          <w:tcPr>
            <w:tcW w:w="3828" w:type="dxa"/>
            <w:tcBorders>
              <w:top w:val="single" w:color="auto" w:sz="4" w:space="0"/>
              <w:left w:val="nil"/>
              <w:bottom w:val="single" w:color="auto" w:sz="4" w:space="0"/>
              <w:right w:val="single" w:color="auto" w:sz="4" w:space="0"/>
            </w:tcBorders>
            <w:shd w:val="clear" w:color="auto" w:fill="auto"/>
            <w:vAlign w:val="center"/>
          </w:tcPr>
          <w:p w14:paraId="4E6A8922">
            <w:pPr>
              <w:spacing w:line="320" w:lineRule="atLeast"/>
              <w:jc w:val="center"/>
            </w:pPr>
            <w:r>
              <w:rPr>
                <w:rFonts w:hint="eastAsia"/>
              </w:rPr>
              <w:t>红外热像仪5台。</w:t>
            </w:r>
          </w:p>
        </w:tc>
        <w:tc>
          <w:tcPr>
            <w:tcW w:w="1701" w:type="dxa"/>
            <w:tcBorders>
              <w:top w:val="single" w:color="auto" w:sz="4" w:space="0"/>
              <w:left w:val="nil"/>
              <w:bottom w:val="single" w:color="auto" w:sz="4" w:space="0"/>
              <w:right w:val="single" w:color="auto" w:sz="4" w:space="0"/>
            </w:tcBorders>
            <w:shd w:val="clear" w:color="auto" w:fill="auto"/>
            <w:vAlign w:val="center"/>
          </w:tcPr>
          <w:p w14:paraId="30C67456">
            <w:pPr>
              <w:spacing w:line="320" w:lineRule="atLeast"/>
              <w:jc w:val="center"/>
            </w:pPr>
            <w:r>
              <w:rPr>
                <w:rFonts w:hint="eastAsia"/>
              </w:rPr>
              <w:t>计划成本35.61万元，实际成本35.61万元，未超出计划成本。</w:t>
            </w:r>
          </w:p>
        </w:tc>
        <w:tc>
          <w:tcPr>
            <w:tcW w:w="567" w:type="dxa"/>
            <w:tcBorders>
              <w:top w:val="single" w:color="auto" w:sz="4" w:space="0"/>
              <w:left w:val="nil"/>
              <w:bottom w:val="single" w:color="auto" w:sz="4" w:space="0"/>
              <w:right w:val="single" w:color="auto" w:sz="4" w:space="0"/>
            </w:tcBorders>
            <w:shd w:val="clear" w:color="auto" w:fill="auto"/>
            <w:vAlign w:val="center"/>
          </w:tcPr>
          <w:p w14:paraId="6320C9C5">
            <w:pPr>
              <w:spacing w:line="320" w:lineRule="atLeast"/>
              <w:jc w:val="center"/>
            </w:pPr>
            <w:r>
              <w:rPr>
                <w:rFonts w:hint="eastAsia"/>
              </w:rPr>
              <w:t>0.5</w:t>
            </w:r>
          </w:p>
        </w:tc>
        <w:tc>
          <w:tcPr>
            <w:tcW w:w="567" w:type="dxa"/>
            <w:tcBorders>
              <w:top w:val="single" w:color="auto" w:sz="4" w:space="0"/>
              <w:left w:val="nil"/>
              <w:bottom w:val="single" w:color="auto" w:sz="4" w:space="0"/>
              <w:right w:val="single" w:color="auto" w:sz="4" w:space="0"/>
            </w:tcBorders>
            <w:shd w:val="clear" w:color="auto" w:fill="auto"/>
            <w:vAlign w:val="center"/>
          </w:tcPr>
          <w:p w14:paraId="5FA87061">
            <w:pPr>
              <w:spacing w:line="320" w:lineRule="atLeast"/>
              <w:jc w:val="center"/>
            </w:pPr>
            <w:r>
              <w:rPr>
                <w:rFonts w:hint="eastAsia"/>
              </w:rPr>
              <w:t>0.5</w:t>
            </w:r>
          </w:p>
        </w:tc>
      </w:tr>
      <w:tr w14:paraId="28E8858A">
        <w:tblPrEx>
          <w:tblCellMar>
            <w:top w:w="0" w:type="dxa"/>
            <w:left w:w="108" w:type="dxa"/>
            <w:bottom w:w="0" w:type="dxa"/>
            <w:right w:w="108" w:type="dxa"/>
          </w:tblCellMar>
        </w:tblPrEx>
        <w:trPr>
          <w:trHeight w:val="790"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1D52997A">
            <w:pPr>
              <w:spacing w:line="320" w:lineRule="atLeast"/>
              <w:jc w:val="center"/>
            </w:pPr>
          </w:p>
        </w:tc>
        <w:tc>
          <w:tcPr>
            <w:tcW w:w="709" w:type="dxa"/>
            <w:tcBorders>
              <w:top w:val="single" w:color="auto" w:sz="4" w:space="0"/>
              <w:left w:val="nil"/>
              <w:bottom w:val="single" w:color="auto" w:sz="4" w:space="0"/>
              <w:right w:val="single" w:color="auto" w:sz="4" w:space="0"/>
            </w:tcBorders>
            <w:shd w:val="clear" w:color="auto" w:fill="auto"/>
            <w:vAlign w:val="center"/>
          </w:tcPr>
          <w:p w14:paraId="680EC131">
            <w:pPr>
              <w:spacing w:line="320" w:lineRule="atLeast"/>
              <w:jc w:val="center"/>
            </w:pPr>
            <w:r>
              <w:rPr>
                <w:rFonts w:hint="eastAsia"/>
              </w:rPr>
              <w:t>防护 物资</w:t>
            </w:r>
          </w:p>
        </w:tc>
        <w:tc>
          <w:tcPr>
            <w:tcW w:w="992" w:type="dxa"/>
            <w:tcBorders>
              <w:top w:val="single" w:color="auto" w:sz="4" w:space="0"/>
              <w:left w:val="nil"/>
              <w:bottom w:val="single" w:color="auto" w:sz="4" w:space="0"/>
              <w:right w:val="single" w:color="auto" w:sz="4" w:space="0"/>
            </w:tcBorders>
            <w:shd w:val="clear" w:color="auto" w:fill="auto"/>
            <w:vAlign w:val="center"/>
          </w:tcPr>
          <w:p w14:paraId="439F9A1D">
            <w:pPr>
              <w:spacing w:line="320" w:lineRule="atLeast"/>
              <w:jc w:val="center"/>
              <w:rPr>
                <w:color w:val="000000"/>
              </w:rPr>
            </w:pPr>
            <w:r>
              <w:rPr>
                <w:rFonts w:hint="eastAsia"/>
                <w:color w:val="000000"/>
              </w:rPr>
              <w:t>7785</w:t>
            </w:r>
          </w:p>
        </w:tc>
        <w:tc>
          <w:tcPr>
            <w:tcW w:w="3828" w:type="dxa"/>
            <w:tcBorders>
              <w:top w:val="single" w:color="auto" w:sz="4" w:space="0"/>
              <w:left w:val="nil"/>
              <w:bottom w:val="single" w:color="auto" w:sz="4" w:space="0"/>
              <w:right w:val="single" w:color="auto" w:sz="4" w:space="0"/>
            </w:tcBorders>
            <w:shd w:val="clear" w:color="auto" w:fill="auto"/>
            <w:vAlign w:val="center"/>
          </w:tcPr>
          <w:p w14:paraId="036C2B22">
            <w:pPr>
              <w:spacing w:line="320" w:lineRule="atLeast"/>
              <w:jc w:val="center"/>
            </w:pPr>
            <w:r>
              <w:rPr>
                <w:rFonts w:hint="eastAsia"/>
              </w:rPr>
              <w:t>全面罩50个，医用隔离面罩7735个。</w:t>
            </w:r>
          </w:p>
        </w:tc>
        <w:tc>
          <w:tcPr>
            <w:tcW w:w="1701" w:type="dxa"/>
            <w:tcBorders>
              <w:top w:val="single" w:color="auto" w:sz="4" w:space="0"/>
              <w:left w:val="nil"/>
              <w:bottom w:val="single" w:color="auto" w:sz="4" w:space="0"/>
              <w:right w:val="single" w:color="auto" w:sz="4" w:space="0"/>
            </w:tcBorders>
            <w:shd w:val="clear" w:color="auto" w:fill="auto"/>
            <w:vAlign w:val="center"/>
          </w:tcPr>
          <w:p w14:paraId="7D678E63">
            <w:pPr>
              <w:spacing w:line="320" w:lineRule="atLeast"/>
              <w:jc w:val="center"/>
            </w:pPr>
            <w:r>
              <w:rPr>
                <w:rFonts w:hint="eastAsia"/>
              </w:rPr>
              <w:t>计划成本19.97万元，实际成本19.97万元，未超出计划成本。</w:t>
            </w:r>
          </w:p>
        </w:tc>
        <w:tc>
          <w:tcPr>
            <w:tcW w:w="567" w:type="dxa"/>
            <w:tcBorders>
              <w:top w:val="single" w:color="auto" w:sz="4" w:space="0"/>
              <w:left w:val="nil"/>
              <w:bottom w:val="single" w:color="auto" w:sz="4" w:space="0"/>
              <w:right w:val="single" w:color="auto" w:sz="4" w:space="0"/>
            </w:tcBorders>
            <w:shd w:val="clear" w:color="auto" w:fill="auto"/>
            <w:vAlign w:val="center"/>
          </w:tcPr>
          <w:p w14:paraId="23367415">
            <w:pPr>
              <w:spacing w:line="320" w:lineRule="atLeast"/>
              <w:jc w:val="center"/>
            </w:pPr>
            <w:r>
              <w:rPr>
                <w:rFonts w:hint="eastAsia"/>
              </w:rPr>
              <w:t>1</w:t>
            </w:r>
          </w:p>
        </w:tc>
        <w:tc>
          <w:tcPr>
            <w:tcW w:w="567" w:type="dxa"/>
            <w:tcBorders>
              <w:top w:val="single" w:color="auto" w:sz="4" w:space="0"/>
              <w:left w:val="nil"/>
              <w:bottom w:val="single" w:color="auto" w:sz="4" w:space="0"/>
              <w:right w:val="single" w:color="auto" w:sz="4" w:space="0"/>
            </w:tcBorders>
            <w:shd w:val="clear" w:color="auto" w:fill="auto"/>
            <w:vAlign w:val="center"/>
          </w:tcPr>
          <w:p w14:paraId="3A8ADF4A">
            <w:pPr>
              <w:spacing w:line="320" w:lineRule="atLeast"/>
              <w:jc w:val="center"/>
            </w:pPr>
            <w:r>
              <w:rPr>
                <w:rFonts w:hint="eastAsia"/>
              </w:rPr>
              <w:t>1</w:t>
            </w:r>
          </w:p>
        </w:tc>
      </w:tr>
      <w:tr w14:paraId="49672CE9">
        <w:tblPrEx>
          <w:tblCellMar>
            <w:top w:w="0" w:type="dxa"/>
            <w:left w:w="108" w:type="dxa"/>
            <w:bottom w:w="0" w:type="dxa"/>
            <w:right w:w="108" w:type="dxa"/>
          </w:tblCellMar>
        </w:tblPrEx>
        <w:trPr>
          <w:trHeight w:val="840"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473A8E5A">
            <w:pPr>
              <w:spacing w:line="320" w:lineRule="atLeast"/>
              <w:jc w:val="center"/>
            </w:pPr>
          </w:p>
        </w:tc>
        <w:tc>
          <w:tcPr>
            <w:tcW w:w="709" w:type="dxa"/>
            <w:tcBorders>
              <w:top w:val="single" w:color="auto" w:sz="4" w:space="0"/>
              <w:left w:val="nil"/>
              <w:bottom w:val="single" w:color="auto" w:sz="4" w:space="0"/>
              <w:right w:val="single" w:color="auto" w:sz="4" w:space="0"/>
            </w:tcBorders>
            <w:shd w:val="clear" w:color="auto" w:fill="auto"/>
            <w:vAlign w:val="center"/>
          </w:tcPr>
          <w:p w14:paraId="426A66B8">
            <w:pPr>
              <w:spacing w:line="320" w:lineRule="atLeast"/>
              <w:jc w:val="center"/>
            </w:pPr>
            <w:r>
              <w:rPr>
                <w:rFonts w:hint="eastAsia"/>
              </w:rPr>
              <w:t>消杀 用品</w:t>
            </w:r>
          </w:p>
        </w:tc>
        <w:tc>
          <w:tcPr>
            <w:tcW w:w="992" w:type="dxa"/>
            <w:tcBorders>
              <w:top w:val="single" w:color="auto" w:sz="4" w:space="0"/>
              <w:left w:val="nil"/>
              <w:bottom w:val="single" w:color="auto" w:sz="4" w:space="0"/>
              <w:right w:val="single" w:color="auto" w:sz="4" w:space="0"/>
            </w:tcBorders>
            <w:shd w:val="clear" w:color="auto" w:fill="auto"/>
            <w:vAlign w:val="center"/>
          </w:tcPr>
          <w:p w14:paraId="269B88FC">
            <w:pPr>
              <w:spacing w:line="320" w:lineRule="atLeast"/>
              <w:jc w:val="center"/>
              <w:rPr>
                <w:color w:val="000000"/>
              </w:rPr>
            </w:pPr>
            <w:r>
              <w:rPr>
                <w:rFonts w:hint="eastAsia"/>
                <w:color w:val="000000"/>
              </w:rPr>
              <w:t>794</w:t>
            </w:r>
          </w:p>
        </w:tc>
        <w:tc>
          <w:tcPr>
            <w:tcW w:w="3828" w:type="dxa"/>
            <w:tcBorders>
              <w:top w:val="single" w:color="auto" w:sz="4" w:space="0"/>
              <w:left w:val="nil"/>
              <w:bottom w:val="single" w:color="auto" w:sz="4" w:space="0"/>
              <w:right w:val="single" w:color="auto" w:sz="4" w:space="0"/>
            </w:tcBorders>
            <w:shd w:val="clear" w:color="auto" w:fill="auto"/>
            <w:vAlign w:val="center"/>
          </w:tcPr>
          <w:p w14:paraId="1678C387">
            <w:pPr>
              <w:spacing w:line="320" w:lineRule="atLeast"/>
              <w:jc w:val="center"/>
            </w:pPr>
            <w:r>
              <w:rPr>
                <w:rFonts w:hint="eastAsia"/>
              </w:rPr>
              <w:t>95%消毒酒精（500ml）794瓶。</w:t>
            </w:r>
          </w:p>
        </w:tc>
        <w:tc>
          <w:tcPr>
            <w:tcW w:w="1701" w:type="dxa"/>
            <w:tcBorders>
              <w:top w:val="single" w:color="auto" w:sz="4" w:space="0"/>
              <w:left w:val="nil"/>
              <w:bottom w:val="single" w:color="auto" w:sz="4" w:space="0"/>
              <w:right w:val="single" w:color="auto" w:sz="4" w:space="0"/>
            </w:tcBorders>
            <w:shd w:val="clear" w:color="auto" w:fill="auto"/>
            <w:vAlign w:val="center"/>
          </w:tcPr>
          <w:p w14:paraId="00532FE3">
            <w:pPr>
              <w:spacing w:line="320" w:lineRule="atLeast"/>
              <w:jc w:val="center"/>
            </w:pPr>
            <w:r>
              <w:rPr>
                <w:rFonts w:hint="eastAsia"/>
              </w:rPr>
              <w:t>计划成本0.47万元，实际成本0.47万元，未超出计划成本。</w:t>
            </w:r>
          </w:p>
        </w:tc>
        <w:tc>
          <w:tcPr>
            <w:tcW w:w="567" w:type="dxa"/>
            <w:tcBorders>
              <w:top w:val="single" w:color="auto" w:sz="4" w:space="0"/>
              <w:left w:val="nil"/>
              <w:bottom w:val="single" w:color="auto" w:sz="4" w:space="0"/>
              <w:right w:val="single" w:color="auto" w:sz="4" w:space="0"/>
            </w:tcBorders>
            <w:shd w:val="clear" w:color="auto" w:fill="auto"/>
            <w:vAlign w:val="center"/>
          </w:tcPr>
          <w:p w14:paraId="71DB315F">
            <w:pPr>
              <w:spacing w:line="320" w:lineRule="atLeast"/>
              <w:jc w:val="center"/>
            </w:pPr>
            <w:r>
              <w:rPr>
                <w:rFonts w:hint="eastAsia"/>
              </w:rPr>
              <w:t>0.5</w:t>
            </w:r>
          </w:p>
        </w:tc>
        <w:tc>
          <w:tcPr>
            <w:tcW w:w="567" w:type="dxa"/>
            <w:tcBorders>
              <w:top w:val="single" w:color="auto" w:sz="4" w:space="0"/>
              <w:left w:val="nil"/>
              <w:bottom w:val="single" w:color="auto" w:sz="4" w:space="0"/>
              <w:right w:val="single" w:color="auto" w:sz="4" w:space="0"/>
            </w:tcBorders>
            <w:shd w:val="clear" w:color="auto" w:fill="auto"/>
            <w:vAlign w:val="center"/>
          </w:tcPr>
          <w:p w14:paraId="1A123D59">
            <w:pPr>
              <w:spacing w:line="320" w:lineRule="atLeast"/>
              <w:jc w:val="center"/>
            </w:pPr>
            <w:r>
              <w:rPr>
                <w:rFonts w:hint="eastAsia"/>
              </w:rPr>
              <w:t>0.5</w:t>
            </w:r>
          </w:p>
        </w:tc>
      </w:tr>
      <w:tr w14:paraId="14E7A3E3">
        <w:tblPrEx>
          <w:tblCellMar>
            <w:top w:w="0" w:type="dxa"/>
            <w:left w:w="108" w:type="dxa"/>
            <w:bottom w:w="0" w:type="dxa"/>
            <w:right w:w="108" w:type="dxa"/>
          </w:tblCellMar>
        </w:tblPrEx>
        <w:trPr>
          <w:trHeight w:val="1160" w:hRule="atLeast"/>
        </w:trPr>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1822D6">
            <w:pPr>
              <w:spacing w:line="320" w:lineRule="atLeast"/>
              <w:jc w:val="center"/>
            </w:pPr>
            <w:r>
              <w:rPr>
                <w:rFonts w:hint="eastAsia"/>
              </w:rPr>
              <w:t>国药控制重庆泰民医药有限公司</w:t>
            </w:r>
          </w:p>
        </w:tc>
        <w:tc>
          <w:tcPr>
            <w:tcW w:w="709" w:type="dxa"/>
            <w:tcBorders>
              <w:top w:val="single" w:color="auto" w:sz="4" w:space="0"/>
              <w:left w:val="nil"/>
              <w:bottom w:val="single" w:color="auto" w:sz="4" w:space="0"/>
              <w:right w:val="single" w:color="auto" w:sz="4" w:space="0"/>
            </w:tcBorders>
            <w:shd w:val="clear" w:color="auto" w:fill="auto"/>
            <w:vAlign w:val="center"/>
          </w:tcPr>
          <w:p w14:paraId="6DD50FF0">
            <w:pPr>
              <w:spacing w:line="320" w:lineRule="atLeast"/>
              <w:jc w:val="center"/>
            </w:pPr>
            <w:r>
              <w:rPr>
                <w:rFonts w:hint="eastAsia"/>
              </w:rPr>
              <w:t>防护 物资</w:t>
            </w:r>
          </w:p>
        </w:tc>
        <w:tc>
          <w:tcPr>
            <w:tcW w:w="992" w:type="dxa"/>
            <w:tcBorders>
              <w:top w:val="single" w:color="auto" w:sz="4" w:space="0"/>
              <w:left w:val="nil"/>
              <w:bottom w:val="single" w:color="auto" w:sz="4" w:space="0"/>
              <w:right w:val="single" w:color="auto" w:sz="4" w:space="0"/>
            </w:tcBorders>
            <w:shd w:val="clear" w:color="auto" w:fill="auto"/>
            <w:vAlign w:val="center"/>
          </w:tcPr>
          <w:p w14:paraId="1A5874A5">
            <w:pPr>
              <w:spacing w:line="320" w:lineRule="atLeast"/>
              <w:jc w:val="center"/>
            </w:pPr>
            <w:r>
              <w:rPr>
                <w:rFonts w:hint="eastAsia"/>
              </w:rPr>
              <w:t>52336</w:t>
            </w:r>
          </w:p>
        </w:tc>
        <w:tc>
          <w:tcPr>
            <w:tcW w:w="3828" w:type="dxa"/>
            <w:tcBorders>
              <w:top w:val="single" w:color="auto" w:sz="4" w:space="0"/>
              <w:left w:val="nil"/>
              <w:bottom w:val="single" w:color="auto" w:sz="4" w:space="0"/>
              <w:right w:val="single" w:color="auto" w:sz="4" w:space="0"/>
            </w:tcBorders>
            <w:shd w:val="clear" w:color="auto" w:fill="auto"/>
            <w:vAlign w:val="center"/>
          </w:tcPr>
          <w:p w14:paraId="365EFCEA">
            <w:pPr>
              <w:spacing w:line="320" w:lineRule="atLeast"/>
              <w:jc w:val="center"/>
            </w:pPr>
            <w:r>
              <w:rPr>
                <w:rFonts w:hint="eastAsia"/>
              </w:rPr>
              <w:t>紧急物资医用防护服9999件，一次性医用隔离衣18216件，手术衣390件，I'am防疫口罩10000个石墨烯防护口罩995个，耐化学品德工业用模压塑料靴3双，医用护目镜12733个。</w:t>
            </w:r>
          </w:p>
        </w:tc>
        <w:tc>
          <w:tcPr>
            <w:tcW w:w="1701" w:type="dxa"/>
            <w:tcBorders>
              <w:top w:val="single" w:color="auto" w:sz="4" w:space="0"/>
              <w:left w:val="nil"/>
              <w:bottom w:val="single" w:color="auto" w:sz="4" w:space="0"/>
              <w:right w:val="single" w:color="auto" w:sz="4" w:space="0"/>
            </w:tcBorders>
            <w:shd w:val="clear" w:color="auto" w:fill="auto"/>
            <w:vAlign w:val="center"/>
          </w:tcPr>
          <w:p w14:paraId="2A018A61">
            <w:pPr>
              <w:spacing w:line="320" w:lineRule="atLeast"/>
              <w:jc w:val="center"/>
            </w:pPr>
            <w:r>
              <w:rPr>
                <w:rFonts w:hint="eastAsia"/>
              </w:rPr>
              <w:t>计划成本439.87万元，实际成本439.87万元，未超出计划成本。</w:t>
            </w:r>
          </w:p>
        </w:tc>
        <w:tc>
          <w:tcPr>
            <w:tcW w:w="567" w:type="dxa"/>
            <w:tcBorders>
              <w:top w:val="single" w:color="auto" w:sz="4" w:space="0"/>
              <w:left w:val="nil"/>
              <w:bottom w:val="single" w:color="auto" w:sz="4" w:space="0"/>
              <w:right w:val="single" w:color="auto" w:sz="4" w:space="0"/>
            </w:tcBorders>
            <w:shd w:val="clear" w:color="auto" w:fill="auto"/>
            <w:vAlign w:val="center"/>
          </w:tcPr>
          <w:p w14:paraId="631D3CBC">
            <w:pPr>
              <w:spacing w:line="320" w:lineRule="atLeast"/>
              <w:jc w:val="center"/>
            </w:pPr>
            <w:r>
              <w:rPr>
                <w:rFonts w:hint="eastAsia"/>
              </w:rPr>
              <w:t>2</w:t>
            </w:r>
          </w:p>
        </w:tc>
        <w:tc>
          <w:tcPr>
            <w:tcW w:w="567" w:type="dxa"/>
            <w:tcBorders>
              <w:top w:val="single" w:color="auto" w:sz="4" w:space="0"/>
              <w:left w:val="nil"/>
              <w:bottom w:val="single" w:color="auto" w:sz="4" w:space="0"/>
              <w:right w:val="single" w:color="auto" w:sz="4" w:space="0"/>
            </w:tcBorders>
            <w:shd w:val="clear" w:color="auto" w:fill="auto"/>
            <w:vAlign w:val="center"/>
          </w:tcPr>
          <w:p w14:paraId="6C4E0CE3">
            <w:pPr>
              <w:spacing w:line="320" w:lineRule="atLeast"/>
              <w:jc w:val="center"/>
            </w:pPr>
            <w:r>
              <w:rPr>
                <w:rFonts w:hint="eastAsia"/>
              </w:rPr>
              <w:t>2</w:t>
            </w:r>
          </w:p>
        </w:tc>
      </w:tr>
      <w:tr w14:paraId="5DEEA7CC">
        <w:tblPrEx>
          <w:tblCellMar>
            <w:top w:w="0" w:type="dxa"/>
            <w:left w:w="108" w:type="dxa"/>
            <w:bottom w:w="0" w:type="dxa"/>
            <w:right w:w="108" w:type="dxa"/>
          </w:tblCellMar>
        </w:tblPrEx>
        <w:trPr>
          <w:trHeight w:val="1408"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3E25B1CB">
            <w:pPr>
              <w:spacing w:line="320" w:lineRule="atLeast"/>
              <w:jc w:val="center"/>
            </w:pPr>
          </w:p>
        </w:tc>
        <w:tc>
          <w:tcPr>
            <w:tcW w:w="709" w:type="dxa"/>
            <w:tcBorders>
              <w:top w:val="single" w:color="auto" w:sz="4" w:space="0"/>
              <w:left w:val="nil"/>
              <w:bottom w:val="single" w:color="auto" w:sz="4" w:space="0"/>
              <w:right w:val="single" w:color="auto" w:sz="4" w:space="0"/>
            </w:tcBorders>
            <w:shd w:val="clear" w:color="auto" w:fill="auto"/>
            <w:vAlign w:val="center"/>
          </w:tcPr>
          <w:p w14:paraId="10A050B2">
            <w:pPr>
              <w:spacing w:line="320" w:lineRule="atLeast"/>
              <w:jc w:val="center"/>
            </w:pPr>
            <w:r>
              <w:rPr>
                <w:rFonts w:hint="eastAsia"/>
              </w:rPr>
              <w:t>防护 器械</w:t>
            </w:r>
          </w:p>
        </w:tc>
        <w:tc>
          <w:tcPr>
            <w:tcW w:w="992" w:type="dxa"/>
            <w:tcBorders>
              <w:top w:val="single" w:color="auto" w:sz="4" w:space="0"/>
              <w:left w:val="nil"/>
              <w:bottom w:val="single" w:color="auto" w:sz="4" w:space="0"/>
              <w:right w:val="single" w:color="auto" w:sz="4" w:space="0"/>
            </w:tcBorders>
            <w:shd w:val="clear" w:color="auto" w:fill="auto"/>
            <w:vAlign w:val="center"/>
          </w:tcPr>
          <w:p w14:paraId="1EFEDA57">
            <w:pPr>
              <w:spacing w:line="320" w:lineRule="atLeast"/>
              <w:jc w:val="center"/>
            </w:pPr>
            <w:r>
              <w:rPr>
                <w:rFonts w:hint="eastAsia"/>
              </w:rPr>
              <w:t>347</w:t>
            </w:r>
          </w:p>
        </w:tc>
        <w:tc>
          <w:tcPr>
            <w:tcW w:w="3828" w:type="dxa"/>
            <w:tcBorders>
              <w:top w:val="single" w:color="auto" w:sz="4" w:space="0"/>
              <w:left w:val="nil"/>
              <w:bottom w:val="single" w:color="auto" w:sz="4" w:space="0"/>
              <w:right w:val="single" w:color="auto" w:sz="4" w:space="0"/>
            </w:tcBorders>
            <w:shd w:val="clear" w:color="auto" w:fill="auto"/>
            <w:vAlign w:val="center"/>
          </w:tcPr>
          <w:p w14:paraId="33C28D6D">
            <w:pPr>
              <w:spacing w:line="320" w:lineRule="atLeast"/>
              <w:jc w:val="center"/>
            </w:pPr>
            <w:r>
              <w:rPr>
                <w:rFonts w:hint="eastAsia"/>
              </w:rPr>
              <w:t>背负式蓄电池超低容量喷雾机3台，丸山喷雾器341台，红外热成像体温快速筛检仪3台。</w:t>
            </w:r>
          </w:p>
        </w:tc>
        <w:tc>
          <w:tcPr>
            <w:tcW w:w="1701" w:type="dxa"/>
            <w:tcBorders>
              <w:top w:val="single" w:color="auto" w:sz="4" w:space="0"/>
              <w:left w:val="nil"/>
              <w:bottom w:val="single" w:color="auto" w:sz="4" w:space="0"/>
              <w:right w:val="single" w:color="auto" w:sz="4" w:space="0"/>
            </w:tcBorders>
            <w:shd w:val="clear" w:color="auto" w:fill="auto"/>
            <w:vAlign w:val="center"/>
          </w:tcPr>
          <w:p w14:paraId="37B2D3F6">
            <w:pPr>
              <w:spacing w:line="320" w:lineRule="atLeast"/>
              <w:jc w:val="center"/>
            </w:pPr>
            <w:r>
              <w:rPr>
                <w:rFonts w:hint="eastAsia"/>
              </w:rPr>
              <w:t>计划成本170.79万元，实际成本170.79万元，未超出计划成本。</w:t>
            </w:r>
          </w:p>
        </w:tc>
        <w:tc>
          <w:tcPr>
            <w:tcW w:w="567" w:type="dxa"/>
            <w:tcBorders>
              <w:top w:val="single" w:color="auto" w:sz="4" w:space="0"/>
              <w:left w:val="nil"/>
              <w:bottom w:val="single" w:color="auto" w:sz="4" w:space="0"/>
              <w:right w:val="single" w:color="auto" w:sz="4" w:space="0"/>
            </w:tcBorders>
            <w:shd w:val="clear" w:color="auto" w:fill="auto"/>
            <w:vAlign w:val="center"/>
          </w:tcPr>
          <w:p w14:paraId="6FA7C488">
            <w:pPr>
              <w:spacing w:line="320" w:lineRule="atLeast"/>
              <w:jc w:val="center"/>
            </w:pPr>
            <w:r>
              <w:rPr>
                <w:rFonts w:hint="eastAsia"/>
              </w:rPr>
              <w:t>1</w:t>
            </w:r>
          </w:p>
        </w:tc>
        <w:tc>
          <w:tcPr>
            <w:tcW w:w="567" w:type="dxa"/>
            <w:tcBorders>
              <w:top w:val="single" w:color="auto" w:sz="4" w:space="0"/>
              <w:left w:val="nil"/>
              <w:bottom w:val="single" w:color="auto" w:sz="4" w:space="0"/>
              <w:right w:val="single" w:color="auto" w:sz="4" w:space="0"/>
            </w:tcBorders>
            <w:shd w:val="clear" w:color="auto" w:fill="auto"/>
            <w:vAlign w:val="center"/>
          </w:tcPr>
          <w:p w14:paraId="3194D145">
            <w:pPr>
              <w:spacing w:line="320" w:lineRule="atLeast"/>
              <w:jc w:val="center"/>
            </w:pPr>
            <w:r>
              <w:rPr>
                <w:rFonts w:hint="eastAsia"/>
              </w:rPr>
              <w:t>1</w:t>
            </w:r>
          </w:p>
        </w:tc>
      </w:tr>
      <w:tr w14:paraId="04B65E6A">
        <w:tblPrEx>
          <w:tblCellMar>
            <w:top w:w="0" w:type="dxa"/>
            <w:left w:w="108" w:type="dxa"/>
            <w:bottom w:w="0" w:type="dxa"/>
            <w:right w:w="108" w:type="dxa"/>
          </w:tblCellMar>
        </w:tblPrEx>
        <w:trPr>
          <w:trHeight w:val="800"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5EC8BA88">
            <w:pPr>
              <w:spacing w:line="320" w:lineRule="atLeast"/>
              <w:jc w:val="center"/>
            </w:pPr>
          </w:p>
        </w:tc>
        <w:tc>
          <w:tcPr>
            <w:tcW w:w="709" w:type="dxa"/>
            <w:tcBorders>
              <w:top w:val="single" w:color="auto" w:sz="4" w:space="0"/>
              <w:left w:val="nil"/>
              <w:bottom w:val="single" w:color="auto" w:sz="4" w:space="0"/>
              <w:right w:val="single" w:color="auto" w:sz="4" w:space="0"/>
            </w:tcBorders>
            <w:shd w:val="clear" w:color="auto" w:fill="auto"/>
            <w:vAlign w:val="center"/>
          </w:tcPr>
          <w:p w14:paraId="58F0A576">
            <w:pPr>
              <w:spacing w:line="320" w:lineRule="atLeast"/>
              <w:jc w:val="center"/>
            </w:pPr>
            <w:r>
              <w:rPr>
                <w:rFonts w:hint="eastAsia"/>
              </w:rPr>
              <w:t>检测 试剂</w:t>
            </w:r>
          </w:p>
        </w:tc>
        <w:tc>
          <w:tcPr>
            <w:tcW w:w="992" w:type="dxa"/>
            <w:tcBorders>
              <w:top w:val="single" w:color="auto" w:sz="4" w:space="0"/>
              <w:left w:val="nil"/>
              <w:bottom w:val="single" w:color="auto" w:sz="4" w:space="0"/>
              <w:right w:val="single" w:color="auto" w:sz="4" w:space="0"/>
            </w:tcBorders>
            <w:shd w:val="clear" w:color="auto" w:fill="auto"/>
            <w:vAlign w:val="center"/>
          </w:tcPr>
          <w:p w14:paraId="35D1EE23">
            <w:pPr>
              <w:spacing w:line="320" w:lineRule="atLeast"/>
              <w:jc w:val="center"/>
            </w:pPr>
            <w:r>
              <w:rPr>
                <w:rFonts w:hint="eastAsia"/>
              </w:rPr>
              <w:t>360</w:t>
            </w:r>
          </w:p>
        </w:tc>
        <w:tc>
          <w:tcPr>
            <w:tcW w:w="3828" w:type="dxa"/>
            <w:tcBorders>
              <w:top w:val="single" w:color="auto" w:sz="4" w:space="0"/>
              <w:left w:val="nil"/>
              <w:bottom w:val="single" w:color="auto" w:sz="4" w:space="0"/>
              <w:right w:val="single" w:color="auto" w:sz="4" w:space="0"/>
            </w:tcBorders>
            <w:shd w:val="clear" w:color="auto" w:fill="auto"/>
            <w:vAlign w:val="center"/>
          </w:tcPr>
          <w:p w14:paraId="7ED19113">
            <w:pPr>
              <w:spacing w:line="320" w:lineRule="atLeast"/>
              <w:jc w:val="center"/>
            </w:pPr>
            <w:r>
              <w:rPr>
                <w:rFonts w:hint="eastAsia"/>
              </w:rPr>
              <w:t>新型冠状病毒免核酸提取RNA检测试剂盒360盒</w:t>
            </w:r>
          </w:p>
        </w:tc>
        <w:tc>
          <w:tcPr>
            <w:tcW w:w="1701" w:type="dxa"/>
            <w:tcBorders>
              <w:top w:val="single" w:color="auto" w:sz="4" w:space="0"/>
              <w:left w:val="nil"/>
              <w:bottom w:val="single" w:color="auto" w:sz="4" w:space="0"/>
              <w:right w:val="single" w:color="auto" w:sz="4" w:space="0"/>
            </w:tcBorders>
            <w:shd w:val="clear" w:color="auto" w:fill="auto"/>
            <w:vAlign w:val="center"/>
          </w:tcPr>
          <w:p w14:paraId="70C0D8CF">
            <w:pPr>
              <w:spacing w:line="320" w:lineRule="atLeast"/>
              <w:jc w:val="center"/>
            </w:pPr>
            <w:r>
              <w:rPr>
                <w:rFonts w:hint="eastAsia"/>
              </w:rPr>
              <w:t>计划成本2.94万元，实际成本2.94万元，未超出计划成本。</w:t>
            </w:r>
          </w:p>
        </w:tc>
        <w:tc>
          <w:tcPr>
            <w:tcW w:w="567" w:type="dxa"/>
            <w:tcBorders>
              <w:top w:val="single" w:color="auto" w:sz="4" w:space="0"/>
              <w:left w:val="nil"/>
              <w:bottom w:val="single" w:color="auto" w:sz="4" w:space="0"/>
              <w:right w:val="single" w:color="auto" w:sz="4" w:space="0"/>
            </w:tcBorders>
            <w:shd w:val="clear" w:color="auto" w:fill="auto"/>
            <w:vAlign w:val="center"/>
          </w:tcPr>
          <w:p w14:paraId="67A1FAF2">
            <w:pPr>
              <w:spacing w:line="320" w:lineRule="atLeast"/>
              <w:jc w:val="center"/>
            </w:pPr>
            <w:r>
              <w:rPr>
                <w:rFonts w:hint="eastAsia"/>
              </w:rPr>
              <w:t>1</w:t>
            </w:r>
          </w:p>
        </w:tc>
        <w:tc>
          <w:tcPr>
            <w:tcW w:w="567" w:type="dxa"/>
            <w:tcBorders>
              <w:top w:val="single" w:color="auto" w:sz="4" w:space="0"/>
              <w:left w:val="nil"/>
              <w:bottom w:val="single" w:color="auto" w:sz="4" w:space="0"/>
              <w:right w:val="single" w:color="auto" w:sz="4" w:space="0"/>
            </w:tcBorders>
            <w:shd w:val="clear" w:color="auto" w:fill="auto"/>
            <w:vAlign w:val="center"/>
          </w:tcPr>
          <w:p w14:paraId="623129D0">
            <w:pPr>
              <w:spacing w:line="320" w:lineRule="atLeast"/>
              <w:jc w:val="center"/>
            </w:pPr>
            <w:r>
              <w:rPr>
                <w:rFonts w:hint="eastAsia"/>
              </w:rPr>
              <w:t>1</w:t>
            </w:r>
          </w:p>
        </w:tc>
      </w:tr>
      <w:tr w14:paraId="74C74254">
        <w:tblPrEx>
          <w:tblCellMar>
            <w:top w:w="0" w:type="dxa"/>
            <w:left w:w="108" w:type="dxa"/>
            <w:bottom w:w="0" w:type="dxa"/>
            <w:right w:w="108" w:type="dxa"/>
          </w:tblCellMar>
        </w:tblPrEx>
        <w:trPr>
          <w:trHeight w:val="530" w:hRule="atLeast"/>
        </w:trPr>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5F4070">
            <w:pPr>
              <w:spacing w:line="320" w:lineRule="atLeast"/>
              <w:jc w:val="center"/>
            </w:pPr>
            <w:r>
              <w:rPr>
                <w:rFonts w:hint="eastAsia"/>
              </w:rPr>
              <w:t>合计</w:t>
            </w:r>
          </w:p>
        </w:tc>
        <w:tc>
          <w:tcPr>
            <w:tcW w:w="992" w:type="dxa"/>
            <w:tcBorders>
              <w:top w:val="single" w:color="auto" w:sz="4" w:space="0"/>
              <w:left w:val="nil"/>
              <w:bottom w:val="single" w:color="auto" w:sz="4" w:space="0"/>
              <w:right w:val="single" w:color="auto" w:sz="4" w:space="0"/>
            </w:tcBorders>
            <w:shd w:val="clear" w:color="auto" w:fill="auto"/>
            <w:vAlign w:val="center"/>
          </w:tcPr>
          <w:p w14:paraId="4EDFADD8">
            <w:pPr>
              <w:spacing w:line="320" w:lineRule="atLeast"/>
              <w:jc w:val="center"/>
            </w:pPr>
            <w:r>
              <w:rPr>
                <w:rFonts w:hint="eastAsia"/>
              </w:rPr>
              <w:t>582249</w:t>
            </w:r>
          </w:p>
        </w:tc>
        <w:tc>
          <w:tcPr>
            <w:tcW w:w="3828" w:type="dxa"/>
            <w:tcBorders>
              <w:top w:val="single" w:color="auto" w:sz="4" w:space="0"/>
              <w:left w:val="nil"/>
              <w:bottom w:val="single" w:color="auto" w:sz="4" w:space="0"/>
              <w:right w:val="single" w:color="auto" w:sz="4" w:space="0"/>
            </w:tcBorders>
            <w:shd w:val="clear" w:color="auto" w:fill="auto"/>
            <w:vAlign w:val="center"/>
          </w:tcPr>
          <w:p w14:paraId="49999281">
            <w:pPr>
              <w:spacing w:line="320" w:lineRule="atLeast"/>
              <w:jc w:val="center"/>
            </w:pPr>
          </w:p>
        </w:tc>
        <w:tc>
          <w:tcPr>
            <w:tcW w:w="1701" w:type="dxa"/>
            <w:tcBorders>
              <w:top w:val="single" w:color="auto" w:sz="4" w:space="0"/>
              <w:left w:val="nil"/>
              <w:bottom w:val="single" w:color="auto" w:sz="4" w:space="0"/>
              <w:right w:val="single" w:color="auto" w:sz="4" w:space="0"/>
            </w:tcBorders>
            <w:shd w:val="clear" w:color="auto" w:fill="auto"/>
            <w:vAlign w:val="center"/>
          </w:tcPr>
          <w:p w14:paraId="1FE63B7C">
            <w:pPr>
              <w:spacing w:line="320" w:lineRule="atLeast"/>
              <w:jc w:val="center"/>
            </w:pPr>
          </w:p>
        </w:tc>
        <w:tc>
          <w:tcPr>
            <w:tcW w:w="567" w:type="dxa"/>
            <w:tcBorders>
              <w:top w:val="single" w:color="auto" w:sz="4" w:space="0"/>
              <w:left w:val="nil"/>
              <w:bottom w:val="single" w:color="auto" w:sz="4" w:space="0"/>
              <w:right w:val="single" w:color="auto" w:sz="4" w:space="0"/>
            </w:tcBorders>
            <w:shd w:val="clear" w:color="auto" w:fill="auto"/>
            <w:vAlign w:val="center"/>
          </w:tcPr>
          <w:p w14:paraId="48EB9973">
            <w:pPr>
              <w:spacing w:line="320" w:lineRule="atLeast"/>
              <w:jc w:val="center"/>
            </w:pPr>
            <w:r>
              <w:rPr>
                <w:rFonts w:hint="eastAsia"/>
              </w:rPr>
              <w:t>10</w:t>
            </w:r>
          </w:p>
        </w:tc>
        <w:tc>
          <w:tcPr>
            <w:tcW w:w="567" w:type="dxa"/>
            <w:tcBorders>
              <w:top w:val="single" w:color="auto" w:sz="4" w:space="0"/>
              <w:left w:val="nil"/>
              <w:bottom w:val="single" w:color="auto" w:sz="4" w:space="0"/>
              <w:right w:val="single" w:color="auto" w:sz="4" w:space="0"/>
            </w:tcBorders>
            <w:shd w:val="clear" w:color="auto" w:fill="auto"/>
            <w:vAlign w:val="center"/>
          </w:tcPr>
          <w:p w14:paraId="247079ED">
            <w:pPr>
              <w:spacing w:line="320" w:lineRule="atLeast"/>
              <w:jc w:val="center"/>
            </w:pPr>
            <w:r>
              <w:rPr>
                <w:rFonts w:hint="eastAsia"/>
              </w:rPr>
              <w:t>10</w:t>
            </w:r>
          </w:p>
        </w:tc>
      </w:tr>
    </w:tbl>
    <w:p w14:paraId="1C111DF3">
      <w:pPr>
        <w:pStyle w:val="13"/>
        <w:tabs>
          <w:tab w:val="center" w:pos="4153"/>
          <w:tab w:val="left" w:pos="7275"/>
        </w:tabs>
        <w:spacing w:line="600" w:lineRule="exact"/>
        <w:ind w:firstLine="0" w:firstLineChars="0"/>
        <w:rPr>
          <w:rFonts w:ascii="方正仿宋_GBK" w:hAnsi="宋体" w:eastAsia="方正仿宋_GBK" w:cs="宋体"/>
          <w:bCs/>
          <w:kern w:val="0"/>
          <w:sz w:val="32"/>
          <w:szCs w:val="32"/>
        </w:rPr>
      </w:pPr>
    </w:p>
    <w:p w14:paraId="6C3BD779">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南岸区基药管理中心完成区级应急物资储备物资，预算（计划）成本为196万元，实际成本为196万元，实际成本未超出计划成本。</w:t>
      </w:r>
    </w:p>
    <w:p w14:paraId="7DDE987D">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根据重庆市财政局《关于清算2020年市级定点储备企业疫情防控物资储备补偿资金的通知》（渝财产业[2020]195号）文件，截到2020年7月31日，国药控股重庆医疗器械公司完成市级定点储备疫情防控物资，库存结余成本为56万元，国药控制重庆泰民医药有限公司完成市级定点储备疫情防控物资，库存结余成本为613.6万元（含因集中收储管理需转移而加计2%用于补助代储企业仓储及有工费用），实际成本未超出计划成本。</w:t>
      </w:r>
    </w:p>
    <w:p w14:paraId="4D578FFA">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2.项目效果分析（总分30分，实际得分27分）</w:t>
      </w:r>
    </w:p>
    <w:p w14:paraId="5E14DA13">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（1）社会效益：项目实施后，对社会发展所带来的直接或间接显著影响得10分。</w:t>
      </w:r>
    </w:p>
    <w:p w14:paraId="60FBD457">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 xml:space="preserve">①项目实施，为卫生健康系统处置突发公共卫生事件提供充分的物资保障，提高了全区卫生应急准备水平；  </w:t>
      </w:r>
    </w:p>
    <w:p w14:paraId="6EFD74CC">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②提高了对突发公共卫生事件的应对能力；</w:t>
      </w:r>
    </w:p>
    <w:p w14:paraId="6BB90D9C">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③确保突发公共卫生事件能及时有效处置；</w:t>
      </w:r>
    </w:p>
    <w:p w14:paraId="2AA212E5">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④应急物资保障体系建设，保护人民群众身体健康和生命安全，促进全区经济持续健康发展。</w:t>
      </w:r>
    </w:p>
    <w:p w14:paraId="3F48D866">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（2）可持续影响</w:t>
      </w:r>
    </w:p>
    <w:p w14:paraId="32659E6A">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应急物资保障体系建设，对有效期短的物资建立科学、有序的轮换机制，在有效期内完成物资使用，及时补充新生产物资，确保储备物资合格、有效，可以持续发挥作用，具有很好的可持续性影响。</w:t>
      </w:r>
    </w:p>
    <w:p w14:paraId="33B066B1">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区级储备物资代储单位未严格执行设立的物资有效期预警机制，部分物资已到有效期预警期，代储单位未履行上报程序，对项目可持续性产生不利影响，扣2分，实际得8分。</w:t>
      </w:r>
    </w:p>
    <w:p w14:paraId="6B6E884B">
      <w:pPr>
        <w:pStyle w:val="13"/>
        <w:tabs>
          <w:tab w:val="center" w:pos="4153"/>
          <w:tab w:val="left" w:pos="7275"/>
        </w:tabs>
        <w:spacing w:line="600" w:lineRule="exact"/>
        <w:ind w:firstLine="0" w:firstLineChars="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综上所述，本项目社会效益总体较好。标准分10分，扣2分，得8分。</w:t>
      </w:r>
    </w:p>
    <w:p w14:paraId="21E73FA8">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（3）社会公众或服务对象满意度。</w:t>
      </w:r>
    </w:p>
    <w:p w14:paraId="2CC71AFB">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根据回收的问卷调查统计汇总，群众满意度为92%，小于95%，得9分。</w:t>
      </w:r>
    </w:p>
    <w:p w14:paraId="38A11AC3">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三、存在主要问题</w:t>
      </w:r>
    </w:p>
    <w:p w14:paraId="0DA69295">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区级应急储备物资管理单位系南岸区基药管理中心，南岸区基药管理中心与代储单位国药医疗器械公司签订的《代储协议》约定：代储单位建立台账，每周定期报物资情况，设立物资效期预警机制，部分物资已到有效期预警期，代储单位未履行上报程序。</w:t>
      </w:r>
    </w:p>
    <w:p w14:paraId="306E41F7">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四、原因分析及改进措施</w:t>
      </w:r>
    </w:p>
    <w:p w14:paraId="7B7F0E5F">
      <w:pPr>
        <w:ind w:firstLine="640" w:firstLineChars="200"/>
        <w:rPr>
          <w:rFonts w:ascii="方正仿宋_GBK" w:hAnsi="华文宋体" w:eastAsia="方正仿宋_GBK"/>
          <w:sz w:val="32"/>
          <w:szCs w:val="32"/>
        </w:rPr>
      </w:pPr>
      <w:r>
        <w:rPr>
          <w:rFonts w:hint="eastAsia" w:ascii="方正仿宋_GBK" w:hAnsi="华文宋体" w:eastAsia="方正仿宋_GBK"/>
          <w:sz w:val="32"/>
          <w:szCs w:val="32"/>
        </w:rPr>
        <w:t>防护服、口罩等物资存在有效期，管理单位、代储单位应全面梳理储备物资有效期和状态，对有效期短的物资要建立科学、有序的轮转机制，在有效期内完成物资使用，及时补充新生产物资，确保储备物资合格、有效。</w:t>
      </w:r>
    </w:p>
    <w:p w14:paraId="441E323D">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五、综合评价情况及评价结论</w:t>
      </w:r>
      <w:r>
        <w:rPr>
          <w:rFonts w:hint="eastAsia" w:ascii="方正仿宋_GBK" w:hAnsi="宋体" w:eastAsia="方正仿宋_GBK" w:cs="宋体"/>
          <w:bCs/>
          <w:kern w:val="0"/>
          <w:sz w:val="32"/>
          <w:szCs w:val="32"/>
        </w:rPr>
        <w:tab/>
      </w:r>
    </w:p>
    <w:p w14:paraId="47EAB13D">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南岸区卫健委使用财政专项资金建立了卫生应急物资保障体系，建立南岸区卫生应急物资储备长效机制，进一步提升了南岸区卫生应急准备水平，为卫生健康系统处置突发公共卫生事件提供了充分的物资保障。该笔财政资金的使用，达到预期的各项目标，总体绩效较好，但在物资管理方面还存在一些不足。</w:t>
      </w:r>
    </w:p>
    <w:p w14:paraId="48DE18E1">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通过综合评价，2020年度南岸区卫生健康委员会应急物资保障体系建设项目最终评价得分93分。</w:t>
      </w:r>
    </w:p>
    <w:p w14:paraId="4EECE3DE">
      <w:pPr>
        <w:pStyle w:val="13"/>
        <w:tabs>
          <w:tab w:val="center" w:pos="4153"/>
          <w:tab w:val="left" w:pos="7275"/>
        </w:tabs>
        <w:spacing w:line="600" w:lineRule="exact"/>
        <w:ind w:firstLine="0" w:firstLineChars="0"/>
        <w:rPr>
          <w:rFonts w:ascii="方正仿宋_GBK" w:hAnsi="宋体" w:eastAsia="方正仿宋_GBK" w:cs="宋体"/>
          <w:bCs/>
          <w:kern w:val="0"/>
          <w:sz w:val="32"/>
          <w:szCs w:val="32"/>
        </w:rPr>
      </w:pPr>
    </w:p>
    <w:p w14:paraId="4F4C8CDC">
      <w:pPr>
        <w:pStyle w:val="13"/>
        <w:tabs>
          <w:tab w:val="center" w:pos="4153"/>
          <w:tab w:val="left" w:pos="7275"/>
        </w:tabs>
        <w:spacing w:line="600" w:lineRule="exact"/>
        <w:ind w:firstLine="0" w:firstLineChars="0"/>
        <w:rPr>
          <w:rFonts w:ascii="方正仿宋_GBK" w:hAnsi="宋体" w:eastAsia="方正仿宋_GBK" w:cs="宋体"/>
          <w:bCs/>
          <w:kern w:val="0"/>
          <w:sz w:val="32"/>
          <w:szCs w:val="32"/>
        </w:rPr>
      </w:pPr>
    </w:p>
    <w:p w14:paraId="3DA45AFD">
      <w:pPr>
        <w:pStyle w:val="13"/>
        <w:tabs>
          <w:tab w:val="center" w:pos="4153"/>
          <w:tab w:val="left" w:pos="7275"/>
        </w:tabs>
        <w:spacing w:line="600" w:lineRule="exact"/>
        <w:ind w:firstLine="2880" w:firstLineChars="90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重庆凯弘会计师事务所有限公司</w:t>
      </w:r>
    </w:p>
    <w:p w14:paraId="2E2688B2">
      <w:pPr>
        <w:pStyle w:val="13"/>
        <w:tabs>
          <w:tab w:val="center" w:pos="4153"/>
          <w:tab w:val="left" w:pos="7275"/>
        </w:tabs>
        <w:spacing w:line="600" w:lineRule="exact"/>
        <w:ind w:firstLine="3840" w:firstLineChars="120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2021年6月18日</w:t>
      </w:r>
    </w:p>
    <w:p w14:paraId="717CAE7E">
      <w:pPr>
        <w:tabs>
          <w:tab w:val="center" w:pos="4153"/>
          <w:tab w:val="left" w:pos="7275"/>
        </w:tabs>
        <w:spacing w:line="600" w:lineRule="exact"/>
        <w:rPr>
          <w:rFonts w:ascii="方正仿宋_GBK" w:eastAsia="方正仿宋_GBK"/>
          <w:b/>
          <w:sz w:val="32"/>
          <w:szCs w:val="32"/>
        </w:rPr>
      </w:pPr>
    </w:p>
    <w:p w14:paraId="53F81821">
      <w:pPr>
        <w:tabs>
          <w:tab w:val="center" w:pos="4153"/>
          <w:tab w:val="left" w:pos="7275"/>
        </w:tabs>
        <w:spacing w:line="600" w:lineRule="exact"/>
        <w:rPr>
          <w:rFonts w:ascii="方正仿宋_GBK" w:eastAsia="方正仿宋_GBK"/>
          <w:b/>
          <w:sz w:val="32"/>
          <w:szCs w:val="32"/>
        </w:rPr>
      </w:pPr>
    </w:p>
    <w:p w14:paraId="45F10B2A">
      <w:pPr>
        <w:tabs>
          <w:tab w:val="center" w:pos="4153"/>
          <w:tab w:val="left" w:pos="7275"/>
        </w:tabs>
        <w:spacing w:line="600" w:lineRule="exact"/>
        <w:rPr>
          <w:rFonts w:ascii="方正仿宋_GBK" w:eastAsia="方正仿宋_GBK"/>
          <w:b/>
          <w:sz w:val="32"/>
          <w:szCs w:val="32"/>
        </w:rPr>
      </w:pPr>
    </w:p>
    <w:p w14:paraId="78BE105C">
      <w:pPr>
        <w:tabs>
          <w:tab w:val="center" w:pos="4153"/>
          <w:tab w:val="left" w:pos="7275"/>
        </w:tabs>
        <w:spacing w:line="600" w:lineRule="exact"/>
        <w:rPr>
          <w:rFonts w:ascii="方正仿宋_GBK" w:eastAsia="方正仿宋_GBK"/>
          <w:b/>
          <w:sz w:val="32"/>
          <w:szCs w:val="32"/>
        </w:rPr>
      </w:pPr>
    </w:p>
    <w:p w14:paraId="5C1923C8">
      <w:pPr>
        <w:pStyle w:val="13"/>
        <w:numPr>
          <w:ilvl w:val="0"/>
          <w:numId w:val="1"/>
        </w:numPr>
        <w:tabs>
          <w:tab w:val="center" w:pos="4153"/>
          <w:tab w:val="left" w:pos="7275"/>
        </w:tabs>
        <w:spacing w:line="600" w:lineRule="exact"/>
        <w:ind w:firstLine="643"/>
        <w:rPr>
          <w:rFonts w:ascii="方正仿宋_GBK" w:hAnsi="宋体" w:eastAsia="方正仿宋_GBK" w:cs="宋体"/>
          <w:b/>
          <w:kern w:val="0"/>
          <w:sz w:val="32"/>
          <w:szCs w:val="32"/>
        </w:rPr>
      </w:pPr>
      <w:r>
        <w:rPr>
          <w:rFonts w:hint="eastAsia" w:ascii="方正仿宋_GBK" w:hAnsi="宋体" w:eastAsia="方正仿宋_GBK" w:cs="宋体"/>
          <w:b/>
          <w:kern w:val="0"/>
          <w:sz w:val="32"/>
          <w:szCs w:val="32"/>
        </w:rPr>
        <w:t>重点绩效评价结果</w:t>
      </w:r>
    </w:p>
    <w:p w14:paraId="07891A58">
      <w:pPr>
        <w:pStyle w:val="13"/>
        <w:tabs>
          <w:tab w:val="center" w:pos="4153"/>
          <w:tab w:val="left" w:pos="7275"/>
        </w:tabs>
        <w:spacing w:line="600" w:lineRule="exact"/>
        <w:ind w:firstLine="640"/>
        <w:rPr>
          <w:rFonts w:ascii="方正仿宋_GBK" w:hAnsi="宋体" w:eastAsia="方正仿宋_GBK" w:cs="宋体"/>
          <w:bCs/>
          <w:kern w:val="0"/>
          <w:sz w:val="32"/>
          <w:szCs w:val="32"/>
        </w:rPr>
      </w:pPr>
      <w:r>
        <w:rPr>
          <w:rFonts w:hint="eastAsia" w:ascii="方正仿宋_GBK" w:hAnsi="宋体" w:eastAsia="方正仿宋_GBK" w:cs="宋体"/>
          <w:bCs/>
          <w:kern w:val="0"/>
          <w:sz w:val="32"/>
          <w:szCs w:val="32"/>
        </w:rPr>
        <w:t>见附件1</w:t>
      </w:r>
    </w:p>
    <w:p w14:paraId="31E7D13A">
      <w:pPr>
        <w:pStyle w:val="6"/>
        <w:shd w:val="clear" w:color="auto" w:fill="FFFFFF"/>
        <w:spacing w:before="0" w:beforeAutospacing="0" w:after="0" w:afterAutospacing="0" w:line="600" w:lineRule="exact"/>
        <w:ind w:firstLine="640" w:firstLineChars="200"/>
        <w:jc w:val="both"/>
        <w:outlineLvl w:val="0"/>
        <w:rPr>
          <w:rStyle w:val="9"/>
          <w:rFonts w:ascii="方正黑体_GBK" w:eastAsia="方正黑体_GBK"/>
        </w:rPr>
      </w:pPr>
      <w:r>
        <w:rPr>
          <w:rStyle w:val="9"/>
          <w:rFonts w:hint="eastAsia" w:ascii="方正黑体_GBK" w:eastAsia="方正黑体_GBK"/>
          <w:b w:val="0"/>
          <w:sz w:val="32"/>
          <w:szCs w:val="32"/>
        </w:rPr>
        <w:t>六、专业名词解释</w:t>
      </w:r>
    </w:p>
    <w:p w14:paraId="4D34FF13">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（一）财政拨款收入</w:t>
      </w:r>
      <w:r>
        <w:rPr>
          <w:rFonts w:hint="eastAsia" w:ascii="方正仿宋_GBK" w:eastAsia="方正仿宋_GBK"/>
          <w:sz w:val="32"/>
          <w:szCs w:val="32"/>
        </w:rPr>
        <w:t>：指本年度从本级财政部门取得的财政拨款，包括一般公共预算财政拨款和政府性基金预算财政拨款。</w:t>
      </w:r>
    </w:p>
    <w:p w14:paraId="330AC89C">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（二）事业收入</w:t>
      </w:r>
      <w:r>
        <w:rPr>
          <w:rFonts w:hint="eastAsia" w:ascii="方正仿宋_GBK" w:eastAsia="方正仿宋_GBK"/>
          <w:sz w:val="32"/>
          <w:szCs w:val="32"/>
        </w:rPr>
        <w:t>：指事业单位开展专业业务活动及其辅助活动取得的现金流入；事业单位收到的财政专户实际核拨的教育收费等资金在此反映。</w:t>
      </w:r>
    </w:p>
    <w:p w14:paraId="45916E5F">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（三）经营收入</w:t>
      </w:r>
      <w:r>
        <w:rPr>
          <w:rFonts w:hint="eastAsia" w:ascii="方正仿宋_GBK" w:eastAsia="方正仿宋_GBK"/>
          <w:sz w:val="32"/>
          <w:szCs w:val="32"/>
        </w:rPr>
        <w:t>：指事业单位在专业业务活动及其辅助活动之外开展非独立核算经营活动取得的现金流入。</w:t>
      </w:r>
    </w:p>
    <w:p w14:paraId="6E4C271C">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（四）其他收入</w:t>
      </w:r>
      <w:r>
        <w:rPr>
          <w:rFonts w:hint="eastAsia" w:ascii="方正仿宋_GBK" w:eastAsia="方正仿宋_GBK"/>
          <w:sz w:val="32"/>
          <w:szCs w:val="32"/>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00C3BCDD">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（五）用事业基金弥补收支差额</w:t>
      </w:r>
      <w:r>
        <w:rPr>
          <w:rFonts w:hint="eastAsia" w:ascii="方正仿宋_GBK" w:eastAsia="方正仿宋_GBK"/>
          <w:sz w:val="32"/>
          <w:szCs w:val="32"/>
        </w:rPr>
        <w:t>：指事业单位在当年的“财政拨款收入”、“事业收入”、“经营收入”、“其他收入”等不足以安排当年支出的情况下，使用以前年度积累的事业基金（事业单位当年收支相抵后按国家规定提取、用于弥补以后年度收支差额的基金）弥补本年度收支缺口的资金。</w:t>
      </w:r>
    </w:p>
    <w:p w14:paraId="748E20C7">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（六）年初结转和结余</w:t>
      </w:r>
      <w:r>
        <w:rPr>
          <w:rFonts w:hint="eastAsia" w:ascii="方正仿宋_GBK" w:eastAsia="方正仿宋_GBK"/>
          <w:sz w:val="32"/>
          <w:szCs w:val="32"/>
        </w:rPr>
        <w:t>：指单位上年结转本年使用的基本支出结转、项目支出结转和结余、经营结余。</w:t>
      </w:r>
    </w:p>
    <w:p w14:paraId="5F4D9E7D">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（七）结余分配</w:t>
      </w:r>
      <w:r>
        <w:rPr>
          <w:rFonts w:hint="eastAsia" w:ascii="方正仿宋_GBK" w:eastAsia="方正仿宋_GBK"/>
          <w:sz w:val="32"/>
          <w:szCs w:val="32"/>
        </w:rPr>
        <w:t>：指单位按照国家有关规定，缴纳所得税、提取专用基金、转入事业基金等当年结余的分配情况。</w:t>
      </w:r>
    </w:p>
    <w:p w14:paraId="183C0FE9">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（八）年末结转和结余</w:t>
      </w:r>
      <w:r>
        <w:rPr>
          <w:rFonts w:hint="eastAsia" w:ascii="方正仿宋_GBK" w:eastAsia="方正仿宋_GBK"/>
          <w:sz w:val="32"/>
          <w:szCs w:val="32"/>
        </w:rPr>
        <w:t>：指单位结转下年的基本支出结转、项目支出结转和结余、经营结余。</w:t>
      </w:r>
    </w:p>
    <w:p w14:paraId="4F0543E1">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（九）基本支出</w:t>
      </w:r>
      <w:r>
        <w:rPr>
          <w:rFonts w:hint="eastAsia" w:ascii="方正仿宋_GBK" w:eastAsia="方正仿宋_GBK"/>
          <w:sz w:val="32"/>
          <w:szCs w:val="32"/>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0742FBDB">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（十）项目支出</w:t>
      </w:r>
      <w:r>
        <w:rPr>
          <w:rFonts w:hint="eastAsia" w:ascii="方正仿宋_GBK" w:eastAsia="方正仿宋_GBK"/>
          <w:sz w:val="32"/>
          <w:szCs w:val="32"/>
        </w:rPr>
        <w:t>：指在基本支出之外为完成特定行政任务和事业发展目标所发生的支出。</w:t>
      </w:r>
    </w:p>
    <w:p w14:paraId="7475C346">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（十一）经营支出</w:t>
      </w:r>
      <w:r>
        <w:rPr>
          <w:rFonts w:hint="eastAsia" w:ascii="方正仿宋_GBK" w:eastAsia="方正仿宋_GBK"/>
          <w:sz w:val="32"/>
          <w:szCs w:val="32"/>
        </w:rPr>
        <w:t>：指事业单位在专业业务活动及其辅助活动之外开展非独立核算经营活动发生的支出。</w:t>
      </w:r>
    </w:p>
    <w:p w14:paraId="46D7BB7F">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（十二）“三公”经费</w:t>
      </w:r>
      <w:r>
        <w:rPr>
          <w:rFonts w:hint="eastAsia" w:ascii="方正仿宋_GBK" w:eastAsia="方正仿宋_GBK"/>
          <w:sz w:val="32"/>
          <w:szCs w:val="32"/>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0D18B2BF">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（十三）机关运行经费</w:t>
      </w:r>
      <w:r>
        <w:rPr>
          <w:rFonts w:hint="eastAsia" w:ascii="方正仿宋_GBK" w:eastAsia="方正仿宋_GBK"/>
          <w:sz w:val="32"/>
          <w:szCs w:val="32"/>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1B3CAAF8">
      <w:pPr>
        <w:pStyle w:val="6"/>
        <w:widowControl w:val="0"/>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（十四）工资福利支出（支出经济分类科目类级）</w:t>
      </w:r>
      <w:r>
        <w:rPr>
          <w:rFonts w:hint="eastAsia" w:ascii="方正仿宋_GBK" w:eastAsia="方正仿宋_GBK"/>
          <w:sz w:val="32"/>
          <w:szCs w:val="32"/>
        </w:rPr>
        <w:t>：反映单位开支的在职职工和编制外长期聘用人员的各类劳动报酬，以及为上述人员缴纳的各项社会保险费等。</w:t>
      </w:r>
    </w:p>
    <w:p w14:paraId="11983B79">
      <w:pPr>
        <w:pStyle w:val="6"/>
        <w:widowControl w:val="0"/>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（十五）商品和服务支出（支出经济分类科目类级）</w:t>
      </w:r>
      <w:r>
        <w:rPr>
          <w:rFonts w:hint="eastAsia" w:ascii="方正仿宋_GBK" w:eastAsia="方正仿宋_GBK"/>
          <w:sz w:val="32"/>
          <w:szCs w:val="32"/>
        </w:rPr>
        <w:t>：反映单位购买商品和服务的支出（不包括用于购置固定资产的支出、战略性和应急储备支出）。</w:t>
      </w:r>
    </w:p>
    <w:p w14:paraId="62F6594F">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（十六）对个人和家庭的补助（支出经济分类科目类级）</w:t>
      </w:r>
      <w:r>
        <w:rPr>
          <w:rFonts w:hint="eastAsia" w:ascii="方正仿宋_GBK" w:eastAsia="方正仿宋_GBK"/>
          <w:sz w:val="32"/>
          <w:szCs w:val="32"/>
        </w:rPr>
        <w:t>：反映用于对个人和家庭的补助支出。</w:t>
      </w:r>
    </w:p>
    <w:p w14:paraId="6AA86CD4">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（十七）其他资本性支出（支出经济分类科目类级）</w:t>
      </w:r>
      <w:r>
        <w:rPr>
          <w:rFonts w:hint="eastAsia" w:ascii="方正仿宋_GBK" w:eastAsia="方正仿宋_GBK"/>
          <w:sz w:val="32"/>
          <w:szCs w:val="32"/>
        </w:rPr>
        <w:t>：反映非各级发展与改革部门集中安排的用于购置固定资产、战略性和应急性储备、土地和无形资产，以及构建基础设施、大型修缮和财政支持企业更新改造所发生的支出。</w:t>
      </w:r>
    </w:p>
    <w:p w14:paraId="119A118A">
      <w:pPr>
        <w:pStyle w:val="6"/>
        <w:shd w:val="clear" w:color="auto" w:fill="FFFFFF"/>
        <w:spacing w:before="0" w:beforeAutospacing="0" w:after="0" w:afterAutospacing="0" w:line="600" w:lineRule="exact"/>
        <w:ind w:firstLine="640" w:firstLineChars="200"/>
        <w:jc w:val="both"/>
        <w:outlineLvl w:val="0"/>
        <w:rPr>
          <w:rFonts w:ascii="方正黑体_GBK" w:eastAsia="方正黑体_GBK"/>
          <w:b/>
          <w:sz w:val="32"/>
          <w:szCs w:val="32"/>
        </w:rPr>
      </w:pPr>
      <w:r>
        <w:rPr>
          <w:rStyle w:val="9"/>
          <w:rFonts w:hint="eastAsia" w:ascii="方正黑体_GBK" w:eastAsia="方正黑体_GBK"/>
          <w:b w:val="0"/>
          <w:sz w:val="32"/>
          <w:szCs w:val="32"/>
        </w:rPr>
        <w:t>七、决算公开联系方式及信息反馈渠道</w:t>
      </w:r>
    </w:p>
    <w:p w14:paraId="0CECECF6">
      <w:pPr>
        <w:pStyle w:val="6"/>
        <w:shd w:val="clear" w:color="auto" w:fill="FFFFFF"/>
        <w:spacing w:before="0" w:beforeAutospacing="0" w:after="0" w:afterAutospacing="0" w:line="600" w:lineRule="exact"/>
        <w:ind w:firstLine="640" w:firstLineChars="200"/>
        <w:jc w:val="both"/>
        <w:rPr>
          <w:rFonts w:ascii="方正仿宋_GBK" w:eastAsia="方正仿宋_GBK"/>
          <w:sz w:val="32"/>
          <w:szCs w:val="32"/>
        </w:rPr>
      </w:pPr>
      <w:r>
        <w:rPr>
          <w:rFonts w:hint="eastAsia" w:ascii="方正仿宋_GBK" w:eastAsia="方正仿宋_GBK"/>
          <w:sz w:val="32"/>
          <w:szCs w:val="32"/>
        </w:rPr>
        <w:t>本单位决算公开信息反馈和联系方式：023-62988123</w:t>
      </w:r>
      <w:r>
        <w:rPr>
          <w:rFonts w:ascii="方正仿宋_GBK" w:eastAsia="方正仿宋_GBK"/>
          <w:sz w:val="32"/>
          <w:szCs w:val="32"/>
        </w:rPr>
        <w:t xml:space="preserve"> </w:t>
      </w:r>
    </w:p>
    <w:p w14:paraId="6495A442">
      <w:pPr>
        <w:pStyle w:val="6"/>
        <w:shd w:val="clear" w:color="auto" w:fill="FFFFFF"/>
        <w:spacing w:before="0" w:beforeAutospacing="0" w:after="0" w:afterAutospacing="0" w:line="600" w:lineRule="exact"/>
        <w:jc w:val="both"/>
        <w:rPr>
          <w:rFonts w:ascii="方正仿宋_GBK" w:eastAsia="方正仿宋_GBK"/>
          <w:sz w:val="32"/>
          <w:szCs w:val="32"/>
        </w:rPr>
      </w:pPr>
    </w:p>
    <w:p w14:paraId="0719AE01">
      <w:pPr>
        <w:pStyle w:val="6"/>
        <w:shd w:val="clear" w:color="auto" w:fill="FFFFFF"/>
        <w:spacing w:before="0" w:beforeAutospacing="0" w:after="0" w:afterAutospacing="0" w:line="600" w:lineRule="exact"/>
        <w:jc w:val="both"/>
        <w:rPr>
          <w:rFonts w:ascii="方正仿宋_GBK" w:eastAsia="方正仿宋_GBK"/>
          <w:sz w:val="32"/>
          <w:szCs w:val="32"/>
        </w:rPr>
      </w:pPr>
    </w:p>
    <w:p w14:paraId="041D6B13">
      <w:pPr>
        <w:pStyle w:val="6"/>
        <w:shd w:val="clear" w:color="auto" w:fill="FFFFFF"/>
        <w:spacing w:before="0" w:beforeAutospacing="0" w:after="0" w:afterAutospacing="0" w:line="600" w:lineRule="exact"/>
        <w:jc w:val="both"/>
        <w:rPr>
          <w:rFonts w:ascii="方正仿宋_GBK" w:eastAsia="方正仿宋_GBK"/>
          <w:sz w:val="32"/>
          <w:szCs w:val="32"/>
        </w:rPr>
      </w:pPr>
    </w:p>
    <w:p w14:paraId="6DD8BAB7">
      <w:pPr>
        <w:pStyle w:val="6"/>
        <w:shd w:val="clear" w:color="auto" w:fill="FFFFFF"/>
        <w:spacing w:before="0" w:beforeAutospacing="0" w:after="0" w:afterAutospacing="0" w:line="600" w:lineRule="exact"/>
        <w:jc w:val="both"/>
        <w:rPr>
          <w:rFonts w:ascii="方正仿宋_GBK" w:eastAsia="方正仿宋_GBK"/>
          <w:sz w:val="32"/>
          <w:szCs w:val="32"/>
        </w:rPr>
      </w:pPr>
    </w:p>
    <w:p w14:paraId="0A91134A">
      <w:pPr>
        <w:pStyle w:val="6"/>
        <w:shd w:val="clear" w:color="auto" w:fill="FFFFFF"/>
        <w:spacing w:before="0" w:beforeAutospacing="0" w:after="0" w:afterAutospacing="0" w:line="600" w:lineRule="exact"/>
        <w:jc w:val="both"/>
        <w:rPr>
          <w:rFonts w:ascii="方正仿宋_GBK" w:eastAsia="方正仿宋_GBK"/>
          <w:sz w:val="32"/>
          <w:szCs w:val="32"/>
        </w:rPr>
      </w:pPr>
    </w:p>
    <w:p w14:paraId="1C71C8E8">
      <w:pPr>
        <w:pStyle w:val="6"/>
        <w:shd w:val="clear" w:color="auto" w:fill="FFFFFF"/>
        <w:spacing w:before="0" w:beforeAutospacing="0" w:after="0" w:afterAutospacing="0" w:line="600" w:lineRule="exact"/>
        <w:jc w:val="both"/>
        <w:rPr>
          <w:rFonts w:ascii="方正仿宋_GBK" w:eastAsia="方正仿宋_GBK"/>
          <w:sz w:val="32"/>
          <w:szCs w:val="32"/>
        </w:rPr>
      </w:pPr>
    </w:p>
    <w:p w14:paraId="04C45887">
      <w:pPr>
        <w:pStyle w:val="6"/>
        <w:shd w:val="clear" w:color="auto" w:fill="FFFFFF"/>
        <w:spacing w:before="0" w:beforeAutospacing="0" w:after="0" w:afterAutospacing="0" w:line="600" w:lineRule="exact"/>
        <w:jc w:val="both"/>
        <w:rPr>
          <w:rFonts w:ascii="方正仿宋_GBK" w:eastAsia="方正仿宋_GBK"/>
          <w:sz w:val="32"/>
          <w:szCs w:val="32"/>
        </w:rPr>
      </w:pPr>
    </w:p>
    <w:p w14:paraId="794214F2">
      <w:pPr>
        <w:pStyle w:val="6"/>
        <w:shd w:val="clear" w:color="auto" w:fill="FFFFFF"/>
        <w:spacing w:before="0" w:beforeAutospacing="0" w:after="0" w:afterAutospacing="0" w:line="600" w:lineRule="exact"/>
        <w:jc w:val="both"/>
        <w:rPr>
          <w:rFonts w:ascii="方正仿宋_GBK" w:eastAsia="方正仿宋_GBK"/>
          <w:sz w:val="32"/>
          <w:szCs w:val="32"/>
        </w:rPr>
      </w:pPr>
    </w:p>
    <w:p w14:paraId="6FCDCC11">
      <w:pPr>
        <w:pStyle w:val="6"/>
        <w:shd w:val="clear" w:color="auto" w:fill="FFFFFF"/>
        <w:spacing w:before="0" w:beforeAutospacing="0" w:after="0" w:afterAutospacing="0" w:line="600" w:lineRule="exact"/>
        <w:jc w:val="both"/>
        <w:rPr>
          <w:rFonts w:ascii="方正仿宋_GBK" w:eastAsia="方正仿宋_GBK"/>
          <w:sz w:val="32"/>
          <w:szCs w:val="32"/>
        </w:rPr>
      </w:pPr>
    </w:p>
    <w:p w14:paraId="012E5FEE">
      <w:pPr>
        <w:pStyle w:val="6"/>
        <w:shd w:val="clear" w:color="auto" w:fill="FFFFFF"/>
        <w:spacing w:before="0" w:beforeAutospacing="0" w:after="0" w:afterAutospacing="0" w:line="600" w:lineRule="exact"/>
        <w:jc w:val="both"/>
        <w:rPr>
          <w:rFonts w:ascii="方正仿宋_GBK" w:eastAsia="方正仿宋_GBK"/>
          <w:sz w:val="32"/>
          <w:szCs w:val="32"/>
        </w:rPr>
      </w:pPr>
    </w:p>
    <w:p w14:paraId="4AE4E709">
      <w:pPr>
        <w:pStyle w:val="6"/>
        <w:shd w:val="clear" w:color="auto" w:fill="FFFFFF"/>
        <w:spacing w:before="0" w:beforeAutospacing="0" w:after="0" w:afterAutospacing="0" w:line="600" w:lineRule="exact"/>
        <w:jc w:val="both"/>
        <w:rPr>
          <w:rFonts w:ascii="方正仿宋_GBK" w:eastAsia="方正仿宋_GBK"/>
          <w:sz w:val="32"/>
          <w:szCs w:val="32"/>
        </w:rPr>
      </w:pPr>
    </w:p>
    <w:p w14:paraId="4E00C740">
      <w:pPr>
        <w:pStyle w:val="6"/>
        <w:shd w:val="clear" w:color="auto" w:fill="FFFFFF"/>
        <w:spacing w:before="0" w:beforeAutospacing="0" w:after="0" w:afterAutospacing="0" w:line="600" w:lineRule="exact"/>
        <w:jc w:val="both"/>
        <w:rPr>
          <w:rFonts w:ascii="方正仿宋_GBK" w:eastAsia="方正仿宋_GBK"/>
          <w:sz w:val="32"/>
          <w:szCs w:val="32"/>
        </w:rPr>
      </w:pPr>
    </w:p>
    <w:p w14:paraId="34B152D5">
      <w:pPr>
        <w:pStyle w:val="6"/>
        <w:shd w:val="clear" w:color="auto" w:fill="FFFFFF"/>
        <w:spacing w:before="0" w:beforeAutospacing="0" w:after="0" w:afterAutospacing="0" w:line="600" w:lineRule="exact"/>
        <w:jc w:val="both"/>
        <w:rPr>
          <w:rFonts w:ascii="方正仿宋_GBK" w:eastAsia="方正仿宋_GBK"/>
          <w:sz w:val="32"/>
          <w:szCs w:val="32"/>
        </w:rPr>
      </w:pPr>
    </w:p>
    <w:p w14:paraId="09D16AE5">
      <w:pPr>
        <w:pStyle w:val="6"/>
        <w:shd w:val="clear" w:color="auto" w:fill="FFFFFF"/>
        <w:spacing w:before="0" w:beforeAutospacing="0" w:after="0" w:afterAutospacing="0" w:line="600" w:lineRule="exact"/>
        <w:jc w:val="both"/>
        <w:rPr>
          <w:rFonts w:ascii="方正仿宋_GBK" w:eastAsia="方正仿宋_GBK"/>
          <w:sz w:val="32"/>
          <w:szCs w:val="32"/>
        </w:rPr>
      </w:pPr>
    </w:p>
    <w:p w14:paraId="1D82361A">
      <w:pPr>
        <w:pStyle w:val="6"/>
        <w:shd w:val="clear" w:color="auto" w:fill="FFFFFF"/>
        <w:spacing w:before="0" w:beforeAutospacing="0" w:after="0" w:afterAutospacing="0" w:line="600" w:lineRule="exact"/>
        <w:jc w:val="both"/>
        <w:rPr>
          <w:rFonts w:ascii="方正仿宋_GBK" w:eastAsia="方正仿宋_GBK"/>
          <w:sz w:val="32"/>
          <w:szCs w:val="32"/>
        </w:rPr>
      </w:pPr>
    </w:p>
    <w:p w14:paraId="521E3350">
      <w:pPr>
        <w:pStyle w:val="6"/>
        <w:shd w:val="clear" w:color="auto" w:fill="FFFFFF"/>
        <w:spacing w:before="0" w:beforeAutospacing="0" w:after="0" w:afterAutospacing="0" w:line="600" w:lineRule="exact"/>
        <w:jc w:val="both"/>
        <w:rPr>
          <w:rFonts w:ascii="方正仿宋_GBK" w:eastAsia="方正仿宋_GBK"/>
          <w:sz w:val="32"/>
          <w:szCs w:val="32"/>
        </w:rPr>
      </w:pPr>
      <w:r>
        <w:rPr>
          <w:rFonts w:hint="eastAsia" w:ascii="方正仿宋_GBK" w:eastAsia="方正仿宋_GBK"/>
          <w:sz w:val="32"/>
          <w:szCs w:val="32"/>
        </w:rPr>
        <w:t>附件1</w:t>
      </w:r>
    </w:p>
    <w:p w14:paraId="1220E1BE">
      <w:pPr>
        <w:pStyle w:val="6"/>
        <w:shd w:val="clear" w:color="auto" w:fill="FFFFFF"/>
        <w:spacing w:before="0" w:beforeAutospacing="0" w:after="0" w:afterAutospacing="0" w:line="600" w:lineRule="exact"/>
        <w:jc w:val="center"/>
        <w:rPr>
          <w:rFonts w:ascii="方正仿宋_GBK" w:eastAsia="方正仿宋_GBK"/>
          <w:sz w:val="32"/>
          <w:szCs w:val="32"/>
        </w:rPr>
      </w:pPr>
      <w:r>
        <w:rPr>
          <w:rFonts w:hint="eastAsia" w:ascii="方正仿宋_GBK" w:eastAsia="方正仿宋_GBK"/>
          <w:sz w:val="32"/>
          <w:szCs w:val="32"/>
        </w:rPr>
        <w:t>重庆市南岸区卫生健康委员会</w:t>
      </w:r>
    </w:p>
    <w:p w14:paraId="5B89ADC2">
      <w:pPr>
        <w:pStyle w:val="6"/>
        <w:shd w:val="clear" w:color="auto" w:fill="FFFFFF"/>
        <w:spacing w:before="0" w:beforeAutospacing="0" w:after="0" w:afterAutospacing="0" w:line="600" w:lineRule="exact"/>
        <w:jc w:val="center"/>
        <w:rPr>
          <w:rFonts w:ascii="方正仿宋_GBK" w:eastAsia="方正仿宋_GBK"/>
          <w:sz w:val="32"/>
          <w:szCs w:val="32"/>
        </w:rPr>
      </w:pPr>
      <w:r>
        <w:rPr>
          <w:rFonts w:hint="eastAsia" w:ascii="方正仿宋_GBK" w:eastAsia="方正仿宋_GBK"/>
          <w:sz w:val="32"/>
          <w:szCs w:val="32"/>
        </w:rPr>
        <w:t>医疗服务能力提升建设项目</w:t>
      </w:r>
    </w:p>
    <w:p w14:paraId="685B1D40">
      <w:pPr>
        <w:pStyle w:val="6"/>
        <w:shd w:val="clear" w:color="auto" w:fill="FFFFFF"/>
        <w:spacing w:before="0" w:beforeAutospacing="0" w:after="0" w:afterAutospacing="0" w:line="600" w:lineRule="exact"/>
        <w:jc w:val="center"/>
        <w:rPr>
          <w:rFonts w:ascii="方正仿宋_GBK" w:eastAsia="方正仿宋_GBK"/>
          <w:sz w:val="32"/>
          <w:szCs w:val="32"/>
        </w:rPr>
      </w:pPr>
      <w:r>
        <w:rPr>
          <w:rFonts w:hint="eastAsia" w:ascii="方正仿宋_GBK" w:eastAsia="方正仿宋_GBK"/>
          <w:sz w:val="32"/>
          <w:szCs w:val="32"/>
        </w:rPr>
        <w:t>绩效评价报告</w:t>
      </w:r>
    </w:p>
    <w:p w14:paraId="120564D7">
      <w:pPr>
        <w:pStyle w:val="6"/>
        <w:shd w:val="clear" w:color="auto" w:fill="FFFFFF"/>
        <w:spacing w:before="0" w:beforeAutospacing="0" w:after="0" w:afterAutospacing="0" w:line="600" w:lineRule="exact"/>
        <w:jc w:val="center"/>
        <w:rPr>
          <w:rFonts w:ascii="方正仿宋_GBK" w:eastAsia="方正仿宋_GBK"/>
          <w:sz w:val="32"/>
          <w:szCs w:val="32"/>
        </w:rPr>
      </w:pPr>
      <w:r>
        <w:rPr>
          <w:rFonts w:hint="eastAsia" w:ascii="方正仿宋_GBK" w:eastAsia="方正仿宋_GBK"/>
          <w:sz w:val="32"/>
          <w:szCs w:val="32"/>
        </w:rPr>
        <w:t>普华咨报字（2021）第    号</w:t>
      </w:r>
    </w:p>
    <w:p w14:paraId="2ACEFD7D">
      <w:pPr>
        <w:pStyle w:val="6"/>
        <w:shd w:val="clear" w:color="auto" w:fill="FFFFFF"/>
        <w:spacing w:before="0" w:beforeAutospacing="0" w:after="0" w:afterAutospacing="0" w:line="600" w:lineRule="exact"/>
        <w:jc w:val="both"/>
        <w:rPr>
          <w:rFonts w:ascii="方正仿宋_GBK" w:eastAsia="方正仿宋_GBK"/>
          <w:sz w:val="32"/>
          <w:szCs w:val="32"/>
        </w:rPr>
      </w:pPr>
    </w:p>
    <w:p w14:paraId="294D3DCE">
      <w:pPr>
        <w:pStyle w:val="6"/>
        <w:shd w:val="clear" w:color="auto" w:fill="FFFFFF"/>
        <w:spacing w:before="0" w:beforeAutospacing="0" w:after="0" w:afterAutospacing="0" w:line="600" w:lineRule="exact"/>
        <w:jc w:val="both"/>
        <w:rPr>
          <w:rFonts w:ascii="方正仿宋_GBK" w:eastAsia="方正仿宋_GBK"/>
        </w:rPr>
      </w:pPr>
      <w:r>
        <w:rPr>
          <w:rFonts w:hint="eastAsia" w:ascii="方正仿宋_GBK" w:eastAsia="方正仿宋_GBK"/>
        </w:rPr>
        <w:t>重庆市南岸区财政局：</w:t>
      </w:r>
    </w:p>
    <w:p w14:paraId="00A1A05D">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我们接受贵局委托，并根据中共重庆市委、重庆市人民政府《关于全面实施预算绩效管理的实施意见》（渝委发〔2019〕12号）、重庆市财政局《重庆市市级政策和项目预算绩效管理办法》（渝财绩〔2019〕19号）等有关法律法规的规定，于2021年6月10日至2021年6月30日，对重庆市南岸区卫生健康委员会（以下简称“区卫健委”）2020年度1,536万元医疗服务能力提升建设专项资金进行绩效评价。现将评价情况报告如下：</w:t>
      </w:r>
    </w:p>
    <w:p w14:paraId="2FAC3BFB">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一、项目基本情况</w:t>
      </w:r>
    </w:p>
    <w:p w14:paraId="1E2380D2">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（一）业主单位概况</w:t>
      </w:r>
    </w:p>
    <w:p w14:paraId="7AA6BAE6">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区卫健委系行政单位，统一社会信用代码：11500108742898219N，负责人：李智；地址：重庆市南岸区茶园广福大道行政B区1号楼。</w:t>
      </w:r>
    </w:p>
    <w:p w14:paraId="10555655">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（二）项目背景</w:t>
      </w:r>
    </w:p>
    <w:p w14:paraId="32D55C85">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为全面贯彻落实</w:t>
      </w:r>
      <w:r>
        <w:rPr>
          <w:rFonts w:hint="eastAsia" w:ascii="方正仿宋_GBK" w:eastAsia="方正仿宋_GBK"/>
          <w:lang w:eastAsia="zh-CN"/>
        </w:rPr>
        <w:t>习近平新时代中国特色社会主义思想和党的十九大精神</w:t>
      </w:r>
      <w:r>
        <w:rPr>
          <w:rFonts w:hint="eastAsia" w:ascii="方正仿宋_GBK" w:eastAsia="方正仿宋_GBK"/>
        </w:rPr>
        <w:t>，坚持以人民为中心的发展思想，以实施健康中国战略为主线，以健全现代医院管理制度、全面建立优质高效的医疗卫生服务体系为目标，提高保障和改善民生水平。突出问题导向，针对人民群众关心的问题精准施策，一手抓改革，以医联体建设为抓手提升基层医疗质量，加强基层医疗服务体系建设，一手抓改善，通过巩固成果、创新服务、科技支撑、宣传引导，努力为人民群众提供更高水平、更加满意的卫生和健康服务，增强人民群众获得感。</w:t>
      </w:r>
    </w:p>
    <w:p w14:paraId="67685734">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（三）项目实施情况</w:t>
      </w:r>
    </w:p>
    <w:p w14:paraId="0BA006A9">
      <w:pPr>
        <w:ind w:firstLine="480" w:firstLineChars="200"/>
        <w:rPr>
          <w:rFonts w:ascii="方正仿宋_GBK" w:eastAsia="方正仿宋_GBK"/>
        </w:rPr>
      </w:pPr>
      <w:r>
        <w:rPr>
          <w:rFonts w:hint="eastAsia" w:ascii="方正仿宋_GBK" w:eastAsia="方正仿宋_GBK"/>
        </w:rPr>
        <w:t>医疗服务能力提升建设资金涉及18个预算单位，包括区卫健委及各委属单位。明细详见下表（金额单位：元）</w:t>
      </w:r>
    </w:p>
    <w:tbl>
      <w:tblPr>
        <w:tblStyle w:val="7"/>
        <w:tblW w:w="9072" w:type="dxa"/>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
      <w:tblGrid>
        <w:gridCol w:w="4186"/>
        <w:gridCol w:w="2288"/>
        <w:gridCol w:w="2598"/>
      </w:tblGrid>
      <w:tr w14:paraId="7ACFB2D6">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blHeader/>
        </w:trPr>
        <w:tc>
          <w:tcPr>
            <w:tcW w:w="4186" w:type="dxa"/>
            <w:shd w:val="clear" w:color="auto" w:fill="auto"/>
            <w:vAlign w:val="center"/>
          </w:tcPr>
          <w:p w14:paraId="6B87A667">
            <w:pPr>
              <w:spacing w:line="280" w:lineRule="exact"/>
              <w:jc w:val="center"/>
              <w:rPr>
                <w:rFonts w:eastAsia="仿宋_GB2312" w:cs="Arial"/>
              </w:rPr>
            </w:pPr>
            <w:r>
              <w:rPr>
                <w:rFonts w:hint="eastAsia" w:eastAsia="仿宋_GB2312" w:cs="Arial"/>
              </w:rPr>
              <w:t>预算单位</w:t>
            </w:r>
          </w:p>
        </w:tc>
        <w:tc>
          <w:tcPr>
            <w:tcW w:w="2288" w:type="dxa"/>
            <w:shd w:val="clear" w:color="auto" w:fill="auto"/>
            <w:vAlign w:val="center"/>
          </w:tcPr>
          <w:p w14:paraId="0FDCA464">
            <w:pPr>
              <w:spacing w:line="280" w:lineRule="exact"/>
              <w:jc w:val="center"/>
              <w:rPr>
                <w:rFonts w:eastAsia="仿宋_GB2312" w:cs="Arial"/>
              </w:rPr>
            </w:pPr>
            <w:r>
              <w:rPr>
                <w:rFonts w:hint="eastAsia" w:eastAsia="仿宋_GB2312" w:cs="Arial"/>
              </w:rPr>
              <w:t xml:space="preserve"> 总指标 </w:t>
            </w:r>
          </w:p>
        </w:tc>
        <w:tc>
          <w:tcPr>
            <w:tcW w:w="2598" w:type="dxa"/>
            <w:shd w:val="clear" w:color="auto" w:fill="auto"/>
            <w:vAlign w:val="center"/>
          </w:tcPr>
          <w:p w14:paraId="4F1D82ED">
            <w:pPr>
              <w:spacing w:line="280" w:lineRule="exact"/>
              <w:jc w:val="center"/>
              <w:rPr>
                <w:rFonts w:eastAsia="仿宋_GB2312" w:cs="Arial"/>
              </w:rPr>
            </w:pPr>
            <w:r>
              <w:rPr>
                <w:rFonts w:hint="eastAsia" w:eastAsia="仿宋_GB2312" w:cs="Arial"/>
              </w:rPr>
              <w:t xml:space="preserve"> 已下达计划 </w:t>
            </w:r>
          </w:p>
        </w:tc>
      </w:tr>
      <w:tr w14:paraId="7DF4EE56">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587CAC9F">
            <w:pPr>
              <w:spacing w:line="280" w:lineRule="exact"/>
              <w:rPr>
                <w:rFonts w:eastAsia="仿宋_GB2312" w:cs="Arial"/>
                <w:szCs w:val="18"/>
              </w:rPr>
            </w:pPr>
            <w:r>
              <w:rPr>
                <w:rFonts w:hint="eastAsia" w:eastAsia="仿宋_GB2312" w:cs="Arial"/>
                <w:szCs w:val="18"/>
              </w:rPr>
              <w:t>重庆市第五人民医院</w:t>
            </w:r>
          </w:p>
        </w:tc>
        <w:tc>
          <w:tcPr>
            <w:tcW w:w="2288" w:type="dxa"/>
            <w:shd w:val="clear" w:color="auto" w:fill="auto"/>
            <w:vAlign w:val="center"/>
          </w:tcPr>
          <w:p w14:paraId="63ED9336">
            <w:pPr>
              <w:spacing w:line="280" w:lineRule="exact"/>
              <w:jc w:val="right"/>
              <w:rPr>
                <w:rFonts w:eastAsia="仿宋_GB2312" w:cs="Arial"/>
              </w:rPr>
            </w:pPr>
            <w:r>
              <w:rPr>
                <w:rFonts w:eastAsia="仿宋_GB2312" w:cs="Arial"/>
              </w:rPr>
              <w:t xml:space="preserve">        4,570,000.00 </w:t>
            </w:r>
          </w:p>
        </w:tc>
        <w:tc>
          <w:tcPr>
            <w:tcW w:w="2598" w:type="dxa"/>
            <w:shd w:val="clear" w:color="auto" w:fill="auto"/>
            <w:vAlign w:val="center"/>
          </w:tcPr>
          <w:p w14:paraId="34CB93B4">
            <w:pPr>
              <w:spacing w:line="280" w:lineRule="exact"/>
              <w:jc w:val="right"/>
              <w:rPr>
                <w:rFonts w:eastAsia="仿宋_GB2312" w:cs="Arial"/>
              </w:rPr>
            </w:pPr>
            <w:r>
              <w:rPr>
                <w:rFonts w:eastAsia="仿宋_GB2312" w:cs="Arial"/>
              </w:rPr>
              <w:t xml:space="preserve">           4,570,000.00 </w:t>
            </w:r>
          </w:p>
        </w:tc>
      </w:tr>
      <w:tr w14:paraId="57943B62">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1E4329E0">
            <w:pPr>
              <w:spacing w:line="280" w:lineRule="exact"/>
              <w:rPr>
                <w:rFonts w:eastAsia="仿宋_GB2312" w:cs="Arial"/>
                <w:szCs w:val="18"/>
              </w:rPr>
            </w:pPr>
            <w:r>
              <w:rPr>
                <w:rFonts w:hint="eastAsia" w:eastAsia="仿宋_GB2312" w:cs="Arial"/>
                <w:szCs w:val="18"/>
              </w:rPr>
              <w:t>重庆市南岸区精神卫生中心</w:t>
            </w:r>
          </w:p>
        </w:tc>
        <w:tc>
          <w:tcPr>
            <w:tcW w:w="2288" w:type="dxa"/>
            <w:shd w:val="clear" w:color="auto" w:fill="auto"/>
            <w:vAlign w:val="center"/>
          </w:tcPr>
          <w:p w14:paraId="41950E2B">
            <w:pPr>
              <w:spacing w:line="280" w:lineRule="exact"/>
              <w:jc w:val="right"/>
              <w:rPr>
                <w:rFonts w:eastAsia="仿宋_GB2312" w:cs="Arial"/>
              </w:rPr>
            </w:pPr>
            <w:r>
              <w:rPr>
                <w:rFonts w:eastAsia="仿宋_GB2312" w:cs="Arial"/>
              </w:rPr>
              <w:t xml:space="preserve">        4,305,000.00 </w:t>
            </w:r>
          </w:p>
        </w:tc>
        <w:tc>
          <w:tcPr>
            <w:tcW w:w="2598" w:type="dxa"/>
            <w:shd w:val="clear" w:color="auto" w:fill="auto"/>
            <w:vAlign w:val="center"/>
          </w:tcPr>
          <w:p w14:paraId="24260F60">
            <w:pPr>
              <w:spacing w:line="280" w:lineRule="exact"/>
              <w:jc w:val="right"/>
              <w:rPr>
                <w:rFonts w:eastAsia="仿宋_GB2312" w:cs="Arial"/>
              </w:rPr>
            </w:pPr>
            <w:r>
              <w:rPr>
                <w:rFonts w:eastAsia="仿宋_GB2312" w:cs="Arial"/>
              </w:rPr>
              <w:t xml:space="preserve">           4,305,000.00 </w:t>
            </w:r>
          </w:p>
        </w:tc>
      </w:tr>
      <w:tr w14:paraId="01FB02D1">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1BA9AC6E">
            <w:pPr>
              <w:spacing w:line="280" w:lineRule="exact"/>
              <w:rPr>
                <w:rFonts w:eastAsia="仿宋_GB2312" w:cs="Arial"/>
                <w:szCs w:val="18"/>
              </w:rPr>
            </w:pPr>
            <w:r>
              <w:rPr>
                <w:rFonts w:hint="eastAsia" w:eastAsia="仿宋_GB2312" w:cs="Arial"/>
                <w:szCs w:val="18"/>
              </w:rPr>
              <w:t>区卫健委</w:t>
            </w:r>
          </w:p>
        </w:tc>
        <w:tc>
          <w:tcPr>
            <w:tcW w:w="2288" w:type="dxa"/>
            <w:shd w:val="clear" w:color="auto" w:fill="auto"/>
            <w:vAlign w:val="center"/>
          </w:tcPr>
          <w:p w14:paraId="1CF2A29B">
            <w:pPr>
              <w:spacing w:line="280" w:lineRule="exact"/>
              <w:jc w:val="right"/>
              <w:rPr>
                <w:rFonts w:eastAsia="仿宋_GB2312" w:cs="Arial"/>
              </w:rPr>
            </w:pPr>
            <w:r>
              <w:rPr>
                <w:rFonts w:eastAsia="仿宋_GB2312" w:cs="Arial"/>
              </w:rPr>
              <w:t xml:space="preserve">        3,055,000.00 </w:t>
            </w:r>
          </w:p>
        </w:tc>
        <w:tc>
          <w:tcPr>
            <w:tcW w:w="2598" w:type="dxa"/>
            <w:shd w:val="clear" w:color="auto" w:fill="auto"/>
            <w:vAlign w:val="center"/>
          </w:tcPr>
          <w:p w14:paraId="7E41BF2C">
            <w:pPr>
              <w:spacing w:line="280" w:lineRule="exact"/>
              <w:jc w:val="right"/>
              <w:rPr>
                <w:rFonts w:eastAsia="仿宋_GB2312" w:cs="Arial"/>
              </w:rPr>
            </w:pPr>
            <w:r>
              <w:rPr>
                <w:rFonts w:eastAsia="仿宋_GB2312" w:cs="Arial"/>
              </w:rPr>
              <w:t xml:space="preserve">           3,053,500.00 </w:t>
            </w:r>
          </w:p>
        </w:tc>
      </w:tr>
      <w:tr w14:paraId="125E8004">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4CADA669">
            <w:pPr>
              <w:spacing w:line="280" w:lineRule="exact"/>
              <w:rPr>
                <w:rFonts w:eastAsia="仿宋_GB2312" w:cs="Arial"/>
                <w:szCs w:val="18"/>
              </w:rPr>
            </w:pPr>
            <w:r>
              <w:rPr>
                <w:rFonts w:hint="eastAsia" w:eastAsia="仿宋_GB2312" w:cs="Arial"/>
                <w:szCs w:val="18"/>
              </w:rPr>
              <w:t>重庆市南岸区疾病预防控制中心</w:t>
            </w:r>
          </w:p>
        </w:tc>
        <w:tc>
          <w:tcPr>
            <w:tcW w:w="2288" w:type="dxa"/>
            <w:shd w:val="clear" w:color="auto" w:fill="auto"/>
            <w:vAlign w:val="center"/>
          </w:tcPr>
          <w:p w14:paraId="3CDF55F7">
            <w:pPr>
              <w:spacing w:line="280" w:lineRule="exact"/>
              <w:jc w:val="right"/>
              <w:rPr>
                <w:rFonts w:eastAsia="仿宋_GB2312" w:cs="Arial"/>
              </w:rPr>
            </w:pPr>
            <w:r>
              <w:rPr>
                <w:rFonts w:eastAsia="仿宋_GB2312" w:cs="Arial"/>
              </w:rPr>
              <w:t xml:space="preserve">        2,207,000.00 </w:t>
            </w:r>
          </w:p>
        </w:tc>
        <w:tc>
          <w:tcPr>
            <w:tcW w:w="2598" w:type="dxa"/>
            <w:shd w:val="clear" w:color="auto" w:fill="auto"/>
            <w:vAlign w:val="center"/>
          </w:tcPr>
          <w:p w14:paraId="2F53F962">
            <w:pPr>
              <w:spacing w:line="280" w:lineRule="exact"/>
              <w:jc w:val="right"/>
              <w:rPr>
                <w:rFonts w:eastAsia="仿宋_GB2312" w:cs="Arial"/>
              </w:rPr>
            </w:pPr>
            <w:r>
              <w:rPr>
                <w:rFonts w:eastAsia="仿宋_GB2312" w:cs="Arial"/>
              </w:rPr>
              <w:t xml:space="preserve">           2,206,800.00 </w:t>
            </w:r>
          </w:p>
        </w:tc>
      </w:tr>
      <w:tr w14:paraId="6F2670BE">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0BC48B40">
            <w:pPr>
              <w:spacing w:line="280" w:lineRule="exact"/>
              <w:rPr>
                <w:rFonts w:eastAsia="仿宋_GB2312" w:cs="Arial"/>
                <w:szCs w:val="18"/>
              </w:rPr>
            </w:pPr>
            <w:r>
              <w:rPr>
                <w:rFonts w:hint="eastAsia" w:eastAsia="仿宋_GB2312" w:cs="Arial"/>
                <w:szCs w:val="18"/>
              </w:rPr>
              <w:t>重庆市南岸区妇幼保健计划生育服务中心</w:t>
            </w:r>
          </w:p>
        </w:tc>
        <w:tc>
          <w:tcPr>
            <w:tcW w:w="2288" w:type="dxa"/>
            <w:shd w:val="clear" w:color="auto" w:fill="auto"/>
            <w:vAlign w:val="center"/>
          </w:tcPr>
          <w:p w14:paraId="457E076B">
            <w:pPr>
              <w:spacing w:line="280" w:lineRule="exact"/>
              <w:jc w:val="right"/>
              <w:rPr>
                <w:rFonts w:eastAsia="仿宋_GB2312" w:cs="Arial"/>
              </w:rPr>
            </w:pPr>
            <w:r>
              <w:rPr>
                <w:rFonts w:eastAsia="仿宋_GB2312" w:cs="Arial"/>
              </w:rPr>
              <w:t xml:space="preserve">           603,000.00 </w:t>
            </w:r>
          </w:p>
        </w:tc>
        <w:tc>
          <w:tcPr>
            <w:tcW w:w="2598" w:type="dxa"/>
            <w:shd w:val="clear" w:color="auto" w:fill="auto"/>
            <w:vAlign w:val="center"/>
          </w:tcPr>
          <w:p w14:paraId="2D461AC2">
            <w:pPr>
              <w:spacing w:line="280" w:lineRule="exact"/>
              <w:jc w:val="right"/>
              <w:rPr>
                <w:rFonts w:eastAsia="仿宋_GB2312" w:cs="Arial"/>
              </w:rPr>
            </w:pPr>
            <w:r>
              <w:rPr>
                <w:rFonts w:eastAsia="仿宋_GB2312" w:cs="Arial"/>
              </w:rPr>
              <w:t xml:space="preserve">              603,000.00 </w:t>
            </w:r>
          </w:p>
        </w:tc>
      </w:tr>
      <w:tr w14:paraId="5C9F785D">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4CBF84A8">
            <w:pPr>
              <w:spacing w:line="280" w:lineRule="exact"/>
              <w:rPr>
                <w:rFonts w:eastAsia="仿宋_GB2312" w:cs="Arial"/>
                <w:szCs w:val="18"/>
              </w:rPr>
            </w:pPr>
            <w:r>
              <w:rPr>
                <w:rFonts w:hint="eastAsia" w:eastAsia="仿宋_GB2312" w:cs="Arial"/>
                <w:szCs w:val="18"/>
              </w:rPr>
              <w:t>重庆市南岸区基层医疗卫生服务管理中心</w:t>
            </w:r>
          </w:p>
        </w:tc>
        <w:tc>
          <w:tcPr>
            <w:tcW w:w="2288" w:type="dxa"/>
            <w:shd w:val="clear" w:color="auto" w:fill="auto"/>
            <w:vAlign w:val="center"/>
          </w:tcPr>
          <w:p w14:paraId="1F1BAB33">
            <w:pPr>
              <w:spacing w:line="280" w:lineRule="exact"/>
              <w:jc w:val="right"/>
              <w:rPr>
                <w:rFonts w:eastAsia="仿宋_GB2312" w:cs="Arial"/>
              </w:rPr>
            </w:pPr>
            <w:r>
              <w:rPr>
                <w:rFonts w:eastAsia="仿宋_GB2312" w:cs="Arial"/>
              </w:rPr>
              <w:t xml:space="preserve">           390,000.00 </w:t>
            </w:r>
          </w:p>
        </w:tc>
        <w:tc>
          <w:tcPr>
            <w:tcW w:w="2598" w:type="dxa"/>
            <w:shd w:val="clear" w:color="auto" w:fill="auto"/>
            <w:vAlign w:val="center"/>
          </w:tcPr>
          <w:p w14:paraId="7B90FFC3">
            <w:pPr>
              <w:spacing w:line="280" w:lineRule="exact"/>
              <w:jc w:val="right"/>
              <w:rPr>
                <w:rFonts w:eastAsia="仿宋_GB2312" w:cs="Arial"/>
              </w:rPr>
            </w:pPr>
            <w:r>
              <w:rPr>
                <w:rFonts w:eastAsia="仿宋_GB2312" w:cs="Arial"/>
              </w:rPr>
              <w:t xml:space="preserve">              249,747.08 </w:t>
            </w:r>
          </w:p>
        </w:tc>
      </w:tr>
      <w:tr w14:paraId="2D4EBFA6">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2A7CC2CA">
            <w:pPr>
              <w:spacing w:line="280" w:lineRule="exact"/>
              <w:rPr>
                <w:rFonts w:eastAsia="仿宋_GB2312" w:cs="Arial"/>
                <w:szCs w:val="18"/>
              </w:rPr>
            </w:pPr>
            <w:r>
              <w:rPr>
                <w:rFonts w:hint="eastAsia" w:eastAsia="仿宋_GB2312" w:cs="Arial"/>
                <w:szCs w:val="18"/>
              </w:rPr>
              <w:t>重庆市南岸区中医院</w:t>
            </w:r>
          </w:p>
        </w:tc>
        <w:tc>
          <w:tcPr>
            <w:tcW w:w="2288" w:type="dxa"/>
            <w:shd w:val="clear" w:color="auto" w:fill="auto"/>
            <w:vAlign w:val="center"/>
          </w:tcPr>
          <w:p w14:paraId="0A11480C">
            <w:pPr>
              <w:spacing w:line="280" w:lineRule="exact"/>
              <w:jc w:val="right"/>
              <w:rPr>
                <w:rFonts w:eastAsia="仿宋_GB2312" w:cs="Arial"/>
              </w:rPr>
            </w:pPr>
            <w:r>
              <w:rPr>
                <w:rFonts w:eastAsia="仿宋_GB2312" w:cs="Arial"/>
              </w:rPr>
              <w:t xml:space="preserve">             60,000.00 </w:t>
            </w:r>
          </w:p>
        </w:tc>
        <w:tc>
          <w:tcPr>
            <w:tcW w:w="2598" w:type="dxa"/>
            <w:shd w:val="clear" w:color="auto" w:fill="auto"/>
            <w:vAlign w:val="center"/>
          </w:tcPr>
          <w:p w14:paraId="70B4CCD2">
            <w:pPr>
              <w:spacing w:line="280" w:lineRule="exact"/>
              <w:jc w:val="right"/>
              <w:rPr>
                <w:rFonts w:eastAsia="仿宋_GB2312" w:cs="Arial"/>
              </w:rPr>
            </w:pPr>
            <w:r>
              <w:rPr>
                <w:rFonts w:eastAsia="仿宋_GB2312" w:cs="Arial"/>
              </w:rPr>
              <w:t xml:space="preserve">                60,000.00 </w:t>
            </w:r>
          </w:p>
        </w:tc>
      </w:tr>
      <w:tr w14:paraId="78CBBD2D">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5837CD5F">
            <w:pPr>
              <w:spacing w:line="280" w:lineRule="exact"/>
              <w:rPr>
                <w:rFonts w:eastAsia="仿宋_GB2312" w:cs="Arial"/>
                <w:szCs w:val="18"/>
              </w:rPr>
            </w:pPr>
            <w:r>
              <w:rPr>
                <w:rFonts w:hint="eastAsia" w:eastAsia="仿宋_GB2312" w:cs="Arial"/>
                <w:szCs w:val="18"/>
              </w:rPr>
              <w:t>重庆市南岸区卫生健康综合行政执法支队</w:t>
            </w:r>
          </w:p>
        </w:tc>
        <w:tc>
          <w:tcPr>
            <w:tcW w:w="2288" w:type="dxa"/>
            <w:shd w:val="clear" w:color="auto" w:fill="auto"/>
            <w:vAlign w:val="center"/>
          </w:tcPr>
          <w:p w14:paraId="2A0208CA">
            <w:pPr>
              <w:spacing w:line="280" w:lineRule="exact"/>
              <w:jc w:val="right"/>
              <w:rPr>
                <w:rFonts w:eastAsia="仿宋_GB2312" w:cs="Arial"/>
              </w:rPr>
            </w:pPr>
            <w:r>
              <w:rPr>
                <w:rFonts w:eastAsia="仿宋_GB2312" w:cs="Arial"/>
              </w:rPr>
              <w:t xml:space="preserve">             50,000.00 </w:t>
            </w:r>
          </w:p>
        </w:tc>
        <w:tc>
          <w:tcPr>
            <w:tcW w:w="2598" w:type="dxa"/>
            <w:shd w:val="clear" w:color="auto" w:fill="auto"/>
            <w:vAlign w:val="center"/>
          </w:tcPr>
          <w:p w14:paraId="5F8B0F29">
            <w:pPr>
              <w:spacing w:line="280" w:lineRule="exact"/>
              <w:jc w:val="right"/>
              <w:rPr>
                <w:rFonts w:eastAsia="仿宋_GB2312" w:cs="Arial"/>
              </w:rPr>
            </w:pPr>
            <w:r>
              <w:rPr>
                <w:rFonts w:eastAsia="仿宋_GB2312" w:cs="Arial"/>
              </w:rPr>
              <w:t xml:space="preserve">                50,000.00 </w:t>
            </w:r>
          </w:p>
        </w:tc>
      </w:tr>
      <w:tr w14:paraId="35B95CDA">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17BAD455">
            <w:pPr>
              <w:spacing w:line="280" w:lineRule="exact"/>
              <w:rPr>
                <w:rFonts w:eastAsia="仿宋_GB2312" w:cs="Arial"/>
                <w:szCs w:val="18"/>
              </w:rPr>
            </w:pPr>
            <w:r>
              <w:rPr>
                <w:rFonts w:hint="eastAsia" w:eastAsia="仿宋_GB2312" w:cs="Arial"/>
                <w:szCs w:val="18"/>
              </w:rPr>
              <w:t>重庆市南岸区人民医院</w:t>
            </w:r>
          </w:p>
        </w:tc>
        <w:tc>
          <w:tcPr>
            <w:tcW w:w="2288" w:type="dxa"/>
            <w:shd w:val="clear" w:color="auto" w:fill="auto"/>
            <w:vAlign w:val="center"/>
          </w:tcPr>
          <w:p w14:paraId="0E17E0EF">
            <w:pPr>
              <w:spacing w:line="280" w:lineRule="exact"/>
              <w:jc w:val="right"/>
              <w:rPr>
                <w:rFonts w:eastAsia="仿宋_GB2312" w:cs="Arial"/>
              </w:rPr>
            </w:pPr>
            <w:r>
              <w:rPr>
                <w:rFonts w:eastAsia="仿宋_GB2312" w:cs="Arial"/>
              </w:rPr>
              <w:t xml:space="preserve">             30,000.00 </w:t>
            </w:r>
          </w:p>
        </w:tc>
        <w:tc>
          <w:tcPr>
            <w:tcW w:w="2598" w:type="dxa"/>
            <w:shd w:val="clear" w:color="auto" w:fill="auto"/>
            <w:vAlign w:val="center"/>
          </w:tcPr>
          <w:p w14:paraId="5FB3CA04">
            <w:pPr>
              <w:spacing w:line="280" w:lineRule="exact"/>
              <w:jc w:val="right"/>
              <w:rPr>
                <w:rFonts w:eastAsia="仿宋_GB2312" w:cs="Arial"/>
              </w:rPr>
            </w:pPr>
            <w:r>
              <w:rPr>
                <w:rFonts w:eastAsia="仿宋_GB2312" w:cs="Arial"/>
              </w:rPr>
              <w:t xml:space="preserve">                30,000.00 </w:t>
            </w:r>
          </w:p>
        </w:tc>
      </w:tr>
      <w:tr w14:paraId="3CE2CA96">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242C3951">
            <w:pPr>
              <w:spacing w:line="280" w:lineRule="exact"/>
              <w:rPr>
                <w:rFonts w:eastAsia="仿宋_GB2312" w:cs="Arial"/>
                <w:szCs w:val="18"/>
              </w:rPr>
            </w:pPr>
            <w:r>
              <w:rPr>
                <w:rFonts w:hint="eastAsia" w:eastAsia="仿宋_GB2312" w:cs="Arial"/>
                <w:szCs w:val="18"/>
              </w:rPr>
              <w:t>重庆市南岸区弹子石街道社区卫生服务中心</w:t>
            </w:r>
          </w:p>
        </w:tc>
        <w:tc>
          <w:tcPr>
            <w:tcW w:w="2288" w:type="dxa"/>
            <w:shd w:val="clear" w:color="auto" w:fill="auto"/>
            <w:vAlign w:val="center"/>
          </w:tcPr>
          <w:p w14:paraId="441B22B0">
            <w:pPr>
              <w:spacing w:line="280" w:lineRule="exact"/>
              <w:jc w:val="right"/>
              <w:rPr>
                <w:rFonts w:eastAsia="仿宋_GB2312" w:cs="Arial"/>
              </w:rPr>
            </w:pPr>
            <w:r>
              <w:rPr>
                <w:rFonts w:eastAsia="仿宋_GB2312" w:cs="Arial"/>
              </w:rPr>
              <w:t xml:space="preserve">             10,000.00 </w:t>
            </w:r>
          </w:p>
        </w:tc>
        <w:tc>
          <w:tcPr>
            <w:tcW w:w="2598" w:type="dxa"/>
            <w:shd w:val="clear" w:color="auto" w:fill="auto"/>
            <w:vAlign w:val="center"/>
          </w:tcPr>
          <w:p w14:paraId="28DC6E91">
            <w:pPr>
              <w:spacing w:line="280" w:lineRule="exact"/>
              <w:jc w:val="right"/>
              <w:rPr>
                <w:rFonts w:eastAsia="仿宋_GB2312" w:cs="Arial"/>
              </w:rPr>
            </w:pPr>
            <w:r>
              <w:rPr>
                <w:rFonts w:eastAsia="仿宋_GB2312" w:cs="Arial"/>
              </w:rPr>
              <w:t xml:space="preserve">                10,000.00 </w:t>
            </w:r>
          </w:p>
        </w:tc>
      </w:tr>
      <w:tr w14:paraId="7DFC8088">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18E3702A">
            <w:pPr>
              <w:spacing w:line="280" w:lineRule="exact"/>
              <w:rPr>
                <w:rFonts w:eastAsia="仿宋_GB2312" w:cs="Arial"/>
                <w:szCs w:val="18"/>
              </w:rPr>
            </w:pPr>
            <w:r>
              <w:rPr>
                <w:rFonts w:hint="eastAsia" w:eastAsia="仿宋_GB2312" w:cs="Arial"/>
                <w:szCs w:val="18"/>
              </w:rPr>
              <w:t>重庆市南岸区龙门浩街道社区卫生服务中心</w:t>
            </w:r>
          </w:p>
        </w:tc>
        <w:tc>
          <w:tcPr>
            <w:tcW w:w="2288" w:type="dxa"/>
            <w:shd w:val="clear" w:color="auto" w:fill="auto"/>
            <w:vAlign w:val="center"/>
          </w:tcPr>
          <w:p w14:paraId="5D04AE5D">
            <w:pPr>
              <w:spacing w:line="280" w:lineRule="exact"/>
              <w:jc w:val="right"/>
              <w:rPr>
                <w:rFonts w:eastAsia="仿宋_GB2312" w:cs="Arial"/>
              </w:rPr>
            </w:pPr>
            <w:r>
              <w:rPr>
                <w:rFonts w:eastAsia="仿宋_GB2312" w:cs="Arial"/>
              </w:rPr>
              <w:t xml:space="preserve">             10,000.00 </w:t>
            </w:r>
          </w:p>
        </w:tc>
        <w:tc>
          <w:tcPr>
            <w:tcW w:w="2598" w:type="dxa"/>
            <w:shd w:val="clear" w:color="auto" w:fill="auto"/>
            <w:vAlign w:val="center"/>
          </w:tcPr>
          <w:p w14:paraId="621E54C4">
            <w:pPr>
              <w:spacing w:line="280" w:lineRule="exact"/>
              <w:jc w:val="right"/>
              <w:rPr>
                <w:rFonts w:eastAsia="仿宋_GB2312" w:cs="Arial"/>
              </w:rPr>
            </w:pPr>
            <w:r>
              <w:rPr>
                <w:rFonts w:eastAsia="仿宋_GB2312" w:cs="Arial"/>
              </w:rPr>
              <w:t xml:space="preserve">                10,000.00 </w:t>
            </w:r>
          </w:p>
        </w:tc>
      </w:tr>
      <w:tr w14:paraId="3A815AB3">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2F9E7125">
            <w:pPr>
              <w:spacing w:line="280" w:lineRule="exact"/>
              <w:rPr>
                <w:rFonts w:eastAsia="仿宋_GB2312" w:cs="Arial"/>
                <w:szCs w:val="18"/>
              </w:rPr>
            </w:pPr>
            <w:r>
              <w:rPr>
                <w:rFonts w:hint="eastAsia" w:eastAsia="仿宋_GB2312" w:cs="Arial"/>
                <w:szCs w:val="18"/>
              </w:rPr>
              <w:t>重庆市南岸区长生桥镇卫生院</w:t>
            </w:r>
          </w:p>
        </w:tc>
        <w:tc>
          <w:tcPr>
            <w:tcW w:w="2288" w:type="dxa"/>
            <w:shd w:val="clear" w:color="auto" w:fill="auto"/>
            <w:vAlign w:val="center"/>
          </w:tcPr>
          <w:p w14:paraId="0BBCA86D">
            <w:pPr>
              <w:spacing w:line="280" w:lineRule="exact"/>
              <w:jc w:val="right"/>
              <w:rPr>
                <w:rFonts w:eastAsia="仿宋_GB2312" w:cs="Arial"/>
              </w:rPr>
            </w:pPr>
            <w:r>
              <w:rPr>
                <w:rFonts w:eastAsia="仿宋_GB2312" w:cs="Arial"/>
              </w:rPr>
              <w:t xml:space="preserve">             10,000.00 </w:t>
            </w:r>
          </w:p>
        </w:tc>
        <w:tc>
          <w:tcPr>
            <w:tcW w:w="2598" w:type="dxa"/>
            <w:shd w:val="clear" w:color="auto" w:fill="auto"/>
            <w:vAlign w:val="center"/>
          </w:tcPr>
          <w:p w14:paraId="365DB038">
            <w:pPr>
              <w:spacing w:line="280" w:lineRule="exact"/>
              <w:jc w:val="right"/>
              <w:rPr>
                <w:rFonts w:eastAsia="仿宋_GB2312" w:cs="Arial"/>
              </w:rPr>
            </w:pPr>
            <w:r>
              <w:rPr>
                <w:rFonts w:eastAsia="仿宋_GB2312" w:cs="Arial"/>
              </w:rPr>
              <w:t xml:space="preserve">                10,000.00 </w:t>
            </w:r>
          </w:p>
        </w:tc>
      </w:tr>
      <w:tr w14:paraId="1A08BB89">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1B87091E">
            <w:pPr>
              <w:spacing w:line="280" w:lineRule="exact"/>
              <w:rPr>
                <w:rFonts w:eastAsia="仿宋_GB2312" w:cs="Arial"/>
                <w:szCs w:val="18"/>
              </w:rPr>
            </w:pPr>
            <w:r>
              <w:rPr>
                <w:rFonts w:hint="eastAsia" w:eastAsia="仿宋_GB2312" w:cs="Arial"/>
                <w:szCs w:val="18"/>
              </w:rPr>
              <w:t>重庆市南岸区南山街道社区卫生服务中心</w:t>
            </w:r>
          </w:p>
        </w:tc>
        <w:tc>
          <w:tcPr>
            <w:tcW w:w="2288" w:type="dxa"/>
            <w:shd w:val="clear" w:color="auto" w:fill="auto"/>
            <w:vAlign w:val="center"/>
          </w:tcPr>
          <w:p w14:paraId="2DD7D90C">
            <w:pPr>
              <w:spacing w:line="280" w:lineRule="exact"/>
              <w:jc w:val="right"/>
              <w:rPr>
                <w:rFonts w:eastAsia="仿宋_GB2312" w:cs="Arial"/>
              </w:rPr>
            </w:pPr>
            <w:r>
              <w:rPr>
                <w:rFonts w:eastAsia="仿宋_GB2312" w:cs="Arial"/>
              </w:rPr>
              <w:t xml:space="preserve">             10,000.00 </w:t>
            </w:r>
          </w:p>
        </w:tc>
        <w:tc>
          <w:tcPr>
            <w:tcW w:w="2598" w:type="dxa"/>
            <w:shd w:val="clear" w:color="auto" w:fill="auto"/>
            <w:vAlign w:val="center"/>
          </w:tcPr>
          <w:p w14:paraId="7C4BB8A0">
            <w:pPr>
              <w:spacing w:line="280" w:lineRule="exact"/>
              <w:jc w:val="right"/>
              <w:rPr>
                <w:rFonts w:eastAsia="仿宋_GB2312" w:cs="Arial"/>
              </w:rPr>
            </w:pPr>
            <w:r>
              <w:rPr>
                <w:rFonts w:eastAsia="仿宋_GB2312" w:cs="Arial"/>
              </w:rPr>
              <w:t xml:space="preserve">                10,000.00 </w:t>
            </w:r>
          </w:p>
        </w:tc>
      </w:tr>
      <w:tr w14:paraId="6E2E731A">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54BC531F">
            <w:pPr>
              <w:spacing w:line="280" w:lineRule="exact"/>
              <w:rPr>
                <w:rFonts w:eastAsia="仿宋_GB2312" w:cs="Arial"/>
                <w:szCs w:val="18"/>
              </w:rPr>
            </w:pPr>
            <w:r>
              <w:rPr>
                <w:rFonts w:hint="eastAsia" w:eastAsia="仿宋_GB2312" w:cs="Arial"/>
                <w:szCs w:val="18"/>
              </w:rPr>
              <w:t>重庆市南岸区峡口镇卫生院</w:t>
            </w:r>
          </w:p>
        </w:tc>
        <w:tc>
          <w:tcPr>
            <w:tcW w:w="2288" w:type="dxa"/>
            <w:shd w:val="clear" w:color="auto" w:fill="auto"/>
            <w:vAlign w:val="center"/>
          </w:tcPr>
          <w:p w14:paraId="21E84AC1">
            <w:pPr>
              <w:spacing w:line="280" w:lineRule="exact"/>
              <w:jc w:val="right"/>
              <w:rPr>
                <w:rFonts w:eastAsia="仿宋_GB2312" w:cs="Arial"/>
              </w:rPr>
            </w:pPr>
            <w:r>
              <w:rPr>
                <w:rFonts w:eastAsia="仿宋_GB2312" w:cs="Arial"/>
              </w:rPr>
              <w:t xml:space="preserve">             10,000.00 </w:t>
            </w:r>
          </w:p>
        </w:tc>
        <w:tc>
          <w:tcPr>
            <w:tcW w:w="2598" w:type="dxa"/>
            <w:shd w:val="clear" w:color="auto" w:fill="auto"/>
            <w:vAlign w:val="center"/>
          </w:tcPr>
          <w:p w14:paraId="6F06C154">
            <w:pPr>
              <w:spacing w:line="280" w:lineRule="exact"/>
              <w:jc w:val="right"/>
              <w:rPr>
                <w:rFonts w:eastAsia="仿宋_GB2312" w:cs="Arial"/>
              </w:rPr>
            </w:pPr>
            <w:r>
              <w:rPr>
                <w:rFonts w:eastAsia="仿宋_GB2312" w:cs="Arial"/>
              </w:rPr>
              <w:t xml:space="preserve">                10,000.00 </w:t>
            </w:r>
          </w:p>
        </w:tc>
      </w:tr>
      <w:tr w14:paraId="025AEAEC">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7A18EF96">
            <w:pPr>
              <w:spacing w:line="280" w:lineRule="exact"/>
              <w:rPr>
                <w:rFonts w:eastAsia="仿宋_GB2312" w:cs="Arial"/>
                <w:szCs w:val="18"/>
              </w:rPr>
            </w:pPr>
            <w:r>
              <w:rPr>
                <w:rFonts w:hint="eastAsia" w:eastAsia="仿宋_GB2312" w:cs="Arial"/>
                <w:szCs w:val="18"/>
              </w:rPr>
              <w:t>重庆市南岸区迎龙镇卫生院</w:t>
            </w:r>
          </w:p>
        </w:tc>
        <w:tc>
          <w:tcPr>
            <w:tcW w:w="2288" w:type="dxa"/>
            <w:shd w:val="clear" w:color="auto" w:fill="auto"/>
            <w:vAlign w:val="center"/>
          </w:tcPr>
          <w:p w14:paraId="3BEBCF88">
            <w:pPr>
              <w:spacing w:line="280" w:lineRule="exact"/>
              <w:jc w:val="right"/>
              <w:rPr>
                <w:rFonts w:eastAsia="仿宋_GB2312" w:cs="Arial"/>
              </w:rPr>
            </w:pPr>
            <w:r>
              <w:rPr>
                <w:rFonts w:eastAsia="仿宋_GB2312" w:cs="Arial"/>
              </w:rPr>
              <w:t xml:space="preserve">             10,000.00 </w:t>
            </w:r>
          </w:p>
        </w:tc>
        <w:tc>
          <w:tcPr>
            <w:tcW w:w="2598" w:type="dxa"/>
            <w:shd w:val="clear" w:color="auto" w:fill="auto"/>
            <w:vAlign w:val="center"/>
          </w:tcPr>
          <w:p w14:paraId="10B260E1">
            <w:pPr>
              <w:spacing w:line="280" w:lineRule="exact"/>
              <w:jc w:val="right"/>
              <w:rPr>
                <w:rFonts w:eastAsia="仿宋_GB2312" w:cs="Arial"/>
              </w:rPr>
            </w:pPr>
            <w:r>
              <w:rPr>
                <w:rFonts w:eastAsia="仿宋_GB2312" w:cs="Arial"/>
              </w:rPr>
              <w:t xml:space="preserve">                10,000.00 </w:t>
            </w:r>
          </w:p>
        </w:tc>
      </w:tr>
      <w:tr w14:paraId="4E64F1E9">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6570684D">
            <w:pPr>
              <w:spacing w:line="280" w:lineRule="exact"/>
              <w:rPr>
                <w:rFonts w:eastAsia="仿宋_GB2312" w:cs="Arial"/>
                <w:szCs w:val="18"/>
              </w:rPr>
            </w:pPr>
            <w:r>
              <w:rPr>
                <w:rFonts w:hint="eastAsia" w:eastAsia="仿宋_GB2312" w:cs="Arial"/>
                <w:szCs w:val="18"/>
              </w:rPr>
              <w:t>重庆市南岸区鸡冠石镇卫生院</w:t>
            </w:r>
          </w:p>
        </w:tc>
        <w:tc>
          <w:tcPr>
            <w:tcW w:w="2288" w:type="dxa"/>
            <w:shd w:val="clear" w:color="auto" w:fill="auto"/>
            <w:vAlign w:val="center"/>
          </w:tcPr>
          <w:p w14:paraId="0ABD7304">
            <w:pPr>
              <w:spacing w:line="280" w:lineRule="exact"/>
              <w:jc w:val="right"/>
              <w:rPr>
                <w:rFonts w:eastAsia="仿宋_GB2312" w:cs="Arial"/>
              </w:rPr>
            </w:pPr>
            <w:r>
              <w:rPr>
                <w:rFonts w:eastAsia="仿宋_GB2312" w:cs="Arial"/>
              </w:rPr>
              <w:t xml:space="preserve">10,000.00 </w:t>
            </w:r>
          </w:p>
        </w:tc>
        <w:tc>
          <w:tcPr>
            <w:tcW w:w="2598" w:type="dxa"/>
            <w:shd w:val="clear" w:color="auto" w:fill="auto"/>
            <w:vAlign w:val="center"/>
          </w:tcPr>
          <w:p w14:paraId="36B232A5">
            <w:pPr>
              <w:spacing w:line="280" w:lineRule="exact"/>
              <w:jc w:val="right"/>
              <w:rPr>
                <w:rFonts w:eastAsia="仿宋_GB2312" w:cs="Arial"/>
              </w:rPr>
            </w:pPr>
            <w:r>
              <w:rPr>
                <w:rFonts w:eastAsia="仿宋_GB2312" w:cs="Arial"/>
              </w:rPr>
              <w:t xml:space="preserve">10,000.00 </w:t>
            </w:r>
          </w:p>
        </w:tc>
      </w:tr>
      <w:tr w14:paraId="3AFDB6C8">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03CA61A0">
            <w:pPr>
              <w:spacing w:line="280" w:lineRule="exact"/>
              <w:rPr>
                <w:rFonts w:eastAsia="仿宋_GB2312" w:cs="Arial"/>
                <w:szCs w:val="18"/>
              </w:rPr>
            </w:pPr>
            <w:r>
              <w:rPr>
                <w:rFonts w:hint="eastAsia" w:eastAsia="仿宋_GB2312" w:cs="Arial"/>
                <w:szCs w:val="18"/>
              </w:rPr>
              <w:t>重庆市南岸区广阳镇卫生院</w:t>
            </w:r>
          </w:p>
        </w:tc>
        <w:tc>
          <w:tcPr>
            <w:tcW w:w="2288" w:type="dxa"/>
            <w:shd w:val="clear" w:color="auto" w:fill="auto"/>
            <w:vAlign w:val="center"/>
          </w:tcPr>
          <w:p w14:paraId="14154A06">
            <w:pPr>
              <w:spacing w:line="280" w:lineRule="exact"/>
              <w:jc w:val="right"/>
              <w:rPr>
                <w:rFonts w:eastAsia="仿宋_GB2312" w:cs="Arial"/>
              </w:rPr>
            </w:pPr>
            <w:r>
              <w:rPr>
                <w:rFonts w:eastAsia="仿宋_GB2312" w:cs="Arial"/>
              </w:rPr>
              <w:t xml:space="preserve">10,000.00 </w:t>
            </w:r>
          </w:p>
        </w:tc>
        <w:tc>
          <w:tcPr>
            <w:tcW w:w="2598" w:type="dxa"/>
            <w:shd w:val="clear" w:color="auto" w:fill="auto"/>
            <w:vAlign w:val="center"/>
          </w:tcPr>
          <w:p w14:paraId="38A910FB">
            <w:pPr>
              <w:spacing w:line="280" w:lineRule="exact"/>
              <w:jc w:val="right"/>
              <w:rPr>
                <w:rFonts w:eastAsia="仿宋_GB2312" w:cs="Arial"/>
              </w:rPr>
            </w:pPr>
            <w:r>
              <w:rPr>
                <w:rFonts w:eastAsia="仿宋_GB2312" w:cs="Arial"/>
              </w:rPr>
              <w:t xml:space="preserve">10,000.00 </w:t>
            </w:r>
          </w:p>
        </w:tc>
      </w:tr>
      <w:tr w14:paraId="0BD13E08">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5872E704">
            <w:pPr>
              <w:spacing w:line="280" w:lineRule="exact"/>
              <w:rPr>
                <w:rFonts w:eastAsia="仿宋_GB2312" w:cs="Arial"/>
                <w:szCs w:val="18"/>
              </w:rPr>
            </w:pPr>
            <w:r>
              <w:rPr>
                <w:rFonts w:hint="eastAsia" w:eastAsia="仿宋_GB2312" w:cs="Arial"/>
                <w:szCs w:val="18"/>
              </w:rPr>
              <w:t>重庆市南岸区铜元局街道社区卫生服务中心</w:t>
            </w:r>
          </w:p>
        </w:tc>
        <w:tc>
          <w:tcPr>
            <w:tcW w:w="2288" w:type="dxa"/>
            <w:shd w:val="clear" w:color="auto" w:fill="auto"/>
            <w:vAlign w:val="center"/>
          </w:tcPr>
          <w:p w14:paraId="575F4180">
            <w:pPr>
              <w:spacing w:line="280" w:lineRule="exact"/>
              <w:jc w:val="right"/>
              <w:rPr>
                <w:rFonts w:eastAsia="仿宋_GB2312" w:cs="Arial"/>
              </w:rPr>
            </w:pPr>
            <w:r>
              <w:rPr>
                <w:rFonts w:eastAsia="仿宋_GB2312" w:cs="Arial"/>
              </w:rPr>
              <w:t xml:space="preserve">             10,000.00 </w:t>
            </w:r>
          </w:p>
        </w:tc>
        <w:tc>
          <w:tcPr>
            <w:tcW w:w="2598" w:type="dxa"/>
            <w:shd w:val="clear" w:color="auto" w:fill="auto"/>
            <w:vAlign w:val="center"/>
          </w:tcPr>
          <w:p w14:paraId="45C3F4EC">
            <w:pPr>
              <w:spacing w:line="280" w:lineRule="exact"/>
              <w:jc w:val="right"/>
              <w:rPr>
                <w:rFonts w:eastAsia="仿宋_GB2312" w:cs="Arial"/>
              </w:rPr>
            </w:pPr>
            <w:r>
              <w:rPr>
                <w:rFonts w:eastAsia="仿宋_GB2312" w:cs="Arial"/>
              </w:rPr>
              <w:t xml:space="preserve">                10,000.00 </w:t>
            </w:r>
          </w:p>
        </w:tc>
      </w:tr>
      <w:tr w14:paraId="19676ACA">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7B8D9D7B">
            <w:pPr>
              <w:spacing w:line="280" w:lineRule="exact"/>
              <w:jc w:val="center"/>
              <w:rPr>
                <w:rFonts w:eastAsia="仿宋_GB2312" w:cs="Arial"/>
              </w:rPr>
            </w:pPr>
            <w:r>
              <w:rPr>
                <w:rFonts w:hint="eastAsia" w:eastAsia="仿宋_GB2312" w:cs="Arial"/>
              </w:rPr>
              <w:t>合计</w:t>
            </w:r>
          </w:p>
        </w:tc>
        <w:tc>
          <w:tcPr>
            <w:tcW w:w="2288" w:type="dxa"/>
            <w:shd w:val="clear" w:color="auto" w:fill="auto"/>
            <w:vAlign w:val="center"/>
          </w:tcPr>
          <w:p w14:paraId="08535177">
            <w:pPr>
              <w:spacing w:line="280" w:lineRule="exact"/>
              <w:jc w:val="right"/>
              <w:rPr>
                <w:rFonts w:eastAsia="仿宋_GB2312" w:cs="Arial"/>
              </w:rPr>
            </w:pPr>
            <w:r>
              <w:rPr>
                <w:rFonts w:eastAsia="仿宋_GB2312" w:cs="Arial"/>
              </w:rPr>
              <w:t xml:space="preserve">      15,360,000.00 </w:t>
            </w:r>
          </w:p>
        </w:tc>
        <w:tc>
          <w:tcPr>
            <w:tcW w:w="2598" w:type="dxa"/>
            <w:shd w:val="clear" w:color="auto" w:fill="auto"/>
            <w:vAlign w:val="center"/>
          </w:tcPr>
          <w:p w14:paraId="75642453">
            <w:pPr>
              <w:spacing w:line="280" w:lineRule="exact"/>
              <w:jc w:val="right"/>
              <w:rPr>
                <w:rFonts w:eastAsia="仿宋_GB2312" w:cs="Arial"/>
              </w:rPr>
            </w:pPr>
            <w:r>
              <w:rPr>
                <w:rFonts w:eastAsia="仿宋_GB2312" w:cs="Arial"/>
              </w:rPr>
              <w:t xml:space="preserve">          15,218,047.08 </w:t>
            </w:r>
          </w:p>
        </w:tc>
      </w:tr>
    </w:tbl>
    <w:p w14:paraId="520F4248">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（四）资金投入和使用情况</w:t>
      </w:r>
    </w:p>
    <w:p w14:paraId="6A5D6B5B">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项目预算资金1,536.00万元，实际到位资金1,521.80万元，实际使用资金1,049.32万元。</w:t>
      </w:r>
    </w:p>
    <w:p w14:paraId="61F7B6C9">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（五）项目绩效目标</w:t>
      </w:r>
    </w:p>
    <w:p w14:paraId="3A47031C">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1、项目绩效总目标</w:t>
      </w:r>
    </w:p>
    <w:p w14:paraId="48DF84BD">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通过支持南岸区公立医院综合改革、医疗卫生机构能力建设、卫生健康人才培养、医疗保障服务能力建设、中医药事业传承与发展及其他医改相关工作、开展学科建设及人才队伍建设、科研等项目能力建设，提高全区医疗服务能力建设，逐步提升全区医疗服务能力技术水平，满足人民群众日益增长的卫生健康保健需求服务。</w:t>
      </w:r>
    </w:p>
    <w:p w14:paraId="0A059841">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2、项目绩效阶段性目标。</w:t>
      </w:r>
    </w:p>
    <w:p w14:paraId="3AD71AA1">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（1）健康扶贫方面：开展对口帮扶精准扶贫等健康扶贫工作，完成市区健康扶贫工作要求；</w:t>
      </w:r>
    </w:p>
    <w:p w14:paraId="240494F8">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（2）行风建设方面：开展行风建设培训，专项检查等相关工作，完成市区安排的各项纠纷工作；</w:t>
      </w:r>
    </w:p>
    <w:p w14:paraId="4F1F75FD">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3）医疗质量方面：开展重点专科建设（重点专科建设项目1个），科研项目评审（区级科研项目立项20个），等级医院创建，医疗质量安全监管（含医疗、医学检验、医学影像、药事、院感、护理、中医七个方面）；</w:t>
      </w:r>
    </w:p>
    <w:p w14:paraId="2AEBFC70">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4）人才引进和人才培养方面：引进高层次人才开展继续教育，医师资格考试全科医生、精神科医生转岗培训、住院医师规范化培训、中医药中医师带徒、技能水平竞赛（全科医生转岗培训7人、中医住院医师规范化培训5人、5次）；</w:t>
      </w:r>
    </w:p>
    <w:p w14:paraId="58C8AFBB">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（5）咨询服务购买方面：各类专项检查、年度检查及医疗机构审批，专家验收和评审经费，行政文书印制，社会稳定评估开展；</w:t>
      </w:r>
    </w:p>
    <w:p w14:paraId="333E7952">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（6）</w:t>
      </w:r>
      <w:r>
        <w:rPr>
          <w:rFonts w:hint="eastAsia" w:ascii="方正仿宋_GBK" w:eastAsia="方正仿宋_GBK"/>
          <w:lang w:eastAsia="zh-CN"/>
        </w:rPr>
        <w:t>“十四五”规划</w:t>
      </w:r>
      <w:r>
        <w:rPr>
          <w:rFonts w:hint="eastAsia" w:ascii="方正仿宋_GBK" w:eastAsia="方正仿宋_GBK"/>
        </w:rPr>
        <w:t>编制；</w:t>
      </w:r>
    </w:p>
    <w:p w14:paraId="2A56EF0A">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（7）心理服务体系建设（心理咨询室30个）。</w:t>
      </w:r>
    </w:p>
    <w:p w14:paraId="1D18314F">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二、项目预算绩效管理情况</w:t>
      </w:r>
    </w:p>
    <w:p w14:paraId="39A1643A">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（一）项目绩效评估</w:t>
      </w:r>
    </w:p>
    <w:p w14:paraId="6F86AA1F">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本项目未进行项目绩效评估。</w:t>
      </w:r>
    </w:p>
    <w:p w14:paraId="2547858C">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（二）项目绩效目标设置</w:t>
      </w:r>
    </w:p>
    <w:p w14:paraId="5D145BF8">
      <w:pPr>
        <w:pStyle w:val="6"/>
        <w:shd w:val="clear" w:color="auto" w:fill="FFFFFF"/>
        <w:spacing w:before="0" w:beforeAutospacing="0" w:after="0" w:afterAutospacing="0" w:line="600" w:lineRule="exact"/>
        <w:ind w:left="480" w:leftChars="200"/>
        <w:jc w:val="both"/>
        <w:rPr>
          <w:rFonts w:ascii="方正仿宋_GBK" w:eastAsia="方正仿宋_GBK"/>
        </w:rPr>
      </w:pPr>
      <w:r>
        <w:rPr>
          <w:rFonts w:hint="eastAsia" w:ascii="方正仿宋_GBK" w:eastAsia="方正仿宋_GBK"/>
        </w:rPr>
        <w:t>本项目绩效目标设置情况详见本报告“一、业主单位和专项资金基本情况（五）项目绩效目标”。</w:t>
      </w:r>
    </w:p>
    <w:p w14:paraId="0222E82F">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（三）项目运行监控</w:t>
      </w:r>
    </w:p>
    <w:p w14:paraId="1CE67DF8">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根据2020年10月29日区卫健委填报的《2020年度项目预算绩效运行监控表》，截至2020年9月30日，医疗服务能力提升建设项目预算执行率为88.89%，年度总体目标预计能完成。</w:t>
      </w:r>
    </w:p>
    <w:p w14:paraId="41410451">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（四）项目绩效自评及应用</w:t>
      </w:r>
    </w:p>
    <w:p w14:paraId="32A2B323">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本项目根据南岸区财政局相关文件要求，开展了绩效自评价工作，出具了绩效自评报告。根据区卫健委提供的《2020年度南岸区卫生健康委员会医疗服务能力提升建设项目绩效评价报告》，报告主要从以下方面进行阐述：项目基本情况、绩效评价指标分析情况、存在主要问题及典型事例、原因分析及改进措施。自评价结果显示，该项目达到预期绩效目标，完成情况较好。</w:t>
      </w:r>
    </w:p>
    <w:p w14:paraId="709B5A8E">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（五）项目绩效公开</w:t>
      </w:r>
    </w:p>
    <w:p w14:paraId="2C0C6D2B">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本项目未进行项目绩效公开。</w:t>
      </w:r>
    </w:p>
    <w:p w14:paraId="3B485DB5">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三、评价范围及评价期间</w:t>
      </w:r>
    </w:p>
    <w:p w14:paraId="1502D57A">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（一）评价范围</w:t>
      </w:r>
    </w:p>
    <w:p w14:paraId="6B2678FC">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根据区财政局的要求，本次对区卫健委2020年度1,536万元的医疗服务能力提升建设专项资金进行绩效评价。</w:t>
      </w:r>
    </w:p>
    <w:p w14:paraId="0D42F5FC">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（二）评价期间</w:t>
      </w:r>
    </w:p>
    <w:p w14:paraId="09B1E541">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本次评价期间为2020年度1月1日至2020年度12月31日。</w:t>
      </w:r>
    </w:p>
    <w:p w14:paraId="2DD2744C">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四、绩效评价依据、方法、指标体系及样本确定</w:t>
      </w:r>
    </w:p>
    <w:p w14:paraId="3C1FAAEF">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（一）评价依据</w:t>
      </w:r>
    </w:p>
    <w:p w14:paraId="14A311D6">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1、《中华人民共和国预算法》；</w:t>
      </w:r>
    </w:p>
    <w:p w14:paraId="4AEA90DA">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2、中共中央、国务院《关于全面实施预算绩效管理的意见》（中发〔2018〕34号）；</w:t>
      </w:r>
    </w:p>
    <w:p w14:paraId="28EAFE83">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3、财政部《关于印发项目支出绩效评价管理办法的通知》（财预〔2020〕10号）；</w:t>
      </w:r>
    </w:p>
    <w:p w14:paraId="6B1613DB">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4、中共重庆市委、重庆市人民政府《关于全面实施预算绩效管理的意见》（渝委发〔2019〕12号）；</w:t>
      </w:r>
    </w:p>
    <w:p w14:paraId="1CBA809A">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5、重庆市财政局《关于印发重庆市市级政策和项目预算绩效管理办法（试行）的通知》（渝财绩〔2019〕19号）；</w:t>
      </w:r>
    </w:p>
    <w:p w14:paraId="4C173E7C">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7、南岸区财政局《南岸区政策和项目预算绩效管理办法 （试行）》（南岸财文〔2020〕471 号）；</w:t>
      </w:r>
    </w:p>
    <w:p w14:paraId="2843D1EE">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8、南岸区财政局《关于开展2021年预算绩效管理工作的通知》（南岸财文〔2021〕88号）；</w:t>
      </w:r>
    </w:p>
    <w:p w14:paraId="597B0638">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9、重庆市卫生健康委员会、重庆市科学技术局《关于申报2019 年科卫联合医学科研项目的通知》（渝卫发〔2019〕19 号）、重庆市卫生和计划生育委员会办公室《关于印发进一步改善医疗服务行动计划（2018-2020年）实施方案的通知》、重庆市卫生和计划生育委员会、重庆市财政局《关于2017年重庆市临床重点专科建设项目有关事项的通知》（渝卫发〔2017〕61号）、重庆市卫生健康委员会办公室《重庆市2019年深入贯彻落实进一步改善医疗服务行动计划重点工作方案》；</w:t>
      </w:r>
    </w:p>
    <w:p w14:paraId="7B991A5A">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10、其他相关资料。</w:t>
      </w:r>
    </w:p>
    <w:p w14:paraId="486F0D69">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（二）评价方法</w:t>
      </w:r>
    </w:p>
    <w:p w14:paraId="0848AA03">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为了顺利完成本次绩效评价任务，评价小组采用的工作方法包括：</w:t>
      </w:r>
    </w:p>
    <w:p w14:paraId="6AE4D8A8">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1、案卷调查</w:t>
      </w:r>
    </w:p>
    <w:p w14:paraId="1F394DDA">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对项目文件进行深入研究、比较和分析，涉及的文件资料包括：项目申请资料、相关制度文件、相关财务核算资料等。</w:t>
      </w:r>
    </w:p>
    <w:p w14:paraId="3911B200">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2、访谈询问</w:t>
      </w:r>
    </w:p>
    <w:p w14:paraId="3B50F5CF">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由评价小组项目负责人及经办人进行访谈询问，了解项目情况。</w:t>
      </w:r>
    </w:p>
    <w:p w14:paraId="70410CE9">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3、审计核查</w:t>
      </w:r>
    </w:p>
    <w:p w14:paraId="3CDED3C3">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由评价小组对资金拨付、专项资金申请资料及专项资金使用资料进行审计核查，核查申请对象的合规性及专项资金发放的及时性、准确性。</w:t>
      </w:r>
    </w:p>
    <w:p w14:paraId="5908BBE1">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4、问卷调查</w:t>
      </w:r>
    </w:p>
    <w:p w14:paraId="4C020BB8">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由评价小组设定调查问卷，针对受益对象进行访问调查。</w:t>
      </w:r>
    </w:p>
    <w:p w14:paraId="5924AE79">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综上，评价小组通过多渠道、多层面获取关于项目立项、实施、运行与管理的信息，对项目案卷进行认真梳理，回答关键问题，汇总评分并形成评价报告。</w:t>
      </w:r>
    </w:p>
    <w:p w14:paraId="7F994B67">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（三）评价指标体系</w:t>
      </w:r>
    </w:p>
    <w:p w14:paraId="0E0E565F">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 xml:space="preserve">根据南岸区财政局《关于开展2021年预算绩效管理工作的通知》（南岸财文〔2021〕88号）等文件规定，结合被评价项目的实际情况，将评价指标体系分为4个一级指标、6个二级指标、14个三级指标，29个四级指标，并根据各项指标的重要性，赋予了适当的分值及评价得分标准。 </w:t>
      </w:r>
    </w:p>
    <w:p w14:paraId="58DB6679">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该指标体系分为四大类，总分值100分。第一类指标为投入类指标，主要包括项目立项、资金落实相关内容，共有6个四级指标，指标分值10分；第二类指标为管理类指标，包括业务管理、财务管理类指标，共有6个四级指标，指标分值25分；第三类指标为产出类指标，主要包括产出数量、产出成本，共有7个四级指标，指标分值29分；第四类指标为效益类指标，包括社会效益、可持续影响、社会公众或服务对象满意度，共有10个四级指标，指标分值36分。</w:t>
      </w:r>
    </w:p>
    <w:p w14:paraId="56864DF6">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指标得分原则：一、二、三级指标分别为二、三、四级指标的加总，具体评分落实到第四级指标。第四指标的分值情况：一般分为三个档次，即满分档、扣分挡和零分档。</w:t>
      </w:r>
    </w:p>
    <w:p w14:paraId="6864519F">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各档次得分情况：满分档，该档得分反映项目指标完成较好；定量指标，达到目标确定的标准的，计满分；低于目标确定的标准，偏离度在10%以内，按照该指标分值权重平均扣分；偏离度超过10%的，不得分。定性指标全部或基本达成预期指标的，计相应权重80%以上的分值；部分达成预期指标并具有一定效果的，计相应权重60%以上且低于80%的分值；未达成预期指标或效果较差的，不得分，具体指标及得分标准见后附明细表。</w:t>
      </w:r>
    </w:p>
    <w:p w14:paraId="61BABA7F">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（四）评价样本确定</w:t>
      </w:r>
    </w:p>
    <w:p w14:paraId="4AC029CE">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医疗服务能力建设提升项目资金涉及多类用途或多个受益对象，为确保评价内容完整、评价重点突出、评价结果客观，我们从预算资金占比大、建设服务内容多、综合性医院、特色专科医院等角度出发，选取了5家单位作为评价样本，分别为重庆市第五人民医院、重庆市南岸区精神卫生中心、区卫健委、重庆市南岸区疾病预防控制中心、重庆市南岸区妇幼保健计划生育服务中心，评价样本单位资金到位金额合计1,473.83万元，占项目到位资金的比率为96.85%。</w:t>
      </w:r>
    </w:p>
    <w:p w14:paraId="752EEADB">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五、组织实施情况</w:t>
      </w:r>
    </w:p>
    <w:p w14:paraId="6ED90CF7">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（一）前期准备</w:t>
      </w:r>
    </w:p>
    <w:p w14:paraId="17D77738">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 xml:space="preserve">一是根据《重庆市市级政策和项目预算绩效管理办法》的规定，我公司组成了包括项目负责人、专业会计人员、相关技术人员在内的绩效评价工作小组。二是按照项目的性质和特点，结合小组人员结构，进行了明确的职责分工。三是由项目负责人组织全组人员，集中学习项目有关的法规、政策、文件，熟悉项目情况。四是制定了绩效评价方案，明确了绩效评价的目标、评价技术线路、评价依据、指标体系架构以及指标分值分配原则等。 </w:t>
      </w:r>
    </w:p>
    <w:p w14:paraId="08644880">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（二）组织实施</w:t>
      </w:r>
    </w:p>
    <w:p w14:paraId="371F38D6">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 xml:space="preserve">1、收集整理资料。一是收集绩效评价的依据资料，主要包括国家相关法律法规及规章制度、各级政府制定的国民经济与社会发展规划和方针政策、财政专项资金和财务管理办法、各项财政部门的绩效评价管理制度等、项目立项及报批资料、项目建设资料、财务会计资料、绩效自评报告等；二是对收集的各种资料进行归集、整理，对不完整的资料要求项目单位及时补充完善；三是对项目的决策、过程、产出、效益等情况进行了初步审核、综合分析。 </w:t>
      </w:r>
    </w:p>
    <w:p w14:paraId="65E53FA0">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 xml:space="preserve">2、制订指标体系。依据项目性质、要求和绩效评价的侧重点，综合各子项目指标体系，制订指标体系，确定评分标准、权重分值、评分办法，并征求委托机构、有关专家、项目主管部门意见后，最终确立评价指标体系和评分标准。 </w:t>
      </w:r>
    </w:p>
    <w:p w14:paraId="2FDF8D26">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 xml:space="preserve">3、分析评价。评价小组通过检查项目财务资料、核实项目完成情况、询问相关人员等方式，获得项目指标评分的基础数据，按照指标体系逐项评分。再将各项明细指标的得分加总，得出总分。 </w:t>
      </w:r>
    </w:p>
    <w:p w14:paraId="1507A8AB">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 xml:space="preserve">4、形成评价结论。按照最后确定的评价分值和初评报告，确定评价等次，形成正式评价报告，交有关部门和单位应用。 </w:t>
      </w:r>
    </w:p>
    <w:p w14:paraId="1830560E">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 xml:space="preserve">六、绩效评价指标分析  </w:t>
      </w:r>
    </w:p>
    <w:p w14:paraId="7A9754C3">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（一）投入类指标情况分析</w:t>
      </w:r>
    </w:p>
    <w:p w14:paraId="02D36AC6">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投入类指标，主要包括项目立项、资金落实相关内容，共有5个三级指标，6个四级指标，指标分值10分。</w:t>
      </w:r>
    </w:p>
    <w:p w14:paraId="3389EEDA">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1、决策过程</w:t>
      </w:r>
    </w:p>
    <w:p w14:paraId="28E301BA">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决策过程主要从决策依据和决策程序两方面进行评价。</w:t>
      </w:r>
    </w:p>
    <w:p w14:paraId="2DADF25D">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医疗服务能力提升建设项目符合重庆市卫生和计划生育委员会办公室《关于印发进一步改善医疗服务行动计划（2018-2020年）实施方案的通知》、重庆市卫生和计划生育委员会等4部门《关于印发基层中医药服务能力提升工程“十三五”行动计划实施方案的通知》等相关政策文件要求，且与区卫健委职责范围相符。项目申报、批复程序符合相关管理办法。</w:t>
      </w:r>
    </w:p>
    <w:p w14:paraId="2BF37A7D">
      <w:pPr>
        <w:pStyle w:val="6"/>
        <w:shd w:val="clear" w:color="auto" w:fill="FFFFFF"/>
        <w:spacing w:before="0" w:beforeAutospacing="0" w:after="0" w:afterAutospacing="0" w:line="600" w:lineRule="exact"/>
        <w:jc w:val="both"/>
        <w:rPr>
          <w:rFonts w:ascii="方正仿宋_GBK" w:eastAsia="方正仿宋_GBK"/>
        </w:rPr>
      </w:pPr>
      <w:r>
        <w:rPr>
          <w:rFonts w:hint="eastAsia" w:ascii="方正仿宋_GBK" w:eastAsia="方正仿宋_GBK"/>
        </w:rPr>
        <w:t>此项指标满分2分，得2分。</w:t>
      </w:r>
    </w:p>
    <w:p w14:paraId="18ECD0D6">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2、绩效目标合理性</w:t>
      </w:r>
    </w:p>
    <w:p w14:paraId="1ACE424C">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区卫健委绩效目标设置与其职能职责密切相关，预期产出效益符合正常水平。</w:t>
      </w:r>
    </w:p>
    <w:p w14:paraId="1A104E8B">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此项指标满分2分，得2分。</w:t>
      </w:r>
    </w:p>
    <w:p w14:paraId="58A871F8">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3、绩效指标明确性</w:t>
      </w:r>
    </w:p>
    <w:p w14:paraId="1F9246DC">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通过查阅医疗服务能力提升建设绩效申报表，区卫健委在重点专科建设、科研项目立项、住院医师规范化培训等方面设置了可量化的绩效目标，但在行风建设、对口帮扶精准扶贫方面未设置绩效指标，指标设置不够完善。</w:t>
      </w:r>
    </w:p>
    <w:p w14:paraId="26CF255B">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此项指标满分2分，得1分。</w:t>
      </w:r>
    </w:p>
    <w:p w14:paraId="3126921E">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4、资金到位率</w:t>
      </w:r>
    </w:p>
    <w:p w14:paraId="0F2C85ED">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本项目预算资金1,536万元，实际到位资金1,521.80万元，到位率99.08%。</w:t>
      </w:r>
    </w:p>
    <w:p w14:paraId="353DE1AE">
      <w:pPr>
        <w:pStyle w:val="6"/>
        <w:shd w:val="clear" w:color="auto" w:fill="FFFFFF"/>
        <w:spacing w:before="0" w:beforeAutospacing="0" w:after="0" w:afterAutospacing="0" w:line="600" w:lineRule="exact"/>
        <w:jc w:val="both"/>
        <w:rPr>
          <w:rFonts w:ascii="方正仿宋_GBK" w:eastAsia="方正仿宋_GBK"/>
        </w:rPr>
      </w:pPr>
      <w:r>
        <w:rPr>
          <w:rFonts w:hint="eastAsia" w:ascii="方正仿宋_GBK" w:eastAsia="方正仿宋_GBK"/>
        </w:rPr>
        <w:t>此项指标满分2分，得2分。</w:t>
      </w:r>
    </w:p>
    <w:p w14:paraId="6AF4FDE7">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5、资金到位及时率</w:t>
      </w:r>
    </w:p>
    <w:p w14:paraId="2E20E1E6">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本项目下达计划指标1,521.80万元后，及时拨付，无拖延情况，资金到位及时率100%。</w:t>
      </w:r>
    </w:p>
    <w:p w14:paraId="451831BC">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此项指标满分2分，得2分。</w:t>
      </w:r>
    </w:p>
    <w:p w14:paraId="56296007">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（二）管理类指标情况分析</w:t>
      </w:r>
    </w:p>
    <w:p w14:paraId="4BC55896">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管理类指标，主要包括业务管理、财务管理相关内容，共有4个三级指标，6个四级指标，指标分值25分。</w:t>
      </w:r>
    </w:p>
    <w:p w14:paraId="62468559">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1、业务管理制度健全性</w:t>
      </w:r>
    </w:p>
    <w:p w14:paraId="7AA1F855">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区卫健委各委属单位负责职责范围内的卫生健康工作，对专项工作制定实施方案，严格按照实施方案进行，实施方案对工作目标、工作任务、经费预算等做了详尽要求，管理制度合法、合规、相对健全。如区疾病预防控制中心制定了《2020年重庆市南岸区慢性病及其危险因素监测方案》、《重庆市南岸区2020年艾滋病丙肝性病防治工作方案》等；区妇幼保健院按照《南岸区高危孕产妇预警管理、救治和转诊工作实施方案（修订版）》 等执行。</w:t>
      </w:r>
    </w:p>
    <w:p w14:paraId="01882D43">
      <w:pPr>
        <w:pStyle w:val="6"/>
        <w:shd w:val="clear" w:color="auto" w:fill="FFFFFF"/>
        <w:spacing w:before="0" w:beforeAutospacing="0" w:after="0" w:afterAutospacing="0" w:line="600" w:lineRule="exact"/>
        <w:jc w:val="both"/>
        <w:rPr>
          <w:rFonts w:ascii="方正仿宋_GBK" w:eastAsia="方正仿宋_GBK"/>
        </w:rPr>
      </w:pPr>
      <w:r>
        <w:rPr>
          <w:rFonts w:hint="eastAsia" w:ascii="方正仿宋_GBK" w:eastAsia="方正仿宋_GBK"/>
        </w:rPr>
        <w:t>此项指标满分5分，得5分。</w:t>
      </w:r>
    </w:p>
    <w:p w14:paraId="50984D18">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2、业务制度执行有效性</w:t>
      </w:r>
    </w:p>
    <w:p w14:paraId="3897FE6D">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项目实施符合方案要求或相关制度，通过查阅凭证、合同及相关归档资料，并进行调研访谈，项目合同书、验收报告、技术鉴定等资料齐全并及时归档，项目实施的人员条件、场地设备、信息支撑等落实到位，制度得到良好执行。</w:t>
      </w:r>
    </w:p>
    <w:p w14:paraId="668F2F50">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此项指标满分5分，得5分。</w:t>
      </w:r>
    </w:p>
    <w:p w14:paraId="6AD952F1">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3、财务管理制度健全性</w:t>
      </w:r>
    </w:p>
    <w:p w14:paraId="491965C7">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区卫健委制订了《资金管理办法》（南卫计发〔2018〕470号）和《专项资金管理暂行办法（试行）》（南卫计发〔2018〕489号），从制度上加强资金监管，规范预算执行管理，确保补助资金专款专用，坚持“专项管理、资金管理和业务管理三位一体”的原则。项目实施单位设有项目辅助账，对各项目资金进行独立核算，专款专用，无支出依据不合规、虚列项目支出的情况；且区卫健委制订了《财务定期巡查制度》（南卫计发〔2018〕292号），定期对各委属单位进行巡查，并督促其落实整改措施。财务管理制度相对健全。</w:t>
      </w:r>
    </w:p>
    <w:p w14:paraId="5B03484F">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此项指标满分5分，得5分。</w:t>
      </w:r>
    </w:p>
    <w:p w14:paraId="3F165502">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4、资金使用合规性</w:t>
      </w:r>
    </w:p>
    <w:p w14:paraId="2D61EDA7">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资金使用合规性从资金执行率、项目实施手续、项目资金支付方面进行分析。</w:t>
      </w:r>
    </w:p>
    <w:p w14:paraId="627B3231">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①医疗服务能力提升建设项目到位资金1,521.80万元，实际使用资金1,049.32万元，资金执行率较低，仅68.95%，扣6分。</w:t>
      </w:r>
    </w:p>
    <w:p w14:paraId="09887A57">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②通过查阅被抽样单位的支出明细及凭证，凭证票据及佐证资料充分、合规、完整。</w:t>
      </w:r>
    </w:p>
    <w:p w14:paraId="318C7EC8">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③资金支付有完整的审批程序，符合项目预算或合同规定的用途。</w:t>
      </w:r>
    </w:p>
    <w:p w14:paraId="05E5A2A2">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此项指标满分10分，得4分。</w:t>
      </w:r>
    </w:p>
    <w:p w14:paraId="16AFC6A0">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（三）产出类指标情况分析</w:t>
      </w:r>
    </w:p>
    <w:p w14:paraId="388F44EF">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产出类指标，主要包括产出数量、产出成本相关内容，共有2个三级指标，7个四级指标，指标分值29分。</w:t>
      </w:r>
    </w:p>
    <w:p w14:paraId="4A16348D">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1、产出数量</w:t>
      </w:r>
    </w:p>
    <w:p w14:paraId="60C909F4">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①完成了重庆市第五人民医院重点专科检验科立项，市级重点专科心内科评估验收，完成率100%。加大了对临床重点专科建设的支持，提升了科室整体实力，</w:t>
      </w:r>
      <w:r>
        <w:rPr>
          <w:rFonts w:hint="eastAsia" w:ascii="方正仿宋_GBK" w:eastAsia="方正仿宋_GBK"/>
          <w:lang w:eastAsia="zh-CN"/>
        </w:rPr>
        <w:t>更好地为</w:t>
      </w:r>
      <w:r>
        <w:rPr>
          <w:rFonts w:hint="eastAsia" w:ascii="方正仿宋_GBK" w:eastAsia="方正仿宋_GBK"/>
        </w:rPr>
        <w:t>人民群众日益增长的医疗需求服务。</w:t>
      </w:r>
    </w:p>
    <w:p w14:paraId="1C99A212">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②完成区级科研项目立项19个，完成率95%，扣2分。立项项目分别为重庆医科大学附属第二医院江南分院2个；重庆市东南医院2个；重庆市第五人民医院3个；南岸区精神卫生中心1个；南岸区妇幼保健院1个；重庆爱尔麦格眼科医院2个；重庆市职业病防治院3个；重庆市南岸区疾病预防控制中心3个；重庆市南岸区鸡冠石镇卫生院1个；重庆市南岸区人民医院1个。科研课题项目的立项为建立高素质医学团队打下了坚实的人才基础，提升了医疗工作人员的科研能力。</w:t>
      </w:r>
    </w:p>
    <w:p w14:paraId="05BB214F">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③完成全科医生转岗培训9人，完成率100%。分别为重庆市第五人民医院2人、南岸区中医院4人、重庆邮电大学医院1人等。</w:t>
      </w:r>
    </w:p>
    <w:p w14:paraId="45FDA239">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④完成全区在编人员接受中医住院医师规范化培训，实际培训人数8人，完成率100%。</w:t>
      </w:r>
    </w:p>
    <w:p w14:paraId="09DAF05E">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⑤全区在编人员接受中医住院医师规范化培训5次，完成率100%。</w:t>
      </w:r>
    </w:p>
    <w:p w14:paraId="505E7CDD">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⑥在村（社区）建立心理咨询室或社会工作室30个，完成率100%。</w:t>
      </w:r>
    </w:p>
    <w:p w14:paraId="3D2BD29A">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此项指标满分24分，得22分。</w:t>
      </w:r>
    </w:p>
    <w:p w14:paraId="560D64D4">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2、产出成本</w:t>
      </w:r>
    </w:p>
    <w:p w14:paraId="7EA22CDE">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区卫健委成立南岸区医疗、护理、院感、药事、检验、影像、中医等共七个医疗专业质量管理中心，其中南岸区中医医疗质量管理中心挂靠在区中医院，负责全区中医临床、中医病案、中医院感、中医护理、中药药事等专业的质量管理、指导和患者医疗安全保障。医疗、护理、院感、药事、检验、影响等6个质量中心，每个质量中心拨付经费3万元，中医质量管理中心内设5个小组，每个小组1万元。提高了南岸区医疗、护理、院感、药事、检验、影像、中医的质量管理与控制工作，健全了医疗质量管理体系，加强了医疗质量管理能力。</w:t>
      </w:r>
    </w:p>
    <w:p w14:paraId="62DA1549">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此项指标满分5分，得5分。</w:t>
      </w:r>
    </w:p>
    <w:p w14:paraId="64D16B68">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（四）效益类指标分析</w:t>
      </w:r>
    </w:p>
    <w:p w14:paraId="1D0F3C8C">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效益类指标，主要包括社会效益、可持续影响、社会公众或服务对象满意度相关内容，共有3个三级指标，10个四级指标，指标分值36分。</w:t>
      </w:r>
    </w:p>
    <w:p w14:paraId="6B7680CF">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1.社会效益。</w:t>
      </w:r>
    </w:p>
    <w:p w14:paraId="7CAD08D0">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①新增民营医院重庆康达医院，完成执业登记营业。重庆康达医院的设立对整体提高南岸四至七公里的医疗服务水平、满足辖区居民看病就医需求有良好的带动作用。此项满分3分，得3分。</w:t>
      </w:r>
    </w:p>
    <w:p w14:paraId="616F6721">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②区卫健委及其下属单位以提升基层医疗机构服务能力为核心，完善重点学科建设，提升人才梯队和卫生科技水平，不断提高基层医院的整体服务能力，对提升全区各级各类医疗机构医疗质量和医疗服务水平较为显著，但通过调查问卷了解到，社会公众仍然认为“看病难”问题严峻，主要集中为“候诊时间长、优质医疗集中在发达城市、医护人员态度差”等问题。此项满分3分，扣1分。</w:t>
      </w:r>
    </w:p>
    <w:p w14:paraId="25C9814B">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③区精神卫生中心建立了南岸区心理服务中心，通过向看守所、学校开展讲座以及在社区、广场等进行心理知识普及活动进行宣传，普及了城市、农村普通人群心理健康核心知识知晓度。经南岸区心理服务中心对南岸区居民进行问卷调查统计，心理健康核心知识知晓率达40.36%，未达预期知晓率50%。此项满分3分，扣1分。</w:t>
      </w:r>
    </w:p>
    <w:p w14:paraId="4FEE2CC3">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④提升辖区群众对中医药服务的知晓率。2020年区卫健委在宏声广场举办了大型中医中药中国行系列宣传活动，通过中医药宣传资料和中医药健康教育处方发放、中医药健康咨询、中医药健康管理、中医药互动体验、中医专家义诊、中医养生操表演等现场活动推广中医药文化宣传，发放宣传资料2000多册，专家义诊人次800多人，提升了医务工作者和人民群众对中医药的关注。重庆市第八十四中学校和南岸区文峰小学校通过开展中医药文化长廊打造、中药材种植、中医药专家进校园指导、中小学生中医药知识读本采购等工作，将中医药文化带入校园学习、深入学生家庭。此项满分3分，得3分。</w:t>
      </w:r>
    </w:p>
    <w:p w14:paraId="456F89AF">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⑤提升受援医院诊疗水平和医疗质量，促使优质资源下沉。2020年区卫健委持续深入推进对口帮扶工作，从开展医疗帮扶、加强疾病预防控制和应急技术指导和培训、加强监督执法和检测培训指导三个方面入手，对石柱县受援单位开展技术指导；接收石柱县卫生健康委员会选派的2名医务人员赴重庆市第五人民医院和南岸区中医院进修培训；拨付19.8万元帮扶资金至石柱县对口帮扶。此项满分3分，扣1分。</w:t>
      </w:r>
    </w:p>
    <w:p w14:paraId="0FD1D57C">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⑥推进医疗保障系统行风建设，改善服务作风，增强群众获得感。区卫健委以问题导向，加强个案警示教育，针对重庆奥妃整形美容门诊部被投诉“套路贷”问题，召开全区医疗美容机构警示教育会；加强违规行为排查，开展全区医疗机构和医务人员违规参与推销活动排查工作；加强医疗质量监督，根据区医保局问题移交会同区卫生监督综合执法支队出动12人次对3家医疗机构开展检查，进一步核实移交的问题，并适时采取相应措施，督促各医疗机构加强医疗质量管理；加强医疗广告审批和义诊备案，医疗广告审批4家，义诊备案3家3次。通过调查问卷了解到社会公众认为医疗卫生方面存在医护人员服务态度不好、医生不称职等现象。因此，此项满分3分，扣1分。</w:t>
      </w:r>
    </w:p>
    <w:p w14:paraId="7406E23E">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此项指标满分18分，得14分。</w:t>
      </w:r>
    </w:p>
    <w:p w14:paraId="03792346">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2、可持续影响。</w:t>
      </w:r>
    </w:p>
    <w:p w14:paraId="263A419F">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①提高严重精神障碍患者病情服务率，降低严重精神障碍患者肇事肇祸风险。2019年度南岸区严重精神障碍患者在册人数3503人，服药率为74.96%；2020年度南岸区严重精神障碍患者在册人数3532人，服药率为84.26%，服药率有了较大提升。患者是否规律服药与严重精神障碍患者肇事肇祸案（事）件息息相关，通过提高服药率保持了患者的病情稳定，降低疾病复发及肇事肇祸风险。</w:t>
      </w:r>
    </w:p>
    <w:p w14:paraId="6F8170E6">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②提升群众对中医药的认同感，使中医药服务更深入人心；推进中医人才培养，促进中医药专业技术人员执业规范。区卫健委通过加强中医文化科普宣传、对中医住院医师进行规范化培训、建立中医质量管理中心等方式，促进民众对中医中药的消费认知，提升医疗工作者的中医药服务能力和水平，</w:t>
      </w:r>
      <w:r>
        <w:rPr>
          <w:rFonts w:hint="eastAsia" w:ascii="方正仿宋_GBK" w:eastAsia="方正仿宋_GBK"/>
          <w:lang w:eastAsia="zh-CN"/>
        </w:rPr>
        <w:t>更好地为</w:t>
      </w:r>
      <w:r>
        <w:rPr>
          <w:rFonts w:hint="eastAsia" w:ascii="方正仿宋_GBK" w:eastAsia="方正仿宋_GBK"/>
        </w:rPr>
        <w:t>群众提供优质的中医药服务。</w:t>
      </w:r>
    </w:p>
    <w:p w14:paraId="5DEA6CE7">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此项指标满分8分，得8分。</w:t>
      </w:r>
    </w:p>
    <w:p w14:paraId="28E9BE75">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3.社会公众或服务对象满意度。</w:t>
      </w:r>
    </w:p>
    <w:p w14:paraId="35EAC9F9">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①社会公众：通过向社会公众发放调查问卷了解，社会公众对医疗服务能力提升补助资金项目满意度一般，其中满意度高占比3.77%，满意度较高占比35.85%，满意度一般占比56.60%，不满意占比3.78%。此项满分5分，得1.83分。</w:t>
      </w:r>
    </w:p>
    <w:p w14:paraId="03E6576B">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②医疗工作人员：通过向医疗工作人员发放调查问卷了解，医疗工作人员对医疗服务能力提升补助资金项目满意度较高，其中满意度高占比34.7%，满意度较高占比48%，一般占比17.3%。此项满分5分，得3.35分。</w:t>
      </w:r>
    </w:p>
    <w:p w14:paraId="731606DC">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此项满分10分，得5.18分。</w:t>
      </w:r>
    </w:p>
    <w:p w14:paraId="24702768">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七、绩效评价结论</w:t>
      </w:r>
    </w:p>
    <w:p w14:paraId="3297EAA0">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（一）评价结果判定</w:t>
      </w:r>
    </w:p>
    <w:p w14:paraId="0FD62424">
      <w:pPr>
        <w:ind w:firstLine="480" w:firstLineChars="200"/>
        <w:rPr>
          <w:rFonts w:ascii="方正仿宋_GBK" w:eastAsia="方正仿宋_GBK"/>
        </w:rPr>
      </w:pPr>
      <w:r>
        <w:rPr>
          <w:rFonts w:hint="eastAsia" w:ascii="方正仿宋_GBK" w:eastAsia="方正仿宋_GBK"/>
        </w:rPr>
        <w:t>在整个对财政专项资金绩效进行评价的过程中：投入(A)占10%、管理 (B)占25%、产出（C）占29%、效益（D）占36%。每类指标及其子指标分值已经在附表1中给出了具体明细，各子指标项得分汇总后可得项目最终绩效评价分数(S)。其通用公式为：</w:t>
      </w:r>
    </w:p>
    <w:p w14:paraId="579DC162">
      <w:pPr>
        <w:rPr>
          <w:rFonts w:hAnsi="Cambria Math" w:eastAsia="仿宋_GB2312"/>
          <w:szCs w:val="21"/>
        </w:rPr>
      </w:pPr>
      <m:oMathPara>
        <m:oMath>
          <m:r>
            <m:rPr/>
            <w:rPr>
              <w:rFonts w:ascii="Cambria Math" w:hAnsi="Cambria Math" w:eastAsia="仿宋_GB2312"/>
              <w:szCs w:val="21"/>
            </w:rPr>
            <m:t>S=</m:t>
          </m:r>
          <m:nary>
            <m:naryPr>
              <m:chr m:val="∑"/>
              <m:grow m:val="1"/>
              <m:limLoc m:val="undOvr"/>
              <m:ctrlPr>
                <w:rPr>
                  <w:rFonts w:ascii="Cambria Math" w:hAnsi="Cambria Math" w:eastAsia="仿宋_GB2312"/>
                  <w:i/>
                  <w:szCs w:val="21"/>
                </w:rPr>
              </m:ctrlPr>
            </m:naryPr>
            <m:sub>
              <m:r>
                <m:rPr/>
                <w:rPr>
                  <w:rFonts w:ascii="Cambria Math" w:hAnsi="Cambria Math" w:eastAsia="仿宋_GB2312"/>
                  <w:szCs w:val="21"/>
                </w:rPr>
                <m:t>i=1</m:t>
              </m:r>
              <m:ctrlPr>
                <w:rPr>
                  <w:rFonts w:ascii="Cambria Math" w:hAnsi="Cambria Math" w:eastAsia="仿宋_GB2312"/>
                  <w:i/>
                  <w:szCs w:val="21"/>
                </w:rPr>
              </m:ctrlPr>
            </m:sub>
            <m:sup>
              <m:r>
                <m:rPr/>
                <w:rPr>
                  <w:rFonts w:ascii="Cambria Math" w:hAnsi="Cambria Math" w:eastAsia="仿宋_GB2312"/>
                  <w:szCs w:val="21"/>
                </w:rPr>
                <m:t>n</m:t>
              </m:r>
              <m:ctrlPr>
                <w:rPr>
                  <w:rFonts w:ascii="Cambria Math" w:hAnsi="Cambria Math" w:eastAsia="仿宋_GB2312"/>
                  <w:i/>
                  <w:szCs w:val="21"/>
                </w:rPr>
              </m:ctrlPr>
            </m:sup>
            <m:e>
              <m:sSub>
                <m:sSubPr>
                  <m:ctrlPr>
                    <w:rPr>
                      <w:rFonts w:ascii="Cambria Math" w:hAnsi="Cambria Math" w:eastAsia="仿宋_GB2312"/>
                      <w:i/>
                      <w:szCs w:val="21"/>
                    </w:rPr>
                  </m:ctrlPr>
                </m:sSubPr>
                <m:e>
                  <m:r>
                    <m:rPr/>
                    <w:rPr>
                      <w:rFonts w:ascii="Cambria Math" w:hAnsi="Cambria Math" w:eastAsia="仿宋_GB2312"/>
                      <w:szCs w:val="21"/>
                    </w:rPr>
                    <m:t>A</m:t>
                  </m:r>
                  <m:ctrlPr>
                    <w:rPr>
                      <w:rFonts w:ascii="Cambria Math" w:hAnsi="Cambria Math" w:eastAsia="仿宋_GB2312"/>
                      <w:i/>
                      <w:szCs w:val="21"/>
                    </w:rPr>
                  </m:ctrlPr>
                </m:e>
                <m:sub>
                  <m:r>
                    <m:rPr/>
                    <w:rPr>
                      <w:rFonts w:ascii="Cambria Math" w:hAnsi="Cambria Math" w:eastAsia="仿宋_GB2312"/>
                      <w:szCs w:val="21"/>
                    </w:rPr>
                    <m:t>i</m:t>
                  </m:r>
                  <m:ctrlPr>
                    <w:rPr>
                      <w:rFonts w:ascii="Cambria Math" w:hAnsi="Cambria Math" w:eastAsia="仿宋_GB2312"/>
                      <w:i/>
                      <w:szCs w:val="21"/>
                    </w:rPr>
                  </m:ctrlPr>
                </m:sub>
              </m:sSub>
              <m:ctrlPr>
                <w:rPr>
                  <w:rFonts w:ascii="Cambria Math" w:hAnsi="Cambria Math" w:eastAsia="仿宋_GB2312"/>
                  <w:i/>
                  <w:szCs w:val="21"/>
                </w:rPr>
              </m:ctrlPr>
            </m:e>
          </m:nary>
          <m:r>
            <m:rPr/>
            <w:rPr>
              <w:rFonts w:ascii="Cambria Math" w:hAnsi="Cambria Math" w:eastAsia="仿宋_GB2312"/>
              <w:szCs w:val="21"/>
            </w:rPr>
            <m:t>+</m:t>
          </m:r>
          <m:nary>
            <m:naryPr>
              <m:chr m:val="∑"/>
              <m:grow m:val="1"/>
              <m:limLoc m:val="undOvr"/>
              <m:ctrlPr>
                <w:rPr>
                  <w:rFonts w:ascii="Cambria Math" w:hAnsi="Cambria Math" w:eastAsia="仿宋_GB2312"/>
                  <w:i/>
                  <w:szCs w:val="21"/>
                </w:rPr>
              </m:ctrlPr>
            </m:naryPr>
            <m:sub>
              <m:r>
                <m:rPr/>
                <w:rPr>
                  <w:rFonts w:ascii="Cambria Math" w:hAnsi="Cambria Math" w:eastAsia="仿宋_GB2312"/>
                  <w:szCs w:val="21"/>
                </w:rPr>
                <m:t>i=1</m:t>
              </m:r>
              <m:ctrlPr>
                <w:rPr>
                  <w:rFonts w:ascii="Cambria Math" w:hAnsi="Cambria Math" w:eastAsia="仿宋_GB2312"/>
                  <w:i/>
                  <w:szCs w:val="21"/>
                </w:rPr>
              </m:ctrlPr>
            </m:sub>
            <m:sup>
              <m:r>
                <m:rPr/>
                <w:rPr>
                  <w:rFonts w:ascii="Cambria Math" w:hAnsi="Cambria Math" w:eastAsia="仿宋_GB2312"/>
                  <w:szCs w:val="21"/>
                </w:rPr>
                <m:t>n</m:t>
              </m:r>
              <m:ctrlPr>
                <w:rPr>
                  <w:rFonts w:ascii="Cambria Math" w:hAnsi="Cambria Math" w:eastAsia="仿宋_GB2312"/>
                  <w:i/>
                  <w:szCs w:val="21"/>
                </w:rPr>
              </m:ctrlPr>
            </m:sup>
            <m:e>
              <m:sSub>
                <m:sSubPr>
                  <m:ctrlPr>
                    <w:rPr>
                      <w:rFonts w:ascii="Cambria Math" w:hAnsi="Cambria Math" w:eastAsia="仿宋_GB2312"/>
                      <w:i/>
                      <w:szCs w:val="21"/>
                    </w:rPr>
                  </m:ctrlPr>
                </m:sSubPr>
                <m:e>
                  <m:r>
                    <m:rPr/>
                    <w:rPr>
                      <w:rFonts w:ascii="Cambria Math" w:hAnsi="Cambria Math" w:eastAsia="仿宋_GB2312"/>
                      <w:szCs w:val="21"/>
                    </w:rPr>
                    <m:t>B</m:t>
                  </m:r>
                  <m:ctrlPr>
                    <w:rPr>
                      <w:rFonts w:ascii="Cambria Math" w:hAnsi="Cambria Math" w:eastAsia="仿宋_GB2312"/>
                      <w:i/>
                      <w:szCs w:val="21"/>
                    </w:rPr>
                  </m:ctrlPr>
                </m:e>
                <m:sub>
                  <m:r>
                    <m:rPr/>
                    <w:rPr>
                      <w:rFonts w:ascii="Cambria Math" w:hAnsi="Cambria Math" w:eastAsia="仿宋_GB2312"/>
                      <w:szCs w:val="21"/>
                    </w:rPr>
                    <m:t>i</m:t>
                  </m:r>
                  <m:ctrlPr>
                    <w:rPr>
                      <w:rFonts w:ascii="Cambria Math" w:hAnsi="Cambria Math" w:eastAsia="仿宋_GB2312"/>
                      <w:i/>
                      <w:szCs w:val="21"/>
                    </w:rPr>
                  </m:ctrlPr>
                </m:sub>
              </m:sSub>
              <m:ctrlPr>
                <w:rPr>
                  <w:rFonts w:ascii="Cambria Math" w:hAnsi="Cambria Math" w:eastAsia="仿宋_GB2312"/>
                  <w:i/>
                  <w:szCs w:val="21"/>
                </w:rPr>
              </m:ctrlPr>
            </m:e>
          </m:nary>
          <m:r>
            <m:rPr/>
            <w:rPr>
              <w:rFonts w:ascii="Cambria Math" w:hAnsi="Cambria Math" w:eastAsia="仿宋_GB2312"/>
              <w:szCs w:val="21"/>
            </w:rPr>
            <m:t>+</m:t>
          </m:r>
          <m:nary>
            <m:naryPr>
              <m:chr m:val="∑"/>
              <m:grow m:val="1"/>
              <m:limLoc m:val="undOvr"/>
              <m:ctrlPr>
                <w:rPr>
                  <w:rFonts w:ascii="Cambria Math" w:hAnsi="Cambria Math" w:eastAsia="仿宋_GB2312"/>
                  <w:i/>
                  <w:szCs w:val="21"/>
                </w:rPr>
              </m:ctrlPr>
            </m:naryPr>
            <m:sub>
              <m:acc>
                <m:accPr>
                  <m:chr m:val="̇"/>
                  <m:ctrlPr>
                    <w:rPr>
                      <w:rFonts w:ascii="Cambria Math" w:hAnsi="Cambria Math" w:eastAsia="仿宋_GB2312"/>
                      <w:i/>
                      <w:szCs w:val="21"/>
                    </w:rPr>
                  </m:ctrlPr>
                </m:accPr>
                <m:e>
                  <m:r>
                    <m:rPr/>
                    <w:rPr>
                      <w:rFonts w:ascii="Cambria Math" w:hAnsi="Cambria Math" w:eastAsia="仿宋_GB2312"/>
                      <w:szCs w:val="21"/>
                    </w:rPr>
                    <m:t>i</m:t>
                  </m:r>
                  <m:ctrlPr>
                    <w:rPr>
                      <w:rFonts w:ascii="Cambria Math" w:hAnsi="Cambria Math" w:eastAsia="仿宋_GB2312"/>
                      <w:i/>
                      <w:szCs w:val="21"/>
                    </w:rPr>
                  </m:ctrlPr>
                </m:e>
              </m:acc>
              <m:r>
                <m:rPr/>
                <w:rPr>
                  <w:rFonts w:ascii="Cambria Math" w:hAnsi="Cambria Math" w:eastAsia="仿宋_GB2312"/>
                  <w:szCs w:val="21"/>
                </w:rPr>
                <m:t>=1</m:t>
              </m:r>
              <m:ctrlPr>
                <w:rPr>
                  <w:rFonts w:ascii="Cambria Math" w:hAnsi="Cambria Math" w:eastAsia="仿宋_GB2312"/>
                  <w:i/>
                  <w:szCs w:val="21"/>
                </w:rPr>
              </m:ctrlPr>
            </m:sub>
            <m:sup>
              <m:r>
                <m:rPr/>
                <w:rPr>
                  <w:rFonts w:ascii="Cambria Math" w:hAnsi="Cambria Math" w:eastAsia="仿宋_GB2312"/>
                  <w:szCs w:val="21"/>
                </w:rPr>
                <m:t>n</m:t>
              </m:r>
              <m:ctrlPr>
                <w:rPr>
                  <w:rFonts w:ascii="Cambria Math" w:hAnsi="Cambria Math" w:eastAsia="仿宋_GB2312"/>
                  <w:i/>
                  <w:szCs w:val="21"/>
                </w:rPr>
              </m:ctrlPr>
            </m:sup>
            <m:e>
              <m:sSub>
                <m:sSubPr>
                  <m:ctrlPr>
                    <w:rPr>
                      <w:rFonts w:ascii="Cambria Math" w:hAnsi="Cambria Math" w:eastAsia="仿宋_GB2312"/>
                      <w:i/>
                      <w:szCs w:val="21"/>
                    </w:rPr>
                  </m:ctrlPr>
                </m:sSubPr>
                <m:e>
                  <m:r>
                    <m:rPr/>
                    <w:rPr>
                      <w:rFonts w:ascii="Cambria Math" w:hAnsi="Cambria Math" w:eastAsia="仿宋_GB2312"/>
                      <w:szCs w:val="21"/>
                    </w:rPr>
                    <m:t>C</m:t>
                  </m:r>
                  <m:ctrlPr>
                    <w:rPr>
                      <w:rFonts w:ascii="Cambria Math" w:hAnsi="Cambria Math" w:eastAsia="仿宋_GB2312"/>
                      <w:i/>
                      <w:szCs w:val="21"/>
                    </w:rPr>
                  </m:ctrlPr>
                </m:e>
                <m:sub>
                  <m:r>
                    <m:rPr/>
                    <w:rPr>
                      <w:rFonts w:ascii="Cambria Math" w:hAnsi="Cambria Math" w:eastAsia="仿宋_GB2312"/>
                      <w:szCs w:val="21"/>
                    </w:rPr>
                    <m:t>i</m:t>
                  </m:r>
                  <m:ctrlPr>
                    <w:rPr>
                      <w:rFonts w:ascii="Cambria Math" w:hAnsi="Cambria Math" w:eastAsia="仿宋_GB2312"/>
                      <w:i/>
                      <w:szCs w:val="21"/>
                    </w:rPr>
                  </m:ctrlPr>
                </m:sub>
              </m:sSub>
              <m:ctrlPr>
                <w:rPr>
                  <w:rFonts w:ascii="Cambria Math" w:hAnsi="Cambria Math" w:eastAsia="仿宋_GB2312"/>
                  <w:i/>
                  <w:szCs w:val="21"/>
                </w:rPr>
              </m:ctrlPr>
            </m:e>
          </m:nary>
          <m:r>
            <m:rPr/>
            <w:rPr>
              <w:rFonts w:ascii="Cambria Math" w:hAnsi="Cambria Math" w:eastAsia="仿宋_GB2312"/>
              <w:szCs w:val="21"/>
            </w:rPr>
            <m:t>+</m:t>
          </m:r>
          <m:nary>
            <m:naryPr>
              <m:chr m:val="∑"/>
              <m:grow m:val="1"/>
              <m:limLoc m:val="undOvr"/>
              <m:ctrlPr>
                <w:rPr>
                  <w:rFonts w:ascii="Cambria Math" w:hAnsi="Cambria Math" w:eastAsia="仿宋_GB2312"/>
                  <w:i/>
                  <w:szCs w:val="21"/>
                </w:rPr>
              </m:ctrlPr>
            </m:naryPr>
            <m:sub>
              <m:r>
                <m:rPr/>
                <w:rPr>
                  <w:rFonts w:ascii="Cambria Math" w:hAnsi="Cambria Math" w:eastAsia="仿宋_GB2312"/>
                  <w:szCs w:val="21"/>
                </w:rPr>
                <m:t>i=1</m:t>
              </m:r>
              <m:ctrlPr>
                <w:rPr>
                  <w:rFonts w:ascii="Cambria Math" w:hAnsi="Cambria Math" w:eastAsia="仿宋_GB2312"/>
                  <w:i/>
                  <w:szCs w:val="21"/>
                </w:rPr>
              </m:ctrlPr>
            </m:sub>
            <m:sup>
              <m:r>
                <m:rPr/>
                <w:rPr>
                  <w:rFonts w:ascii="Cambria Math" w:hAnsi="Cambria Math" w:eastAsia="仿宋_GB2312"/>
                  <w:szCs w:val="21"/>
                </w:rPr>
                <m:t>n</m:t>
              </m:r>
              <m:ctrlPr>
                <w:rPr>
                  <w:rFonts w:ascii="Cambria Math" w:hAnsi="Cambria Math" w:eastAsia="仿宋_GB2312"/>
                  <w:i/>
                  <w:szCs w:val="21"/>
                </w:rPr>
              </m:ctrlPr>
            </m:sup>
            <m:e>
              <m:sSub>
                <m:sSubPr>
                  <m:ctrlPr>
                    <w:rPr>
                      <w:rFonts w:ascii="Cambria Math" w:hAnsi="Cambria Math" w:eastAsia="仿宋_GB2312"/>
                      <w:i/>
                      <w:szCs w:val="21"/>
                    </w:rPr>
                  </m:ctrlPr>
                </m:sSubPr>
                <m:e>
                  <m:r>
                    <m:rPr/>
                    <w:rPr>
                      <w:rFonts w:ascii="Cambria Math" w:hAnsi="Cambria Math" w:eastAsia="仿宋_GB2312"/>
                      <w:szCs w:val="21"/>
                    </w:rPr>
                    <m:t>D</m:t>
                  </m:r>
                  <m:ctrlPr>
                    <w:rPr>
                      <w:rFonts w:ascii="Cambria Math" w:hAnsi="Cambria Math" w:eastAsia="仿宋_GB2312"/>
                      <w:i/>
                      <w:szCs w:val="21"/>
                    </w:rPr>
                  </m:ctrlPr>
                </m:e>
                <m:sub>
                  <m:r>
                    <m:rPr/>
                    <w:rPr>
                      <w:rFonts w:ascii="Cambria Math" w:hAnsi="Cambria Math" w:eastAsia="仿宋_GB2312"/>
                      <w:szCs w:val="21"/>
                    </w:rPr>
                    <m:t>i</m:t>
                  </m:r>
                  <m:ctrlPr>
                    <w:rPr>
                      <w:rFonts w:ascii="Cambria Math" w:hAnsi="Cambria Math" w:eastAsia="仿宋_GB2312"/>
                      <w:i/>
                      <w:szCs w:val="21"/>
                    </w:rPr>
                  </m:ctrlPr>
                </m:sub>
              </m:sSub>
              <m:ctrlPr>
                <w:rPr>
                  <w:rFonts w:ascii="Cambria Math" w:hAnsi="Cambria Math" w:eastAsia="仿宋_GB2312"/>
                  <w:i/>
                  <w:szCs w:val="21"/>
                </w:rPr>
              </m:ctrlPr>
            </m:e>
          </m:nary>
        </m:oMath>
      </m:oMathPara>
    </w:p>
    <w:p w14:paraId="400523CD">
      <w:pPr>
        <w:rPr>
          <w:rFonts w:ascii="仿宋_GB2312" w:eastAsia="仿宋_GB2312"/>
        </w:rPr>
      </w:pPr>
      <w:r>
        <w:rPr>
          <w:rFonts w:hint="eastAsia" w:ascii="仿宋_GB2312" w:eastAsia="仿宋_GB2312"/>
        </w:rPr>
        <w:drawing>
          <wp:anchor distT="0" distB="0" distL="114300" distR="114300" simplePos="0" relativeHeight="251659264" behindDoc="1" locked="0" layoutInCell="1" allowOverlap="1">
            <wp:simplePos x="0" y="0"/>
            <wp:positionH relativeFrom="column">
              <wp:posOffset>375920</wp:posOffset>
            </wp:positionH>
            <wp:positionV relativeFrom="paragraph">
              <wp:posOffset>-7620</wp:posOffset>
            </wp:positionV>
            <wp:extent cx="466725" cy="495300"/>
            <wp:effectExtent l="0" t="0" r="9525" b="0"/>
            <wp:wrapTight wrapText="bothSides">
              <wp:wrapPolygon>
                <wp:start x="0" y="0"/>
                <wp:lineTo x="0" y="20769"/>
                <wp:lineTo x="20454" y="20769"/>
                <wp:lineTo x="20454" y="0"/>
                <wp:lineTo x="0" y="0"/>
              </wp:wrapPolygon>
            </wp:wrapTight>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5"/>
                    <a:stretch>
                      <a:fillRect/>
                    </a:stretch>
                  </pic:blipFill>
                  <pic:spPr>
                    <a:xfrm>
                      <a:off x="0" y="0"/>
                      <a:ext cx="466725" cy="495300"/>
                    </a:xfrm>
                    <a:prstGeom prst="rect">
                      <a:avLst/>
                    </a:prstGeom>
                    <a:noFill/>
                    <a:ln w="9525">
                      <a:noFill/>
                    </a:ln>
                  </pic:spPr>
                </pic:pic>
              </a:graphicData>
            </a:graphic>
          </wp:anchor>
        </w:drawing>
      </w:r>
    </w:p>
    <w:p w14:paraId="65501484">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rPr>
        <w:tab/>
      </w:r>
      <w:r>
        <w:rPr>
          <w:rFonts w:hint="eastAsia" w:ascii="方正仿宋_GBK" w:eastAsia="方正仿宋_GBK"/>
        </w:rPr>
        <w:t>为对X指标项各子指标得分加总。(X=A、B、C、D)</w:t>
      </w:r>
    </w:p>
    <w:p w14:paraId="5E752DD2">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通过评价小组的评估测算，可最终得出财政资金申请项目绩效评价总分，进而根据总分的高低确定被评价项目最后所达到的等级，如下表所示：</w:t>
      </w:r>
    </w:p>
    <w:p w14:paraId="534F3B5E">
      <w:pPr>
        <w:tabs>
          <w:tab w:val="left" w:pos="1897"/>
        </w:tabs>
        <w:ind w:firstLine="480" w:firstLineChars="200"/>
        <w:rPr>
          <w:rFonts w:ascii="方正仿宋_GBK" w:eastAsia="方正仿宋_GBK"/>
        </w:rPr>
      </w:pPr>
      <w:r>
        <w:rPr>
          <w:rFonts w:hint="eastAsia" w:ascii="方正仿宋_GBK" w:eastAsia="方正仿宋_GBK"/>
        </w:rPr>
        <w:t>财政资金绩效评价结果判定：</w:t>
      </w:r>
    </w:p>
    <w:tbl>
      <w:tblPr>
        <w:tblStyle w:val="7"/>
        <w:tblW w:w="9072" w:type="dxa"/>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
      <w:tblGrid>
        <w:gridCol w:w="1695"/>
        <w:gridCol w:w="1917"/>
        <w:gridCol w:w="1754"/>
        <w:gridCol w:w="1755"/>
        <w:gridCol w:w="1951"/>
      </w:tblGrid>
      <w:tr w14:paraId="07FDEAA4">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blHeader/>
        </w:trPr>
        <w:tc>
          <w:tcPr>
            <w:tcW w:w="1695" w:type="dxa"/>
            <w:shd w:val="clear" w:color="auto" w:fill="auto"/>
            <w:vAlign w:val="center"/>
          </w:tcPr>
          <w:p w14:paraId="526F45F5">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评价总分</w:t>
            </w:r>
          </w:p>
        </w:tc>
        <w:tc>
          <w:tcPr>
            <w:tcW w:w="1917" w:type="dxa"/>
            <w:shd w:val="clear" w:color="auto" w:fill="auto"/>
            <w:vAlign w:val="center"/>
          </w:tcPr>
          <w:p w14:paraId="406E8E56">
            <w:pPr>
              <w:spacing w:line="280" w:lineRule="exact"/>
              <w:jc w:val="center"/>
              <w:textAlignment w:val="center"/>
              <w:rPr>
                <w:rFonts w:eastAsia="仿宋_GB2312" w:cs="仿宋_GB2312"/>
                <w:color w:val="000000"/>
                <w:szCs w:val="21"/>
                <w:lang w:bidi="ar"/>
              </w:rPr>
            </w:pPr>
            <w:r>
              <w:rPr>
                <w:rFonts w:hint="eastAsia" w:eastAsia="仿宋_GB2312"/>
                <w:color w:val="000000"/>
                <w:szCs w:val="21"/>
                <w:lang w:bidi="ar"/>
              </w:rPr>
              <w:t>90</w:t>
            </w:r>
            <w:r>
              <w:rPr>
                <w:rFonts w:hint="eastAsia" w:eastAsia="仿宋_GB2312" w:cs="仿宋_GB2312"/>
                <w:color w:val="000000"/>
                <w:szCs w:val="21"/>
                <w:lang w:bidi="ar"/>
              </w:rPr>
              <w:t>分及以上</w:t>
            </w:r>
          </w:p>
        </w:tc>
        <w:tc>
          <w:tcPr>
            <w:tcW w:w="1754" w:type="dxa"/>
            <w:shd w:val="clear" w:color="auto" w:fill="auto"/>
            <w:vAlign w:val="center"/>
          </w:tcPr>
          <w:p w14:paraId="1224ED08">
            <w:pPr>
              <w:spacing w:line="280" w:lineRule="exact"/>
              <w:jc w:val="center"/>
              <w:textAlignment w:val="center"/>
              <w:rPr>
                <w:rFonts w:eastAsia="仿宋_GB2312" w:cs="仿宋_GB2312"/>
                <w:color w:val="000000"/>
                <w:szCs w:val="21"/>
                <w:lang w:bidi="ar"/>
              </w:rPr>
            </w:pPr>
            <w:r>
              <w:rPr>
                <w:rFonts w:hint="eastAsia" w:eastAsia="仿宋_GB2312"/>
                <w:color w:val="000000"/>
                <w:szCs w:val="21"/>
                <w:lang w:bidi="ar"/>
              </w:rPr>
              <w:t>80—90</w:t>
            </w:r>
            <w:r>
              <w:rPr>
                <w:rFonts w:hint="eastAsia" w:eastAsia="仿宋_GB2312" w:cs="仿宋_GB2312"/>
                <w:color w:val="000000"/>
                <w:szCs w:val="21"/>
                <w:lang w:bidi="ar"/>
              </w:rPr>
              <w:t>分</w:t>
            </w:r>
          </w:p>
        </w:tc>
        <w:tc>
          <w:tcPr>
            <w:tcW w:w="1755" w:type="dxa"/>
            <w:shd w:val="clear" w:color="auto" w:fill="auto"/>
            <w:vAlign w:val="center"/>
          </w:tcPr>
          <w:p w14:paraId="604C7664">
            <w:pPr>
              <w:spacing w:line="280" w:lineRule="exact"/>
              <w:jc w:val="center"/>
              <w:textAlignment w:val="center"/>
              <w:rPr>
                <w:rFonts w:eastAsia="仿宋_GB2312" w:cs="仿宋_GB2312"/>
                <w:color w:val="000000"/>
                <w:szCs w:val="21"/>
                <w:lang w:bidi="ar"/>
              </w:rPr>
            </w:pPr>
            <w:r>
              <w:rPr>
                <w:rFonts w:hint="eastAsia" w:eastAsia="仿宋_GB2312"/>
                <w:color w:val="000000"/>
                <w:szCs w:val="21"/>
                <w:lang w:bidi="ar"/>
              </w:rPr>
              <w:t>60—80</w:t>
            </w:r>
            <w:r>
              <w:rPr>
                <w:rFonts w:hint="eastAsia" w:eastAsia="仿宋_GB2312" w:cs="仿宋_GB2312"/>
                <w:color w:val="000000"/>
                <w:szCs w:val="21"/>
                <w:lang w:bidi="ar"/>
              </w:rPr>
              <w:t>分</w:t>
            </w:r>
          </w:p>
        </w:tc>
        <w:tc>
          <w:tcPr>
            <w:tcW w:w="1951" w:type="dxa"/>
            <w:shd w:val="clear" w:color="auto" w:fill="auto"/>
            <w:vAlign w:val="center"/>
          </w:tcPr>
          <w:p w14:paraId="16DEA297">
            <w:pPr>
              <w:spacing w:line="280" w:lineRule="exact"/>
              <w:jc w:val="center"/>
              <w:textAlignment w:val="center"/>
              <w:rPr>
                <w:rFonts w:eastAsia="仿宋_GB2312" w:cs="仿宋_GB2312"/>
                <w:color w:val="000000"/>
                <w:szCs w:val="21"/>
                <w:lang w:bidi="ar"/>
              </w:rPr>
            </w:pPr>
            <w:r>
              <w:rPr>
                <w:rFonts w:hint="eastAsia" w:eastAsia="仿宋_GB2312"/>
                <w:color w:val="000000"/>
                <w:szCs w:val="21"/>
                <w:lang w:bidi="ar"/>
              </w:rPr>
              <w:t>60</w:t>
            </w:r>
            <w:r>
              <w:rPr>
                <w:rFonts w:hint="eastAsia" w:eastAsia="仿宋_GB2312" w:cs="仿宋_GB2312"/>
                <w:color w:val="000000"/>
                <w:szCs w:val="21"/>
                <w:lang w:bidi="ar"/>
              </w:rPr>
              <w:t>分以下</w:t>
            </w:r>
          </w:p>
        </w:tc>
      </w:tr>
      <w:tr w14:paraId="54E9A845">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695" w:type="dxa"/>
            <w:shd w:val="clear" w:color="auto" w:fill="auto"/>
            <w:vAlign w:val="center"/>
          </w:tcPr>
          <w:p w14:paraId="6B999D7B">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评价等级</w:t>
            </w:r>
          </w:p>
        </w:tc>
        <w:tc>
          <w:tcPr>
            <w:tcW w:w="1917" w:type="dxa"/>
            <w:shd w:val="clear" w:color="auto" w:fill="auto"/>
            <w:vAlign w:val="center"/>
          </w:tcPr>
          <w:p w14:paraId="431C8157">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优</w:t>
            </w:r>
          </w:p>
        </w:tc>
        <w:tc>
          <w:tcPr>
            <w:tcW w:w="1754" w:type="dxa"/>
            <w:shd w:val="clear" w:color="auto" w:fill="auto"/>
            <w:vAlign w:val="center"/>
          </w:tcPr>
          <w:p w14:paraId="041E50D9">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良</w:t>
            </w:r>
          </w:p>
        </w:tc>
        <w:tc>
          <w:tcPr>
            <w:tcW w:w="1755" w:type="dxa"/>
            <w:shd w:val="clear" w:color="auto" w:fill="auto"/>
            <w:vAlign w:val="center"/>
          </w:tcPr>
          <w:p w14:paraId="3706DB44">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中</w:t>
            </w:r>
          </w:p>
        </w:tc>
        <w:tc>
          <w:tcPr>
            <w:tcW w:w="1951" w:type="dxa"/>
            <w:shd w:val="clear" w:color="auto" w:fill="auto"/>
            <w:vAlign w:val="center"/>
          </w:tcPr>
          <w:p w14:paraId="5828E0A0">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差</w:t>
            </w:r>
          </w:p>
        </w:tc>
      </w:tr>
    </w:tbl>
    <w:p w14:paraId="3E43FCEB">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（二）绩效评价结论</w:t>
      </w:r>
    </w:p>
    <w:p w14:paraId="532479B7">
      <w:pPr>
        <w:tabs>
          <w:tab w:val="left" w:pos="1897"/>
        </w:tabs>
        <w:ind w:firstLine="480" w:firstLineChars="200"/>
        <w:rPr>
          <w:rFonts w:ascii="方正仿宋_GBK" w:eastAsia="方正仿宋_GBK"/>
        </w:rPr>
      </w:pPr>
      <w:r>
        <w:rPr>
          <w:rFonts w:hint="eastAsia" w:ascii="方正仿宋_GBK" w:eastAsia="方正仿宋_GBK"/>
        </w:rPr>
        <w:t>根据对各子项目的评价分析，回答关键评价问题，整体项目的绩效评分为82.18分，按照评价级别设置标准，认定2020年度1,536.00万元的医疗服务能力提升建设专项资金绩效评价结论为“良”。项目绩效评价等级如下表：</w:t>
      </w:r>
    </w:p>
    <w:tbl>
      <w:tblPr>
        <w:tblStyle w:val="7"/>
        <w:tblW w:w="9072" w:type="dxa"/>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
      <w:tblGrid>
        <w:gridCol w:w="3024"/>
        <w:gridCol w:w="3024"/>
        <w:gridCol w:w="3024"/>
      </w:tblGrid>
      <w:tr w14:paraId="4A82B846">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blHeader/>
        </w:trPr>
        <w:tc>
          <w:tcPr>
            <w:tcW w:w="3024" w:type="dxa"/>
            <w:shd w:val="clear" w:color="auto" w:fill="auto"/>
            <w:vAlign w:val="center"/>
          </w:tcPr>
          <w:p w14:paraId="34AF4EC9">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评价指标</w:t>
            </w:r>
          </w:p>
        </w:tc>
        <w:tc>
          <w:tcPr>
            <w:tcW w:w="3024" w:type="dxa"/>
            <w:shd w:val="clear" w:color="auto" w:fill="auto"/>
            <w:vAlign w:val="center"/>
          </w:tcPr>
          <w:p w14:paraId="7BA080AF">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指标分值</w:t>
            </w:r>
          </w:p>
        </w:tc>
        <w:tc>
          <w:tcPr>
            <w:tcW w:w="3024" w:type="dxa"/>
            <w:shd w:val="clear" w:color="auto" w:fill="auto"/>
            <w:vAlign w:val="center"/>
          </w:tcPr>
          <w:p w14:paraId="2CFFE3A8">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评价分值</w:t>
            </w:r>
          </w:p>
        </w:tc>
      </w:tr>
      <w:tr w14:paraId="50A80749">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24" w:type="dxa"/>
            <w:shd w:val="clear" w:color="auto" w:fill="auto"/>
            <w:vAlign w:val="center"/>
          </w:tcPr>
          <w:p w14:paraId="0A5DC949">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1.投入</w:t>
            </w:r>
          </w:p>
        </w:tc>
        <w:tc>
          <w:tcPr>
            <w:tcW w:w="3024" w:type="dxa"/>
            <w:shd w:val="clear" w:color="auto" w:fill="auto"/>
            <w:vAlign w:val="center"/>
          </w:tcPr>
          <w:p w14:paraId="3511A28A">
            <w:pPr>
              <w:spacing w:line="280" w:lineRule="exact"/>
              <w:jc w:val="center"/>
              <w:textAlignment w:val="center"/>
              <w:rPr>
                <w:rFonts w:eastAsia="仿宋_GB2312"/>
                <w:color w:val="000000"/>
                <w:szCs w:val="21"/>
                <w:lang w:bidi="ar"/>
              </w:rPr>
            </w:pPr>
            <w:r>
              <w:rPr>
                <w:rFonts w:eastAsia="仿宋_GB2312"/>
                <w:color w:val="000000"/>
                <w:szCs w:val="21"/>
                <w:lang w:bidi="ar"/>
              </w:rPr>
              <w:t>10</w:t>
            </w:r>
            <w:r>
              <w:rPr>
                <w:rFonts w:hint="eastAsia" w:eastAsia="仿宋_GB2312"/>
                <w:color w:val="000000"/>
                <w:szCs w:val="21"/>
                <w:lang w:bidi="ar"/>
              </w:rPr>
              <w:t>.00</w:t>
            </w:r>
          </w:p>
        </w:tc>
        <w:tc>
          <w:tcPr>
            <w:tcW w:w="3024" w:type="dxa"/>
            <w:shd w:val="clear" w:color="auto" w:fill="auto"/>
            <w:vAlign w:val="center"/>
          </w:tcPr>
          <w:p w14:paraId="007AD0D9">
            <w:pPr>
              <w:spacing w:line="280" w:lineRule="exact"/>
              <w:jc w:val="center"/>
              <w:textAlignment w:val="center"/>
              <w:rPr>
                <w:rFonts w:eastAsia="仿宋_GB2312"/>
                <w:color w:val="000000"/>
                <w:szCs w:val="21"/>
                <w:lang w:bidi="ar"/>
              </w:rPr>
            </w:pPr>
            <w:r>
              <w:rPr>
                <w:rFonts w:eastAsia="仿宋_GB2312"/>
              </w:rPr>
              <w:t>9.00</w:t>
            </w:r>
          </w:p>
        </w:tc>
      </w:tr>
      <w:tr w14:paraId="0FD38787">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24" w:type="dxa"/>
            <w:shd w:val="clear" w:color="auto" w:fill="auto"/>
            <w:vAlign w:val="center"/>
          </w:tcPr>
          <w:p w14:paraId="1CA9F7BB">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2.管理</w:t>
            </w:r>
          </w:p>
        </w:tc>
        <w:tc>
          <w:tcPr>
            <w:tcW w:w="3024" w:type="dxa"/>
            <w:shd w:val="clear" w:color="auto" w:fill="auto"/>
            <w:vAlign w:val="center"/>
          </w:tcPr>
          <w:p w14:paraId="0A76206A">
            <w:pPr>
              <w:spacing w:line="280" w:lineRule="exact"/>
              <w:jc w:val="center"/>
              <w:textAlignment w:val="center"/>
              <w:rPr>
                <w:rFonts w:eastAsia="仿宋_GB2312"/>
                <w:color w:val="000000"/>
                <w:szCs w:val="21"/>
                <w:lang w:bidi="ar"/>
              </w:rPr>
            </w:pPr>
            <w:r>
              <w:rPr>
                <w:rFonts w:eastAsia="仿宋_GB2312"/>
                <w:color w:val="000000"/>
                <w:szCs w:val="21"/>
                <w:lang w:bidi="ar"/>
              </w:rPr>
              <w:t>25</w:t>
            </w:r>
            <w:r>
              <w:rPr>
                <w:rFonts w:hint="eastAsia" w:eastAsia="仿宋_GB2312"/>
                <w:color w:val="000000"/>
                <w:szCs w:val="21"/>
                <w:lang w:bidi="ar"/>
              </w:rPr>
              <w:t>.00</w:t>
            </w:r>
          </w:p>
        </w:tc>
        <w:tc>
          <w:tcPr>
            <w:tcW w:w="3024" w:type="dxa"/>
            <w:shd w:val="clear" w:color="auto" w:fill="auto"/>
            <w:vAlign w:val="center"/>
          </w:tcPr>
          <w:p w14:paraId="7F8D829F">
            <w:pPr>
              <w:spacing w:line="280" w:lineRule="exact"/>
              <w:jc w:val="center"/>
              <w:textAlignment w:val="center"/>
              <w:rPr>
                <w:rFonts w:eastAsia="仿宋_GB2312"/>
                <w:color w:val="000000"/>
                <w:szCs w:val="21"/>
                <w:lang w:bidi="ar"/>
              </w:rPr>
            </w:pPr>
            <w:r>
              <w:rPr>
                <w:rFonts w:eastAsia="仿宋_GB2312"/>
              </w:rPr>
              <w:t>19.00</w:t>
            </w:r>
          </w:p>
        </w:tc>
      </w:tr>
      <w:tr w14:paraId="0348ABA5">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24" w:type="dxa"/>
            <w:shd w:val="clear" w:color="auto" w:fill="auto"/>
            <w:vAlign w:val="center"/>
          </w:tcPr>
          <w:p w14:paraId="37666647">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3.产出</w:t>
            </w:r>
          </w:p>
        </w:tc>
        <w:tc>
          <w:tcPr>
            <w:tcW w:w="3024" w:type="dxa"/>
            <w:shd w:val="clear" w:color="auto" w:fill="auto"/>
            <w:vAlign w:val="center"/>
          </w:tcPr>
          <w:p w14:paraId="2A9E0011">
            <w:pPr>
              <w:spacing w:line="280" w:lineRule="exact"/>
              <w:jc w:val="center"/>
              <w:textAlignment w:val="center"/>
              <w:rPr>
                <w:rFonts w:eastAsia="仿宋_GB2312"/>
                <w:color w:val="000000"/>
                <w:szCs w:val="21"/>
                <w:lang w:bidi="ar"/>
              </w:rPr>
            </w:pPr>
            <w:r>
              <w:rPr>
                <w:rFonts w:eastAsia="仿宋_GB2312"/>
                <w:color w:val="000000"/>
                <w:szCs w:val="21"/>
                <w:lang w:bidi="ar"/>
              </w:rPr>
              <w:t>29</w:t>
            </w:r>
            <w:r>
              <w:rPr>
                <w:rFonts w:hint="eastAsia" w:eastAsia="仿宋_GB2312"/>
                <w:color w:val="000000"/>
                <w:szCs w:val="21"/>
                <w:lang w:bidi="ar"/>
              </w:rPr>
              <w:t>.00</w:t>
            </w:r>
          </w:p>
        </w:tc>
        <w:tc>
          <w:tcPr>
            <w:tcW w:w="3024" w:type="dxa"/>
            <w:shd w:val="clear" w:color="auto" w:fill="auto"/>
            <w:vAlign w:val="center"/>
          </w:tcPr>
          <w:p w14:paraId="56735749">
            <w:pPr>
              <w:spacing w:line="280" w:lineRule="exact"/>
              <w:jc w:val="center"/>
              <w:textAlignment w:val="center"/>
              <w:rPr>
                <w:rFonts w:eastAsia="仿宋_GB2312"/>
                <w:color w:val="000000"/>
                <w:szCs w:val="21"/>
                <w:lang w:bidi="ar"/>
              </w:rPr>
            </w:pPr>
            <w:r>
              <w:rPr>
                <w:rFonts w:eastAsia="仿宋_GB2312"/>
              </w:rPr>
              <w:t>27.00</w:t>
            </w:r>
          </w:p>
        </w:tc>
      </w:tr>
      <w:tr w14:paraId="54FFB98F">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24" w:type="dxa"/>
            <w:shd w:val="clear" w:color="auto" w:fill="auto"/>
            <w:vAlign w:val="center"/>
          </w:tcPr>
          <w:p w14:paraId="777192DF">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4.效益</w:t>
            </w:r>
          </w:p>
        </w:tc>
        <w:tc>
          <w:tcPr>
            <w:tcW w:w="3024" w:type="dxa"/>
            <w:shd w:val="clear" w:color="auto" w:fill="auto"/>
            <w:vAlign w:val="center"/>
          </w:tcPr>
          <w:p w14:paraId="3602EFA1">
            <w:pPr>
              <w:spacing w:line="280" w:lineRule="exact"/>
              <w:jc w:val="center"/>
              <w:textAlignment w:val="center"/>
              <w:rPr>
                <w:rFonts w:eastAsia="仿宋_GB2312"/>
                <w:color w:val="000000"/>
                <w:szCs w:val="21"/>
                <w:lang w:bidi="ar"/>
              </w:rPr>
            </w:pPr>
            <w:r>
              <w:rPr>
                <w:rFonts w:eastAsia="仿宋_GB2312"/>
                <w:color w:val="000000"/>
                <w:szCs w:val="21"/>
                <w:lang w:bidi="ar"/>
              </w:rPr>
              <w:t>36</w:t>
            </w:r>
            <w:r>
              <w:rPr>
                <w:rFonts w:hint="eastAsia" w:eastAsia="仿宋_GB2312"/>
                <w:color w:val="000000"/>
                <w:szCs w:val="21"/>
                <w:lang w:bidi="ar"/>
              </w:rPr>
              <w:t>.00</w:t>
            </w:r>
          </w:p>
        </w:tc>
        <w:tc>
          <w:tcPr>
            <w:tcW w:w="3024" w:type="dxa"/>
            <w:shd w:val="clear" w:color="auto" w:fill="auto"/>
            <w:vAlign w:val="center"/>
          </w:tcPr>
          <w:p w14:paraId="5D100EB9">
            <w:pPr>
              <w:spacing w:line="280" w:lineRule="exact"/>
              <w:jc w:val="center"/>
              <w:textAlignment w:val="center"/>
              <w:rPr>
                <w:rFonts w:eastAsia="仿宋_GB2312"/>
                <w:color w:val="000000"/>
                <w:szCs w:val="21"/>
                <w:lang w:bidi="ar"/>
              </w:rPr>
            </w:pPr>
            <w:r>
              <w:rPr>
                <w:rFonts w:eastAsia="仿宋_GB2312"/>
              </w:rPr>
              <w:t>27.18</w:t>
            </w:r>
          </w:p>
        </w:tc>
      </w:tr>
      <w:tr w14:paraId="66F5E69F">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24" w:type="dxa"/>
            <w:shd w:val="clear" w:color="auto" w:fill="auto"/>
            <w:vAlign w:val="center"/>
          </w:tcPr>
          <w:p w14:paraId="0C7FE5E1">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综合绩效</w:t>
            </w:r>
          </w:p>
        </w:tc>
        <w:tc>
          <w:tcPr>
            <w:tcW w:w="3024" w:type="dxa"/>
            <w:shd w:val="clear" w:color="auto" w:fill="auto"/>
            <w:vAlign w:val="center"/>
          </w:tcPr>
          <w:p w14:paraId="40DC7CEA">
            <w:pPr>
              <w:spacing w:line="280" w:lineRule="exact"/>
              <w:jc w:val="center"/>
              <w:textAlignment w:val="center"/>
              <w:rPr>
                <w:rFonts w:eastAsia="仿宋_GB2312"/>
                <w:color w:val="000000"/>
                <w:szCs w:val="21"/>
                <w:lang w:bidi="ar"/>
              </w:rPr>
            </w:pPr>
            <w:r>
              <w:rPr>
                <w:rFonts w:hint="eastAsia" w:eastAsia="仿宋_GB2312"/>
                <w:color w:val="000000"/>
                <w:szCs w:val="21"/>
                <w:lang w:bidi="ar"/>
              </w:rPr>
              <w:t>100.00</w:t>
            </w:r>
          </w:p>
        </w:tc>
        <w:tc>
          <w:tcPr>
            <w:tcW w:w="3024" w:type="dxa"/>
            <w:shd w:val="clear" w:color="auto" w:fill="auto"/>
            <w:vAlign w:val="center"/>
          </w:tcPr>
          <w:p w14:paraId="10DB15CF">
            <w:pPr>
              <w:spacing w:line="280" w:lineRule="exact"/>
              <w:jc w:val="center"/>
              <w:textAlignment w:val="center"/>
              <w:rPr>
                <w:rFonts w:eastAsia="仿宋_GB2312"/>
                <w:color w:val="000000"/>
                <w:szCs w:val="21"/>
                <w:lang w:bidi="ar"/>
              </w:rPr>
            </w:pPr>
            <w:r>
              <w:rPr>
                <w:rFonts w:eastAsia="仿宋_GB2312"/>
              </w:rPr>
              <w:t>82.18</w:t>
            </w:r>
          </w:p>
        </w:tc>
      </w:tr>
      <w:tr w14:paraId="3C691BC2">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24" w:type="dxa"/>
            <w:shd w:val="clear" w:color="auto" w:fill="auto"/>
            <w:vAlign w:val="center"/>
          </w:tcPr>
          <w:p w14:paraId="5BF9592B">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评价等级</w:t>
            </w:r>
          </w:p>
        </w:tc>
        <w:tc>
          <w:tcPr>
            <w:tcW w:w="6048" w:type="dxa"/>
            <w:gridSpan w:val="2"/>
            <w:shd w:val="clear" w:color="auto" w:fill="auto"/>
            <w:vAlign w:val="center"/>
          </w:tcPr>
          <w:p w14:paraId="3D79A620">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良</w:t>
            </w:r>
          </w:p>
        </w:tc>
      </w:tr>
    </w:tbl>
    <w:p w14:paraId="068D0337">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八、绩效评价结果应用建议</w:t>
      </w:r>
    </w:p>
    <w:p w14:paraId="5D819BF1">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项目绩效评价结果应用，既是开展绩效评价工作的基本前提，又是加强财政支出管理、增强资金绩效理念、合理配置公共资源、优化财政支出结构、强化资金管理水平、提高资金使用效益的重要手段。为使绩效评价结果得到合理应用，应将此次绩效评价结果作为以后年度建设资金分配的重要依据。</w:t>
      </w:r>
    </w:p>
    <w:p w14:paraId="7C39D4FF">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绩效评价是对效果的评价，评价结果直接反映项目实施的效益。绩效评价结果分为四个等级，总分在90分以上（含90分）为优；80—89分（含80分）为良；60—79分（含60分）为中；60分以下为差。。建议对于评价优的项目应当加大资金支持，以期待更好的公共效益；对于评价结论中以上的项目应当继续给与资金支持；对于评价结论差的项目，应当减少资金或者取消资金支持。</w:t>
      </w:r>
    </w:p>
    <w:p w14:paraId="04495A63">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九、存在主要问题、典型事例</w:t>
      </w:r>
    </w:p>
    <w:p w14:paraId="3124FDE3">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1、评价指标设置不完善。</w:t>
      </w:r>
    </w:p>
    <w:p w14:paraId="7E76942D">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如行风建设、对口帮扶精准扶贫方面未设置绩效指标。指标体系的缺失导致评价缺乏依据和标准，不利于评价具体工作的开展情况。</w:t>
      </w:r>
    </w:p>
    <w:p w14:paraId="106B25BA">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2、资金执行率较低，导致预算资金闲置。</w:t>
      </w:r>
    </w:p>
    <w:p w14:paraId="575A65BB">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重庆市第五人民医院预算到位资金457.00万，实际使用资金246.63万元，资金执行率53.97%；区精神卫生中心预算到位资金430.50万元，实际使用资金206.56万元，资金执行率47.98%。</w:t>
      </w:r>
    </w:p>
    <w:p w14:paraId="43112CE3">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十、原因分析及改进措施</w:t>
      </w:r>
    </w:p>
    <w:p w14:paraId="5106FC34">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资金执行率较低方面</w:t>
      </w:r>
    </w:p>
    <w:p w14:paraId="685FE44C">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1）重庆市第五人民医院结余资金主要包括助理医师规范化培训、住院医师规范化培训及质量管理中心等项目资金。助理医师规范化培训、住院医师规范化培训资金使用时间为2020年12月-2021年8月，助理医师（19级、20级）规培学员生活补助以及基地建设经费和（18级、19级、20级）住院医师规培学员生活补助以及基地建设经费，是按照月份依次发放补助资金，故导致培训资金结余较大。</w:t>
      </w:r>
    </w:p>
    <w:p w14:paraId="13B92226">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2）重庆市南岸区精神卫生中心于2020年8月收到专项转移支付资金（心理服务体系建设）250.50万元，收到资金后安排南岸区心理服务中心改建工程，该项目按照工程进度付款，截至2020年底仅支付完改建工程尾款，还未进行设备等采购，导致资金结余较大。</w:t>
      </w:r>
    </w:p>
    <w:p w14:paraId="3B23FCF2">
      <w:pPr>
        <w:pStyle w:val="6"/>
        <w:shd w:val="clear" w:color="auto" w:fill="FFFFFF"/>
        <w:spacing w:before="0" w:beforeAutospacing="0" w:after="0" w:afterAutospacing="0" w:line="600" w:lineRule="exact"/>
        <w:ind w:firstLine="480" w:firstLineChars="200"/>
        <w:jc w:val="both"/>
        <w:rPr>
          <w:rFonts w:ascii="方正仿宋_GBK" w:eastAsia="方正仿宋_GBK"/>
        </w:rPr>
      </w:pPr>
    </w:p>
    <w:p w14:paraId="61D396E5">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十一、其他需说明的问题</w:t>
      </w:r>
    </w:p>
    <w:p w14:paraId="655829B7">
      <w:pPr>
        <w:pStyle w:val="6"/>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被评价单位对本次绩效评价的初步结果反馈为资金执行率低系由于客观原因导致，因以实际情况调整扣分项。</w:t>
      </w:r>
    </w:p>
    <w:p w14:paraId="3B0F60F4">
      <w:pPr>
        <w:pStyle w:val="6"/>
        <w:shd w:val="clear" w:color="auto" w:fill="FFFFFF"/>
        <w:spacing w:before="0" w:beforeAutospacing="0" w:after="0" w:afterAutospacing="0" w:line="600" w:lineRule="exact"/>
        <w:jc w:val="both"/>
        <w:rPr>
          <w:rFonts w:ascii="方正仿宋_GBK" w:eastAsia="方正仿宋_GBK"/>
        </w:rPr>
      </w:pPr>
    </w:p>
    <w:p w14:paraId="0DC11286">
      <w:pPr>
        <w:pStyle w:val="6"/>
        <w:shd w:val="clear" w:color="auto" w:fill="FFFFFF"/>
        <w:spacing w:before="0" w:beforeAutospacing="0" w:after="0" w:afterAutospacing="0" w:line="600" w:lineRule="exact"/>
        <w:jc w:val="both"/>
        <w:rPr>
          <w:rFonts w:ascii="方正仿宋_GBK" w:eastAsia="方正仿宋_GBK"/>
        </w:rPr>
      </w:pPr>
    </w:p>
    <w:p w14:paraId="382A8AD1">
      <w:pPr>
        <w:pStyle w:val="6"/>
        <w:shd w:val="clear" w:color="auto" w:fill="FFFFFF"/>
        <w:spacing w:before="0" w:beforeAutospacing="0" w:after="0" w:afterAutospacing="0" w:line="600" w:lineRule="exact"/>
        <w:ind w:firstLine="3600" w:firstLineChars="1500"/>
        <w:jc w:val="both"/>
        <w:rPr>
          <w:rFonts w:ascii="仿宋_GB2312" w:eastAsia="仿宋_GB2312"/>
          <w:bCs/>
        </w:rPr>
      </w:pPr>
      <w:r>
        <w:rPr>
          <w:rFonts w:ascii="仿宋_GB2312" w:eastAsia="仿宋_GB2312"/>
          <w:bCs/>
        </w:rPr>
        <w:t>重庆普华会计师事务所有限责任公司</w:t>
      </w:r>
    </w:p>
    <w:p w14:paraId="7F486027">
      <w:pPr>
        <w:tabs>
          <w:tab w:val="left" w:pos="1897"/>
        </w:tabs>
        <w:ind w:firstLine="4560" w:firstLineChars="1900"/>
        <w:rPr>
          <w:rFonts w:ascii="方正仿宋_GBK" w:eastAsia="仿宋_GB2312"/>
          <w:bCs/>
        </w:rPr>
      </w:pPr>
      <w:r>
        <w:rPr>
          <w:rFonts w:eastAsia="仿宋_GB2312"/>
          <w:bCs/>
          <w:color w:val="000000"/>
        </w:rPr>
        <w:t>二</w:t>
      </w:r>
      <w:r>
        <w:rPr>
          <w:rFonts w:eastAsia="仿宋"/>
          <w:bCs/>
          <w:color w:val="000000"/>
        </w:rPr>
        <w:t>〇</w:t>
      </w:r>
      <w:r>
        <w:rPr>
          <w:rFonts w:eastAsia="仿宋_GB2312"/>
          <w:bCs/>
          <w:color w:val="000000"/>
        </w:rPr>
        <w:t>二</w:t>
      </w:r>
      <w:r>
        <w:rPr>
          <w:rFonts w:hint="eastAsia" w:eastAsia="仿宋_GB2312"/>
          <w:bCs/>
          <w:color w:val="000000"/>
        </w:rPr>
        <w:t>一</w:t>
      </w:r>
      <w:r>
        <w:rPr>
          <w:rFonts w:ascii="仿宋_GB2312" w:eastAsia="仿宋_GB2312"/>
          <w:bCs/>
        </w:rPr>
        <w:t>年</w:t>
      </w:r>
      <w:r>
        <w:rPr>
          <w:rFonts w:hint="eastAsia" w:ascii="仿宋_GB2312" w:eastAsia="仿宋_GB2312"/>
          <w:bCs/>
        </w:rPr>
        <w:t>七</w:t>
      </w:r>
      <w:r>
        <w:rPr>
          <w:rFonts w:ascii="仿宋_GB2312" w:eastAsia="仿宋_GB2312"/>
          <w:bCs/>
        </w:rPr>
        <w:t>月</w:t>
      </w:r>
      <w:r>
        <w:rPr>
          <w:rFonts w:hint="eastAsia" w:ascii="仿宋_GB2312" w:eastAsia="仿宋_GB2312"/>
          <w:bCs/>
        </w:rPr>
        <w:t>九日</w:t>
      </w:r>
    </w:p>
    <w:p w14:paraId="5A8ADAAC">
      <w:pPr>
        <w:pStyle w:val="6"/>
        <w:shd w:val="clear" w:color="auto" w:fill="FFFFFF"/>
        <w:spacing w:before="0" w:beforeAutospacing="0" w:after="0" w:afterAutospacing="0" w:line="600" w:lineRule="exact"/>
        <w:ind w:firstLine="640" w:firstLineChars="200"/>
        <w:jc w:val="both"/>
        <w:rPr>
          <w:rFonts w:ascii="方正仿宋_GBK" w:eastAsia="方正仿宋_GBK"/>
          <w:sz w:val="32"/>
          <w:szCs w:val="32"/>
        </w:rPr>
      </w:pPr>
    </w:p>
    <w:sectPr>
      <w:footerReference r:id="rId3" w:type="default"/>
      <w:pgSz w:w="11907" w:h="16840"/>
      <w:pgMar w:top="2098" w:right="1701" w:bottom="1985" w:left="181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roman"/>
    <w:pitch w:val="default"/>
    <w:sig w:usb0="A00002BF" w:usb1="38CF7CFA" w:usb2="00000016" w:usb3="00000000" w:csb0="0004000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panose1 w:val="02010609030101010101"/>
    <w:charset w:val="86"/>
    <w:family w:val="decorative"/>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132487"/>
      <w:docPartObj>
        <w:docPartGallery w:val="autotext"/>
      </w:docPartObj>
    </w:sdtPr>
    <w:sdtContent>
      <w:p w14:paraId="2045D4E7">
        <w:pPr>
          <w:pStyle w:val="4"/>
          <w:jc w:val="center"/>
        </w:pPr>
      </w:p>
      <w:p w14:paraId="70F6B0CB">
        <w:pPr>
          <w:pStyle w:val="4"/>
          <w:jc w:val="cente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9</w:t>
        </w:r>
        <w:r>
          <w:rPr>
            <w:rFonts w:ascii="Times New Roman" w:hAnsi="Times New Roman" w:cs="Times New Roman"/>
            <w:sz w:val="21"/>
            <w:szCs w:val="21"/>
          </w:rPr>
          <w:fldChar w:fldCharType="end"/>
        </w:r>
      </w:p>
    </w:sdtContent>
  </w:sdt>
  <w:p w14:paraId="216CA06C">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EF7F9E"/>
    <w:multiLevelType w:val="singleLevel"/>
    <w:tmpl w:val="7DEF7F9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noPunctuationKerning w:val="1"/>
  <w:characterSpacingControl w:val="doNotCompress"/>
  <w:compat>
    <w:useFELayout/>
    <w:compatSetting w:name="compatibilityMode" w:uri="http://schemas.microsoft.com/office/word" w:val="12"/>
  </w:compat>
  <w:docVars>
    <w:docVar w:name="commondata" w:val="eyJoZGlkIjoiZTk1ZDI4OWE0ZTFmYjZhMGE4OWVjYzAzM2IyMTk4MzgifQ=="/>
  </w:docVars>
  <w:rsids>
    <w:rsidRoot w:val="009A41FA"/>
    <w:rsid w:val="000345C8"/>
    <w:rsid w:val="000358A0"/>
    <w:rsid w:val="000463F3"/>
    <w:rsid w:val="000478A4"/>
    <w:rsid w:val="00065022"/>
    <w:rsid w:val="00077703"/>
    <w:rsid w:val="00094F3A"/>
    <w:rsid w:val="000D000D"/>
    <w:rsid w:val="000E1E96"/>
    <w:rsid w:val="000F333B"/>
    <w:rsid w:val="001116BC"/>
    <w:rsid w:val="00114AE6"/>
    <w:rsid w:val="00115962"/>
    <w:rsid w:val="00133191"/>
    <w:rsid w:val="0014566F"/>
    <w:rsid w:val="001909FE"/>
    <w:rsid w:val="00192050"/>
    <w:rsid w:val="001C3542"/>
    <w:rsid w:val="001F13DE"/>
    <w:rsid w:val="00221A09"/>
    <w:rsid w:val="00234DAA"/>
    <w:rsid w:val="00245388"/>
    <w:rsid w:val="002523EF"/>
    <w:rsid w:val="002752FD"/>
    <w:rsid w:val="00295CC9"/>
    <w:rsid w:val="002F033B"/>
    <w:rsid w:val="0030438F"/>
    <w:rsid w:val="00307C30"/>
    <w:rsid w:val="00316F52"/>
    <w:rsid w:val="00317DE3"/>
    <w:rsid w:val="00323DC8"/>
    <w:rsid w:val="003269CF"/>
    <w:rsid w:val="0033242C"/>
    <w:rsid w:val="003453DA"/>
    <w:rsid w:val="003463D8"/>
    <w:rsid w:val="00395DA3"/>
    <w:rsid w:val="003D2D05"/>
    <w:rsid w:val="003F018D"/>
    <w:rsid w:val="00420E29"/>
    <w:rsid w:val="00425E39"/>
    <w:rsid w:val="00456FDC"/>
    <w:rsid w:val="004626F2"/>
    <w:rsid w:val="00463D5B"/>
    <w:rsid w:val="004654E0"/>
    <w:rsid w:val="00474417"/>
    <w:rsid w:val="00493883"/>
    <w:rsid w:val="004B5279"/>
    <w:rsid w:val="00514B9B"/>
    <w:rsid w:val="005200C8"/>
    <w:rsid w:val="0052166E"/>
    <w:rsid w:val="00566FE2"/>
    <w:rsid w:val="00582FDA"/>
    <w:rsid w:val="005B3F56"/>
    <w:rsid w:val="005F30A4"/>
    <w:rsid w:val="005F7CE8"/>
    <w:rsid w:val="00620835"/>
    <w:rsid w:val="0063459A"/>
    <w:rsid w:val="00681E53"/>
    <w:rsid w:val="006A4D0D"/>
    <w:rsid w:val="006B3A67"/>
    <w:rsid w:val="006B613E"/>
    <w:rsid w:val="006F08AE"/>
    <w:rsid w:val="00710083"/>
    <w:rsid w:val="00726320"/>
    <w:rsid w:val="007813B9"/>
    <w:rsid w:val="007C2B35"/>
    <w:rsid w:val="007E49D0"/>
    <w:rsid w:val="007F2B2C"/>
    <w:rsid w:val="0082257C"/>
    <w:rsid w:val="008545F3"/>
    <w:rsid w:val="00861321"/>
    <w:rsid w:val="0087676C"/>
    <w:rsid w:val="0088218E"/>
    <w:rsid w:val="0089022E"/>
    <w:rsid w:val="00892E9D"/>
    <w:rsid w:val="00897530"/>
    <w:rsid w:val="008A568D"/>
    <w:rsid w:val="008C50FF"/>
    <w:rsid w:val="008D5318"/>
    <w:rsid w:val="008D6D32"/>
    <w:rsid w:val="008E1EA3"/>
    <w:rsid w:val="00901436"/>
    <w:rsid w:val="0091655E"/>
    <w:rsid w:val="00927A3D"/>
    <w:rsid w:val="0099272D"/>
    <w:rsid w:val="00993E1B"/>
    <w:rsid w:val="009964F3"/>
    <w:rsid w:val="009A41FA"/>
    <w:rsid w:val="009D65BE"/>
    <w:rsid w:val="009E3795"/>
    <w:rsid w:val="009E53BD"/>
    <w:rsid w:val="00A03AB8"/>
    <w:rsid w:val="00A22957"/>
    <w:rsid w:val="00A41938"/>
    <w:rsid w:val="00A549C9"/>
    <w:rsid w:val="00A752AA"/>
    <w:rsid w:val="00A8202B"/>
    <w:rsid w:val="00A97211"/>
    <w:rsid w:val="00AA6F8D"/>
    <w:rsid w:val="00AB4DA2"/>
    <w:rsid w:val="00AF75FC"/>
    <w:rsid w:val="00B01881"/>
    <w:rsid w:val="00B0429F"/>
    <w:rsid w:val="00B063A1"/>
    <w:rsid w:val="00B13148"/>
    <w:rsid w:val="00B2299D"/>
    <w:rsid w:val="00B61C9F"/>
    <w:rsid w:val="00B67362"/>
    <w:rsid w:val="00BC5173"/>
    <w:rsid w:val="00C17D20"/>
    <w:rsid w:val="00C362FF"/>
    <w:rsid w:val="00C82402"/>
    <w:rsid w:val="00C947A8"/>
    <w:rsid w:val="00CB7836"/>
    <w:rsid w:val="00CD52AD"/>
    <w:rsid w:val="00CE1A9C"/>
    <w:rsid w:val="00CF5963"/>
    <w:rsid w:val="00D042A5"/>
    <w:rsid w:val="00D33E16"/>
    <w:rsid w:val="00D604E9"/>
    <w:rsid w:val="00D73116"/>
    <w:rsid w:val="00D9404E"/>
    <w:rsid w:val="00DA2C93"/>
    <w:rsid w:val="00DB61A4"/>
    <w:rsid w:val="00DD5F60"/>
    <w:rsid w:val="00DF2189"/>
    <w:rsid w:val="00DF3781"/>
    <w:rsid w:val="00E001F6"/>
    <w:rsid w:val="00E07898"/>
    <w:rsid w:val="00E16974"/>
    <w:rsid w:val="00E32175"/>
    <w:rsid w:val="00E52C18"/>
    <w:rsid w:val="00E62D24"/>
    <w:rsid w:val="00E818A5"/>
    <w:rsid w:val="00E82350"/>
    <w:rsid w:val="00F04DE9"/>
    <w:rsid w:val="00F24EFB"/>
    <w:rsid w:val="00F364CA"/>
    <w:rsid w:val="00F56608"/>
    <w:rsid w:val="00F61135"/>
    <w:rsid w:val="00F80CAA"/>
    <w:rsid w:val="00F91C84"/>
    <w:rsid w:val="00F93B5C"/>
    <w:rsid w:val="00FA6F46"/>
    <w:rsid w:val="00FC5154"/>
    <w:rsid w:val="3B1372B4"/>
    <w:rsid w:val="5D8417C2"/>
    <w:rsid w:val="7E9573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Document Map"/>
    <w:basedOn w:val="1"/>
    <w:link w:val="12"/>
    <w:unhideWhenUsed/>
    <w:qFormat/>
    <w:uiPriority w:val="99"/>
    <w:rPr>
      <w:sz w:val="18"/>
      <w:szCs w:val="18"/>
    </w:rPr>
  </w:style>
  <w:style w:type="paragraph" w:styleId="3">
    <w:name w:val="Balloon Text"/>
    <w:basedOn w:val="1"/>
    <w:link w:val="15"/>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pPr>
  </w:style>
  <w:style w:type="character" w:styleId="9">
    <w:name w:val="Strong"/>
    <w:basedOn w:val="8"/>
    <w:qFormat/>
    <w:uiPriority w:val="22"/>
    <w:rPr>
      <w:b/>
      <w:bCs/>
    </w:rPr>
  </w:style>
  <w:style w:type="character" w:customStyle="1" w:styleId="10">
    <w:name w:val="页眉 Char"/>
    <w:basedOn w:val="8"/>
    <w:link w:val="5"/>
    <w:qFormat/>
    <w:locked/>
    <w:uiPriority w:val="99"/>
    <w:rPr>
      <w:rFonts w:hint="eastAsia" w:ascii="宋体" w:hAnsi="宋体" w:eastAsia="宋体" w:cs="宋体"/>
      <w:sz w:val="18"/>
      <w:szCs w:val="18"/>
    </w:rPr>
  </w:style>
  <w:style w:type="character" w:customStyle="1" w:styleId="11">
    <w:name w:val="页脚 Char"/>
    <w:basedOn w:val="8"/>
    <w:link w:val="4"/>
    <w:locked/>
    <w:uiPriority w:val="99"/>
    <w:rPr>
      <w:rFonts w:hint="eastAsia" w:ascii="宋体" w:hAnsi="宋体" w:eastAsia="宋体" w:cs="宋体"/>
      <w:sz w:val="18"/>
      <w:szCs w:val="18"/>
    </w:rPr>
  </w:style>
  <w:style w:type="character" w:customStyle="1" w:styleId="12">
    <w:name w:val="文档结构图 Char"/>
    <w:basedOn w:val="8"/>
    <w:link w:val="2"/>
    <w:semiHidden/>
    <w:qFormat/>
    <w:locked/>
    <w:uiPriority w:val="99"/>
    <w:rPr>
      <w:rFonts w:hint="eastAsia" w:ascii="宋体" w:hAnsi="宋体" w:eastAsia="宋体" w:cs="宋体"/>
      <w:sz w:val="18"/>
      <w:szCs w:val="18"/>
    </w:rPr>
  </w:style>
  <w:style w:type="paragraph" w:styleId="13">
    <w:name w:val="List Paragraph"/>
    <w:basedOn w:val="1"/>
    <w:qFormat/>
    <w:uiPriority w:val="34"/>
    <w:pPr>
      <w:widowControl w:val="0"/>
      <w:ind w:firstLine="420" w:firstLineChars="200"/>
      <w:jc w:val="both"/>
    </w:pPr>
    <w:rPr>
      <w:rFonts w:ascii="Calibri" w:hAnsi="Calibri" w:cs="Times New Roman"/>
      <w:kern w:val="2"/>
      <w:sz w:val="21"/>
      <w:szCs w:val="22"/>
    </w:rPr>
  </w:style>
  <w:style w:type="paragraph" w:customStyle="1" w:styleId="14">
    <w:name w:val="msonormal"/>
    <w:basedOn w:val="1"/>
    <w:semiHidden/>
    <w:qFormat/>
    <w:uiPriority w:val="99"/>
    <w:pPr>
      <w:spacing w:before="100" w:beforeAutospacing="1" w:after="100" w:afterAutospacing="1"/>
    </w:pPr>
  </w:style>
  <w:style w:type="character" w:customStyle="1" w:styleId="15">
    <w:name w:val="批注框文本 Char"/>
    <w:basedOn w:val="8"/>
    <w:link w:val="3"/>
    <w:semiHidden/>
    <w:uiPriority w:val="99"/>
    <w:rPr>
      <w:rFonts w:ascii="宋体" w:hAnsi="宋体" w:eastAsia="宋体" w:cs="宋体"/>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228A9-D8A3-43E8-AD49-09834E30010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59</Pages>
  <Words>9007</Words>
  <Characters>10476</Characters>
  <Lines>221</Lines>
  <Paragraphs>62</Paragraphs>
  <TotalTime>822</TotalTime>
  <ScaleCrop>false</ScaleCrop>
  <LinksUpToDate>false</LinksUpToDate>
  <CharactersWithSpaces>10640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Administrator</cp:lastModifiedBy>
  <cp:lastPrinted>2021-08-31T06:34:00Z</cp:lastPrinted>
  <dcterms:modified xsi:type="dcterms:W3CDTF">2025-01-17T02:24:17Z</dcterms:modified>
  <dc:title>公开报告模板</dc:title>
  <cp:revision>186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233170A1C898440CB20BF134D7FFB447_12</vt:lpwstr>
  </property>
  <property fmtid="{D5CDD505-2E9C-101B-9397-08002B2CF9AE}" pid="4" name="KSOTemplateDocerSaveRecord">
    <vt:lpwstr>eyJoZGlkIjoiMzQ3YzBlODg5NjZjMThmYTAzY2MxNjdjZWYzOWEzZjYifQ==</vt:lpwstr>
  </property>
</Properties>
</file>