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jc w:val="center"/>
        <w:rPr>
          <w:rFonts w:ascii="宋体" w:hAnsi="宋体" w:cs="Times New Roman"/>
          <w:b/>
          <w:bCs/>
          <w:w w:val="50"/>
          <w:kern w:val="2"/>
          <w:sz w:val="144"/>
        </w:rPr>
      </w:pPr>
    </w:p>
    <w:p>
      <w:pPr>
        <w:pStyle w:val="6"/>
        <w:shd w:val="clear" w:color="auto" w:fill="FFFFFF"/>
        <w:spacing w:before="0" w:beforeAutospacing="0" w:after="0" w:afterAutospacing="0" w:line="560" w:lineRule="exact"/>
        <w:jc w:val="both"/>
        <w:rPr>
          <w:rFonts w:ascii="方正仿宋_GBK" w:eastAsia="方正仿宋_GBK"/>
          <w:sz w:val="32"/>
          <w:szCs w:val="32"/>
        </w:rPr>
      </w:pPr>
      <w:r>
        <w:rPr>
          <w:rFonts w:hint="eastAsia" w:ascii="仿宋_GB2312" w:hAnsi="Arial" w:eastAsia="仿宋_GB2312" w:cs="Arial"/>
          <w:color w:val="000000"/>
          <w:spacing w:val="5"/>
          <w:kern w:val="0"/>
          <w:sz w:val="32"/>
          <w:szCs w:val="32"/>
        </w:rPr>
        <w:pict>
          <v:group id="Group 2" o:spid="_x0000_s1029" o:spt="203" style="position:absolute;left:0pt;margin-left:-18.85pt;margin-top:10.35pt;height:144.75pt;width:466.1pt;z-index:251659264;mso-width-relative:page;mso-height-relative:page;" coordsize="8460,2184">
            <o:lock v:ext="edit" aspectratio="f"/>
            <v:shape id="AutoShape 3" o:spid="_x0000_s1030" o:spt="136" type="#_x0000_t136" style="position:absolute;left:180;top:0;height:999;width:8100;" fillcolor="#FF0000" filled="t" stroked="t" coordsize="21600,21600">
              <v:path/>
              <v:fill on="t" focussize="0,0"/>
              <v:stroke color="#FF0000"/>
              <v:imagedata o:title=""/>
              <o:lock v:ext="edit" aspectratio="f"/>
              <v:textpath on="t" fitshape="t" fitpath="t" trim="t" xscale="f" string="重庆市南岸区南坪街道社区卫生服务中心文件" style="font-family:华文中宋;font-size:36pt;v-text-align:center;"/>
            </v:shape>
            <v:line id="Line 4" o:spid="_x0000_s1031" o:spt="20" style="position:absolute;left:0;top:2184;height:0;width:8460;" filled="f" stroked="t" coordsize="21600,21600">
              <v:path arrowok="t"/>
              <v:fill on="f" focussize="0,0"/>
              <v:stroke weight="2pt" color="#FF0000"/>
              <v:imagedata o:title=""/>
              <o:lock v:ext="edit" aspectratio="f"/>
            </v:line>
          </v:group>
        </w:pict>
      </w:r>
    </w:p>
    <w:p>
      <w:pPr>
        <w:pStyle w:val="6"/>
        <w:shd w:val="clear" w:color="auto" w:fill="FFFFFF"/>
        <w:spacing w:before="0" w:beforeAutospacing="0" w:after="0" w:afterAutospacing="0" w:line="560" w:lineRule="exact"/>
        <w:jc w:val="both"/>
        <w:rPr>
          <w:rFonts w:ascii="方正仿宋_GBK" w:eastAsia="方正仿宋_GBK"/>
          <w:sz w:val="32"/>
          <w:szCs w:val="32"/>
        </w:rPr>
      </w:pPr>
    </w:p>
    <w:p>
      <w:pPr>
        <w:pStyle w:val="6"/>
        <w:shd w:val="clear" w:color="auto" w:fill="FFFFFF"/>
        <w:spacing w:before="0" w:beforeAutospacing="0" w:after="0" w:afterAutospacing="0" w:line="560" w:lineRule="exact"/>
        <w:jc w:val="both"/>
        <w:rPr>
          <w:rFonts w:ascii="方正仿宋_GBK" w:eastAsia="方正仿宋_GBK"/>
          <w:sz w:val="32"/>
          <w:szCs w:val="32"/>
        </w:rPr>
      </w:pPr>
    </w:p>
    <w:p>
      <w:pPr>
        <w:pStyle w:val="6"/>
        <w:shd w:val="clear" w:color="auto" w:fill="FFFFFF"/>
        <w:spacing w:before="0" w:beforeAutospacing="0" w:after="0" w:afterAutospacing="0" w:line="560" w:lineRule="exact"/>
        <w:jc w:val="center"/>
        <w:outlineLvl w:val="0"/>
        <w:rPr>
          <w:rFonts w:ascii="方正小标宋_GBK" w:eastAsia="方正小标宋_GBK"/>
          <w:sz w:val="44"/>
          <w:szCs w:val="44"/>
        </w:rPr>
      </w:pPr>
    </w:p>
    <w:p>
      <w:pPr>
        <w:pStyle w:val="6"/>
        <w:shd w:val="clear" w:color="auto" w:fill="FFFFFF"/>
        <w:spacing w:before="0" w:beforeAutospacing="0" w:after="0" w:afterAutospacing="0" w:line="560" w:lineRule="exact"/>
        <w:jc w:val="center"/>
        <w:outlineLvl w:val="0"/>
        <w:rPr>
          <w:rFonts w:ascii="方正小标宋_GBK" w:eastAsia="方正小标宋_GBK"/>
          <w:sz w:val="44"/>
          <w:szCs w:val="44"/>
        </w:rPr>
      </w:pPr>
    </w:p>
    <w:p>
      <w:pPr>
        <w:pStyle w:val="6"/>
        <w:shd w:val="clear" w:color="auto" w:fill="FFFFFF"/>
        <w:spacing w:before="0" w:beforeAutospacing="0" w:after="0" w:afterAutospacing="0" w:line="560" w:lineRule="exact"/>
        <w:jc w:val="center"/>
        <w:outlineLvl w:val="0"/>
        <w:rPr>
          <w:rFonts w:hint="eastAsia" w:ascii="方正小标宋_GBK" w:eastAsia="方正小标宋_GBK"/>
          <w:sz w:val="44"/>
          <w:szCs w:val="44"/>
        </w:rPr>
      </w:pPr>
    </w:p>
    <w:p>
      <w:pPr>
        <w:pStyle w:val="6"/>
        <w:shd w:val="clear" w:color="auto" w:fill="FFFFFF"/>
        <w:spacing w:before="0" w:beforeAutospacing="0" w:after="0" w:afterAutospacing="0" w:line="560" w:lineRule="exact"/>
        <w:jc w:val="center"/>
        <w:outlineLvl w:val="0"/>
        <w:rPr>
          <w:rFonts w:hint="eastAsia" w:ascii="方正小标宋_GBK" w:eastAsia="方正小标宋_GBK"/>
          <w:sz w:val="32"/>
          <w:szCs w:val="32"/>
        </w:rPr>
      </w:pPr>
    </w:p>
    <w:p>
      <w:pPr>
        <w:pStyle w:val="6"/>
        <w:shd w:val="clear" w:color="auto" w:fill="FFFFFF"/>
        <w:spacing w:before="0" w:beforeAutospacing="0" w:after="0" w:afterAutospacing="0" w:line="560" w:lineRule="exact"/>
        <w:jc w:val="center"/>
        <w:outlineLvl w:val="0"/>
        <w:rPr>
          <w:rFonts w:ascii="方正小标宋_GBK" w:eastAsia="方正小标宋_GBK"/>
          <w:sz w:val="44"/>
          <w:szCs w:val="44"/>
        </w:rPr>
      </w:pPr>
      <w:r>
        <w:rPr>
          <w:rFonts w:hint="eastAsia" w:ascii="方正小标宋_GBK" w:eastAsia="方正小标宋_GBK"/>
          <w:sz w:val="44"/>
          <w:szCs w:val="44"/>
        </w:rPr>
        <w:t>南坪街道社区卫生服务中心</w:t>
      </w:r>
    </w:p>
    <w:p>
      <w:pPr>
        <w:pStyle w:val="6"/>
        <w:shd w:val="clear" w:color="auto" w:fill="FFFFFF"/>
        <w:spacing w:before="0" w:beforeAutospacing="0" w:after="0" w:afterAutospacing="0" w:line="560" w:lineRule="exact"/>
        <w:jc w:val="center"/>
        <w:outlineLvl w:val="0"/>
        <w:rPr>
          <w:rFonts w:ascii="方正小标宋_GBK" w:eastAsia="方正小标宋_GBK"/>
          <w:sz w:val="44"/>
          <w:szCs w:val="44"/>
        </w:rPr>
      </w:pPr>
      <w:r>
        <w:rPr>
          <w:rFonts w:hint="eastAsia" w:ascii="方正小标宋_GBK" w:eastAsia="方正小标宋_GBK"/>
          <w:sz w:val="44"/>
          <w:szCs w:val="44"/>
        </w:rPr>
        <w:t>2020年度部门决算情况说明</w:t>
      </w:r>
    </w:p>
    <w:p>
      <w:pPr>
        <w:pStyle w:val="6"/>
        <w:shd w:val="clear" w:color="auto" w:fill="FFFFFF"/>
        <w:spacing w:before="0" w:beforeAutospacing="0" w:after="0" w:afterAutospacing="0" w:line="560" w:lineRule="exact"/>
        <w:ind w:firstLine="880" w:firstLineChars="200"/>
        <w:jc w:val="both"/>
        <w:rPr>
          <w:rFonts w:ascii="方正小标宋_GBK" w:eastAsia="方正小标宋_GBK"/>
          <w:sz w:val="44"/>
          <w:szCs w:val="44"/>
        </w:rPr>
      </w:pPr>
    </w:p>
    <w:p>
      <w:pPr>
        <w:pStyle w:val="6"/>
        <w:shd w:val="clear" w:color="auto" w:fill="FFFFFF"/>
        <w:spacing w:before="0" w:beforeAutospacing="0" w:after="0" w:afterAutospacing="0" w:line="560" w:lineRule="exact"/>
        <w:ind w:firstLine="640" w:firstLineChars="200"/>
        <w:jc w:val="both"/>
        <w:outlineLvl w:val="0"/>
        <w:rPr>
          <w:rStyle w:val="9"/>
          <w:rFonts w:ascii="方正黑体_GBK" w:eastAsia="方正黑体_GBK"/>
          <w:b w:val="0"/>
          <w:sz w:val="32"/>
          <w:szCs w:val="32"/>
        </w:rPr>
      </w:pPr>
      <w:r>
        <w:rPr>
          <w:rStyle w:val="9"/>
          <w:rFonts w:hint="eastAsia" w:ascii="方正黑体_GBK" w:eastAsia="方正黑体_GBK"/>
          <w:b w:val="0"/>
          <w:sz w:val="32"/>
          <w:szCs w:val="32"/>
        </w:rPr>
        <w:t>一、部门基本情况</w:t>
      </w:r>
    </w:p>
    <w:p>
      <w:pPr>
        <w:snapToGrid w:val="0"/>
        <w:spacing w:line="520" w:lineRule="exact"/>
        <w:ind w:firstLine="643" w:firstLineChars="200"/>
        <w:rPr>
          <w:rFonts w:ascii="方正仿宋_GBK" w:eastAsia="方正仿宋_GBK"/>
          <w:b/>
          <w:sz w:val="32"/>
          <w:szCs w:val="32"/>
        </w:rPr>
      </w:pPr>
      <w:r>
        <w:rPr>
          <w:rFonts w:hint="eastAsia" w:ascii="方正仿宋_GBK" w:eastAsia="方正仿宋_GBK"/>
          <w:b/>
          <w:sz w:val="32"/>
          <w:szCs w:val="32"/>
        </w:rPr>
        <w:t>（一）职能职责</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我单位既是南岸区中医院又是南坪街道社区卫生服务中心，集医疗服务与基本公共卫生服务为一体，是一所中医特色鲜明，集医疗、教学、科研为一体的综合型二级中医院，拥有1个国家级名老中医传承工作室、2个国家级中医特色专科骨伤科及康复科、1个市级重点专科骨伤科、1个区级特色专科脾胃病科，开设有中医科、康复科、骨科、外科、妇产科、综合内科；同时又从事社区卫生服务中心所承担的职能职责，为辖区居民提供国家基本公共卫生服务、重大公共卫生服务等，设置社区卫生科、儿童健康管理中心专职公卫科室，组建了32个家医服务团队，为居民提供预防接种、老年人、高血压、糖尿病、突发公共卫生事件处置（如传染病疫情防控）等国家基本公共卫生项目服务。</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（二）</w:t>
      </w:r>
      <w:r>
        <w:rPr>
          <w:rFonts w:hint="eastAsia" w:ascii="方正仿宋_GBK" w:eastAsia="方正仿宋_GBK"/>
          <w:b/>
          <w:sz w:val="32"/>
          <w:szCs w:val="32"/>
        </w:rPr>
        <w:t>机构设置</w:t>
      </w:r>
    </w:p>
    <w:p>
      <w:pPr>
        <w:snapToGrid w:val="0"/>
        <w:spacing w:line="520" w:lineRule="exact"/>
        <w:ind w:firstLine="640" w:firstLineChars="200"/>
        <w:rPr>
          <w:rFonts w:ascii="方正仿宋_GBK" w:eastAsia="方正仿宋_GBK"/>
          <w:sz w:val="32"/>
          <w:szCs w:val="32"/>
        </w:rPr>
      </w:pPr>
      <w:r>
        <w:rPr>
          <w:rFonts w:hint="eastAsia" w:ascii="方正仿宋_GBK" w:eastAsia="方正仿宋_GBK"/>
          <w:sz w:val="32"/>
          <w:szCs w:val="32"/>
        </w:rPr>
        <w:t>我院编制人数132人，独立编制机构数1个，独立核算机构数1个，属于财政拨款的事业单位。</w:t>
      </w:r>
    </w:p>
    <w:p>
      <w:pPr>
        <w:pStyle w:val="6"/>
        <w:shd w:val="clear" w:color="auto" w:fill="FFFFFF"/>
        <w:spacing w:before="0" w:beforeAutospacing="0" w:after="0" w:afterAutospacing="0" w:line="560" w:lineRule="exact"/>
        <w:ind w:firstLine="517" w:firstLineChars="161"/>
        <w:jc w:val="both"/>
        <w:outlineLvl w:val="1"/>
        <w:rPr>
          <w:rFonts w:ascii="方正仿宋_GBK" w:eastAsia="方正仿宋_GBK"/>
          <w:b/>
          <w:sz w:val="32"/>
          <w:szCs w:val="32"/>
        </w:rPr>
      </w:pPr>
      <w:r>
        <w:rPr>
          <w:rFonts w:hint="eastAsia" w:ascii="方正仿宋_GBK" w:eastAsia="方正仿宋_GBK"/>
          <w:b/>
          <w:sz w:val="32"/>
          <w:szCs w:val="32"/>
        </w:rPr>
        <w:t>（三）单位构成</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本单位无下级预算单位</w:t>
      </w:r>
    </w:p>
    <w:p>
      <w:pPr>
        <w:pStyle w:val="6"/>
        <w:shd w:val="clear" w:color="auto" w:fill="FFFFFF"/>
        <w:spacing w:before="0" w:beforeAutospacing="0" w:after="0" w:afterAutospacing="0" w:line="560" w:lineRule="exact"/>
        <w:ind w:firstLine="640" w:firstLineChars="200"/>
        <w:jc w:val="both"/>
        <w:outlineLvl w:val="0"/>
        <w:rPr>
          <w:rStyle w:val="9"/>
          <w:rFonts w:ascii="方正黑体_GBK" w:eastAsia="方正黑体_GBK"/>
          <w:b w:val="0"/>
        </w:rPr>
      </w:pPr>
      <w:r>
        <w:rPr>
          <w:rStyle w:val="9"/>
          <w:rFonts w:hint="eastAsia" w:ascii="方正黑体_GBK" w:eastAsia="方正黑体_GBK"/>
          <w:b w:val="0"/>
          <w:sz w:val="32"/>
          <w:szCs w:val="32"/>
        </w:rPr>
        <w:t>二、部门决算情况说明</w:t>
      </w:r>
    </w:p>
    <w:p>
      <w:pPr>
        <w:pStyle w:val="6"/>
        <w:shd w:val="clear" w:color="auto" w:fill="FFFFFF"/>
        <w:spacing w:before="0" w:beforeAutospacing="0" w:after="0" w:afterAutospacing="0" w:line="560" w:lineRule="exact"/>
        <w:ind w:firstLine="643" w:firstLineChars="200"/>
        <w:jc w:val="both"/>
        <w:outlineLvl w:val="0"/>
        <w:rPr>
          <w:rFonts w:ascii="方正仿宋_GBK" w:eastAsia="方正仿宋_GBK"/>
          <w:sz w:val="32"/>
          <w:szCs w:val="32"/>
        </w:rPr>
      </w:pPr>
      <w:r>
        <w:rPr>
          <w:rStyle w:val="9"/>
          <w:rFonts w:hint="eastAsia" w:ascii="方正仿宋_GBK" w:eastAsia="方正仿宋_GBK"/>
          <w:sz w:val="32"/>
          <w:szCs w:val="32"/>
        </w:rPr>
        <w:t>（一）收入支出决算总体情况说明</w:t>
      </w:r>
    </w:p>
    <w:p>
      <w:pPr>
        <w:pStyle w:val="6"/>
        <w:shd w:val="clear" w:color="auto" w:fill="FFFFFF"/>
        <w:spacing w:before="0" w:beforeAutospacing="0" w:after="0" w:afterAutospacing="0" w:line="560" w:lineRule="exact"/>
        <w:ind w:firstLine="643" w:firstLineChars="200"/>
        <w:jc w:val="both"/>
        <w:rPr>
          <w:rFonts w:ascii="方正仿宋_GBK" w:eastAsia="方正仿宋_GBK"/>
          <w:sz w:val="32"/>
          <w:szCs w:val="32"/>
        </w:rPr>
      </w:pPr>
      <w:r>
        <w:rPr>
          <w:rFonts w:hint="eastAsia" w:ascii="方正仿宋_GBK" w:eastAsia="方正仿宋_GBK"/>
          <w:b/>
          <w:sz w:val="32"/>
          <w:szCs w:val="32"/>
        </w:rPr>
        <w:t>1.总体情况。</w:t>
      </w:r>
      <w:r>
        <w:rPr>
          <w:rFonts w:hint="eastAsia" w:ascii="方正仿宋_GBK" w:eastAsia="方正仿宋_GBK"/>
          <w:sz w:val="32"/>
          <w:szCs w:val="32"/>
        </w:rPr>
        <w:t>2020年度收入总计20574.78万元（其中年初结转和结余</w:t>
      </w:r>
      <w:r>
        <w:rPr>
          <w:rFonts w:ascii="方正仿宋_GBK" w:eastAsia="方正仿宋_GBK"/>
          <w:sz w:val="32"/>
          <w:szCs w:val="32"/>
        </w:rPr>
        <w:t>3139.42万元</w:t>
      </w:r>
      <w:r>
        <w:rPr>
          <w:rFonts w:hint="eastAsia" w:ascii="方正仿宋_GBK" w:eastAsia="方正仿宋_GBK"/>
          <w:sz w:val="32"/>
          <w:szCs w:val="32"/>
        </w:rPr>
        <w:t>），收入总计较上年决算数增加 4424.51万元，增长27.4%；支出总计20574.78万元（其中结余分配54.67万元，年末结转结余5926.3万元），较上年决算数增加 4424.51万元，增长27.4%，增长主要原因是今年财政拨款收入中比上年增加了迁改建基建资金3000万元、设备购置国债资金</w:t>
      </w:r>
      <w:r>
        <w:rPr>
          <w:rFonts w:ascii="方正仿宋_GBK" w:eastAsia="方正仿宋_GBK"/>
          <w:sz w:val="32"/>
          <w:szCs w:val="32"/>
        </w:rPr>
        <w:t>2000万元</w:t>
      </w:r>
      <w:r>
        <w:rPr>
          <w:rFonts w:hint="eastAsia" w:ascii="方正仿宋_GBK" w:eastAsia="方正仿宋_GBK"/>
          <w:sz w:val="32"/>
          <w:szCs w:val="32"/>
        </w:rPr>
        <w:t>和基本公共卫生补助资金549.85万元。</w:t>
      </w:r>
    </w:p>
    <w:p>
      <w:pPr>
        <w:pStyle w:val="6"/>
        <w:shd w:val="clear" w:color="auto" w:fill="FFFFFF"/>
        <w:spacing w:before="0" w:beforeAutospacing="0" w:after="0" w:afterAutospacing="0" w:line="560" w:lineRule="exact"/>
        <w:ind w:firstLine="643" w:firstLineChars="200"/>
        <w:jc w:val="both"/>
        <w:rPr>
          <w:rFonts w:ascii="方正仿宋_GBK" w:eastAsia="方正仿宋_GBK"/>
          <w:color w:val="FF0000"/>
          <w:sz w:val="32"/>
          <w:szCs w:val="32"/>
        </w:rPr>
      </w:pPr>
      <w:r>
        <w:rPr>
          <w:rFonts w:hint="eastAsia" w:ascii="方正仿宋_GBK" w:eastAsia="方正仿宋_GBK"/>
          <w:b/>
          <w:sz w:val="32"/>
          <w:szCs w:val="32"/>
        </w:rPr>
        <w:t>2.收入情况。</w:t>
      </w:r>
      <w:r>
        <w:rPr>
          <w:rFonts w:hint="eastAsia" w:ascii="方正仿宋_GBK" w:eastAsia="方正仿宋_GBK"/>
          <w:sz w:val="32"/>
          <w:szCs w:val="32"/>
        </w:rPr>
        <w:t>2020年度收入合计17435.36万元，较上年决算数增加6256.76万元，增长了 56.0%，主要原因是今年财政拨款收入中增加了5000万元国债资金和基本公共卫生补助资金549.85万元。其中：财政拨款收入8398.51万元，占48.2%；事业收入9002.45万元，占51.6%；其他收入34.4万元，占0.2%。此外，年初结转和结余3139.42万元。</w:t>
      </w:r>
    </w:p>
    <w:p>
      <w:pPr>
        <w:pStyle w:val="6"/>
        <w:shd w:val="clear" w:color="auto" w:fill="FFFFFF"/>
        <w:spacing w:before="0" w:beforeAutospacing="0" w:after="0" w:afterAutospacing="0" w:line="560" w:lineRule="exact"/>
        <w:ind w:firstLine="643" w:firstLineChars="200"/>
        <w:jc w:val="both"/>
        <w:rPr>
          <w:rFonts w:ascii="方正仿宋_GBK" w:eastAsia="方正仿宋_GBK"/>
          <w:sz w:val="32"/>
          <w:szCs w:val="32"/>
        </w:rPr>
      </w:pPr>
      <w:r>
        <w:rPr>
          <w:rFonts w:hint="eastAsia" w:ascii="方正仿宋_GBK" w:eastAsia="方正仿宋_GBK"/>
          <w:b/>
          <w:sz w:val="32"/>
          <w:szCs w:val="32"/>
        </w:rPr>
        <w:t>3.支出情况。</w:t>
      </w:r>
      <w:r>
        <w:rPr>
          <w:rFonts w:hint="eastAsia" w:ascii="方正仿宋_GBK" w:eastAsia="方正仿宋_GBK"/>
          <w:sz w:val="32"/>
          <w:szCs w:val="32"/>
        </w:rPr>
        <w:t>2020年度支出合计14593.81万元，较上年决算数增加 2134.25万元，增长了 17.1%，主要原因是今年国债资金支出增加2000万元，疫情防控支出增加178万元，基本公卫支出增加364.3万元。其中：基本支出10984.02万元，占75.3%；项目支出3609.8万元，占24.7%；此外，结余分配54.67万元。</w:t>
      </w:r>
    </w:p>
    <w:p>
      <w:pPr>
        <w:pStyle w:val="6"/>
        <w:shd w:val="clear" w:color="auto" w:fill="FFFFFF"/>
        <w:spacing w:before="0" w:beforeAutospacing="0" w:after="0" w:afterAutospacing="0" w:line="560" w:lineRule="exact"/>
        <w:ind w:firstLine="643" w:firstLineChars="200"/>
        <w:jc w:val="both"/>
        <w:rPr>
          <w:rFonts w:ascii="方正仿宋_GBK" w:eastAsia="方正仿宋_GBK"/>
          <w:sz w:val="32"/>
          <w:szCs w:val="32"/>
        </w:rPr>
      </w:pPr>
      <w:r>
        <w:rPr>
          <w:rFonts w:hint="eastAsia" w:ascii="方正仿宋_GBK" w:eastAsia="方正仿宋_GBK"/>
          <w:b/>
          <w:sz w:val="32"/>
          <w:szCs w:val="32"/>
        </w:rPr>
        <w:t>4.结转结余情况。</w:t>
      </w:r>
      <w:r>
        <w:rPr>
          <w:rFonts w:hint="eastAsia" w:ascii="方正仿宋_GBK" w:eastAsia="方正仿宋_GBK"/>
          <w:sz w:val="32"/>
          <w:szCs w:val="32"/>
        </w:rPr>
        <w:t>2020年度年末结转和结余5926.3万元，较上年决算数增加 2786.88万元，增长</w:t>
      </w:r>
      <w:r>
        <w:rPr>
          <w:rFonts w:hint="eastAsia" w:ascii="方正仿宋_GBK" w:eastAsia="方正仿宋_GBK"/>
          <w:color w:val="FF0000"/>
          <w:sz w:val="32"/>
          <w:szCs w:val="32"/>
        </w:rPr>
        <w:t xml:space="preserve"> </w:t>
      </w:r>
      <w:r>
        <w:rPr>
          <w:rFonts w:hint="eastAsia" w:ascii="方正仿宋_GBK" w:eastAsia="方正仿宋_GBK"/>
          <w:sz w:val="32"/>
          <w:szCs w:val="32"/>
        </w:rPr>
        <w:t>88.8%，主要原因是今年收到基建国债资金3000万元，但由于迁改建工程2020年主要开展前期工作，产生支出较少，造成了专项结转和结余增多。</w:t>
      </w:r>
    </w:p>
    <w:p>
      <w:pPr>
        <w:pStyle w:val="6"/>
        <w:shd w:val="clear" w:color="auto" w:fill="FFFFFF"/>
        <w:spacing w:before="0" w:beforeAutospacing="0" w:after="0" w:afterAutospacing="0" w:line="560" w:lineRule="exact"/>
        <w:ind w:firstLine="643" w:firstLineChars="200"/>
        <w:jc w:val="both"/>
        <w:outlineLvl w:val="0"/>
        <w:rPr>
          <w:rStyle w:val="9"/>
        </w:rPr>
      </w:pPr>
      <w:r>
        <w:rPr>
          <w:rStyle w:val="9"/>
          <w:rFonts w:hint="eastAsia" w:ascii="方正仿宋_GBK" w:eastAsia="方正仿宋_GBK"/>
          <w:sz w:val="32"/>
          <w:szCs w:val="32"/>
        </w:rPr>
        <w:t>（二）财政拨款收入支出决算总体情况说明</w:t>
      </w:r>
    </w:p>
    <w:p>
      <w:pPr>
        <w:pStyle w:val="6"/>
        <w:shd w:val="clear" w:color="auto" w:fill="FFFFFF"/>
        <w:spacing w:before="0" w:beforeAutospacing="0" w:after="0" w:afterAutospacing="0" w:line="560" w:lineRule="exact"/>
        <w:ind w:firstLine="640" w:firstLineChars="200"/>
        <w:jc w:val="both"/>
        <w:rPr>
          <w:rFonts w:ascii="方正仿宋_GBK" w:eastAsia="方正仿宋_GBK"/>
          <w:color w:val="auto"/>
          <w:sz w:val="32"/>
          <w:szCs w:val="32"/>
        </w:rPr>
      </w:pPr>
      <w:r>
        <w:rPr>
          <w:rFonts w:hint="eastAsia" w:ascii="方正仿宋_GBK" w:eastAsia="方正仿宋_GBK"/>
          <w:bCs/>
          <w:sz w:val="32"/>
          <w:szCs w:val="32"/>
        </w:rPr>
        <w:t>2020年度财政拨款</w:t>
      </w:r>
      <w:r>
        <w:rPr>
          <w:rFonts w:hint="eastAsia" w:ascii="方正仿宋_GBK" w:eastAsia="方正仿宋_GBK"/>
          <w:bCs/>
          <w:color w:val="auto"/>
          <w:sz w:val="32"/>
          <w:szCs w:val="32"/>
        </w:rPr>
        <w:t>收入</w:t>
      </w:r>
      <w:r>
        <w:rPr>
          <w:rFonts w:hint="eastAsia" w:ascii="方正仿宋_GBK" w:eastAsia="方正仿宋_GBK"/>
          <w:bCs/>
          <w:color w:val="auto"/>
          <w:sz w:val="32"/>
          <w:szCs w:val="32"/>
          <w:lang w:eastAsia="zh-CN"/>
        </w:rPr>
        <w:t>总</w:t>
      </w:r>
      <w:r>
        <w:rPr>
          <w:rFonts w:hint="eastAsia" w:ascii="方正仿宋_GBK" w:eastAsia="方正仿宋_GBK"/>
          <w:bCs/>
          <w:color w:val="auto"/>
          <w:sz w:val="32"/>
          <w:szCs w:val="32"/>
        </w:rPr>
        <w:t>计</w:t>
      </w:r>
      <w:r>
        <w:rPr>
          <w:rFonts w:hint="eastAsia" w:ascii="方正仿宋_GBK" w:eastAsia="方正仿宋_GBK"/>
          <w:bCs/>
          <w:color w:val="auto"/>
          <w:sz w:val="32"/>
          <w:szCs w:val="32"/>
          <w:lang w:val="en-US" w:eastAsia="zh-CN"/>
        </w:rPr>
        <w:t>11537.93</w:t>
      </w:r>
      <w:r>
        <w:rPr>
          <w:rFonts w:hint="eastAsia" w:ascii="方正仿宋_GBK" w:eastAsia="方正仿宋_GBK"/>
          <w:bCs/>
          <w:color w:val="auto"/>
          <w:sz w:val="32"/>
          <w:szCs w:val="32"/>
        </w:rPr>
        <w:t>万元。与2019 年相比增加 5756.62万元，增加</w:t>
      </w:r>
      <w:r>
        <w:rPr>
          <w:rFonts w:hint="eastAsia" w:ascii="方正仿宋_GBK" w:eastAsia="方正仿宋_GBK"/>
          <w:bCs/>
          <w:color w:val="auto"/>
          <w:sz w:val="32"/>
          <w:szCs w:val="32"/>
          <w:lang w:val="en-US" w:eastAsia="zh-CN"/>
        </w:rPr>
        <w:t>93.04</w:t>
      </w:r>
      <w:r>
        <w:rPr>
          <w:rFonts w:hint="eastAsia" w:ascii="方正仿宋_GBK" w:eastAsia="方正仿宋_GBK"/>
          <w:bCs/>
          <w:color w:val="auto"/>
          <w:sz w:val="32"/>
          <w:szCs w:val="32"/>
        </w:rPr>
        <w:t>%。</w:t>
      </w:r>
      <w:r>
        <w:rPr>
          <w:rFonts w:hint="eastAsia" w:ascii="方正仿宋_GBK" w:eastAsia="方正仿宋_GBK"/>
          <w:color w:val="auto"/>
          <w:sz w:val="32"/>
          <w:szCs w:val="32"/>
        </w:rPr>
        <w:t>主要原因是2020年度财政拨款较2019年增加了基建国债资金3000万元、设备购置国债资金2000万元及基本公共卫生补助资金549.85万元。</w:t>
      </w:r>
    </w:p>
    <w:p>
      <w:pPr>
        <w:pStyle w:val="6"/>
        <w:shd w:val="clear" w:color="auto" w:fill="FFFFFF"/>
        <w:spacing w:before="0" w:beforeAutospacing="0" w:after="0" w:afterAutospacing="0" w:line="560" w:lineRule="exact"/>
        <w:ind w:firstLine="640" w:firstLineChars="200"/>
        <w:jc w:val="both"/>
        <w:rPr>
          <w:rFonts w:ascii="方正仿宋_GBK" w:eastAsia="方正仿宋_GBK"/>
          <w:color w:val="FF0000"/>
          <w:sz w:val="32"/>
          <w:szCs w:val="32"/>
        </w:rPr>
      </w:pPr>
      <w:r>
        <w:rPr>
          <w:rFonts w:hint="eastAsia" w:ascii="方正仿宋_GBK" w:eastAsia="方正仿宋_GBK"/>
          <w:bCs/>
          <w:color w:val="auto"/>
          <w:sz w:val="32"/>
          <w:szCs w:val="32"/>
        </w:rPr>
        <w:t>2020年度财政拨款支出</w:t>
      </w:r>
      <w:r>
        <w:rPr>
          <w:rFonts w:hint="eastAsia" w:ascii="方正仿宋_GBK" w:eastAsia="方正仿宋_GBK"/>
          <w:bCs/>
          <w:color w:val="auto"/>
          <w:sz w:val="32"/>
          <w:szCs w:val="32"/>
          <w:lang w:eastAsia="zh-CN"/>
        </w:rPr>
        <w:t>总</w:t>
      </w:r>
      <w:r>
        <w:rPr>
          <w:rFonts w:hint="eastAsia" w:ascii="方正仿宋_GBK" w:eastAsia="方正仿宋_GBK"/>
          <w:bCs/>
          <w:color w:val="auto"/>
          <w:sz w:val="32"/>
          <w:szCs w:val="32"/>
        </w:rPr>
        <w:t>计</w:t>
      </w:r>
      <w:r>
        <w:rPr>
          <w:rFonts w:hint="eastAsia" w:ascii="方正仿宋_GBK" w:eastAsia="方正仿宋_GBK"/>
          <w:bCs/>
          <w:color w:val="auto"/>
          <w:sz w:val="32"/>
          <w:szCs w:val="32"/>
          <w:lang w:val="en-US" w:eastAsia="zh-CN"/>
        </w:rPr>
        <w:t>11537.93</w:t>
      </w:r>
      <w:r>
        <w:rPr>
          <w:rFonts w:hint="eastAsia" w:ascii="方正仿宋_GBK" w:eastAsia="方正仿宋_GBK"/>
          <w:bCs/>
          <w:color w:val="auto"/>
          <w:sz w:val="32"/>
          <w:szCs w:val="32"/>
        </w:rPr>
        <w:t>万元</w:t>
      </w:r>
      <w:r>
        <w:rPr>
          <w:rFonts w:hint="eastAsia" w:ascii="方正仿宋_GBK" w:eastAsia="方正仿宋_GBK"/>
          <w:bCs/>
          <w:sz w:val="32"/>
          <w:szCs w:val="32"/>
        </w:rPr>
        <w:t>，与2019年相比增加了</w:t>
      </w:r>
      <w:r>
        <w:rPr>
          <w:rFonts w:hint="eastAsia" w:ascii="方正仿宋_GBK" w:eastAsia="方正仿宋_GBK"/>
          <w:bCs/>
          <w:sz w:val="32"/>
          <w:szCs w:val="32"/>
          <w:lang w:val="en-US" w:eastAsia="zh-CN"/>
        </w:rPr>
        <w:t>5756.62</w:t>
      </w:r>
      <w:r>
        <w:rPr>
          <w:rFonts w:hint="eastAsia" w:ascii="方正仿宋_GBK" w:eastAsia="方正仿宋_GBK"/>
          <w:bCs/>
          <w:sz w:val="32"/>
          <w:szCs w:val="32"/>
        </w:rPr>
        <w:t>万元，增加了</w:t>
      </w:r>
      <w:r>
        <w:rPr>
          <w:rFonts w:hint="eastAsia" w:ascii="方正仿宋_GBK" w:eastAsia="方正仿宋_GBK"/>
          <w:bCs/>
          <w:sz w:val="32"/>
          <w:szCs w:val="32"/>
          <w:lang w:val="en-US" w:eastAsia="zh-CN"/>
        </w:rPr>
        <w:t>93.04</w:t>
      </w:r>
      <w:r>
        <w:rPr>
          <w:rFonts w:hint="eastAsia" w:ascii="方正仿宋_GBK" w:eastAsia="方正仿宋_GBK"/>
          <w:bCs/>
          <w:sz w:val="32"/>
          <w:szCs w:val="32"/>
        </w:rPr>
        <w:t>%，主要原因是</w:t>
      </w:r>
      <w:r>
        <w:rPr>
          <w:rFonts w:hint="eastAsia" w:ascii="方正仿宋_GBK" w:eastAsia="方正仿宋_GBK"/>
          <w:sz w:val="32"/>
          <w:szCs w:val="32"/>
        </w:rPr>
        <w:t>今年国债资金支出增加2000万元，疫情防控支出增加178万元，基本公卫支出增加364.3万元。</w:t>
      </w:r>
    </w:p>
    <w:p>
      <w:pPr>
        <w:pStyle w:val="6"/>
        <w:shd w:val="clear" w:color="auto" w:fill="FFFFFF"/>
        <w:spacing w:before="0" w:beforeAutospacing="0" w:after="0" w:afterAutospacing="0" w:line="560" w:lineRule="exact"/>
        <w:ind w:firstLine="643" w:firstLineChars="200"/>
        <w:jc w:val="both"/>
        <w:outlineLvl w:val="0"/>
        <w:rPr>
          <w:rStyle w:val="9"/>
        </w:rPr>
      </w:pPr>
      <w:r>
        <w:rPr>
          <w:rStyle w:val="9"/>
          <w:rFonts w:hint="eastAsia" w:ascii="方正仿宋_GBK" w:eastAsia="方正仿宋_GBK"/>
          <w:sz w:val="32"/>
          <w:szCs w:val="32"/>
        </w:rPr>
        <w:t>（三）一般公共预算财政拨款收入支出决算情况说明</w:t>
      </w:r>
    </w:p>
    <w:p>
      <w:pPr>
        <w:pStyle w:val="6"/>
        <w:shd w:val="clear" w:color="auto" w:fill="FFFFFF"/>
        <w:spacing w:before="0" w:beforeAutospacing="0" w:after="0" w:afterAutospacing="0" w:line="560" w:lineRule="exact"/>
        <w:ind w:firstLine="643" w:firstLineChars="200"/>
        <w:jc w:val="both"/>
      </w:pPr>
      <w:r>
        <w:rPr>
          <w:rFonts w:hint="eastAsia" w:ascii="方正仿宋_GBK" w:eastAsia="方正仿宋_GBK"/>
          <w:b/>
          <w:sz w:val="32"/>
          <w:szCs w:val="32"/>
        </w:rPr>
        <w:t>1.收入情况。</w:t>
      </w:r>
      <w:r>
        <w:rPr>
          <w:rFonts w:hint="eastAsia" w:ascii="方正仿宋_GBK" w:eastAsia="方正仿宋_GBK"/>
          <w:sz w:val="32"/>
          <w:szCs w:val="32"/>
        </w:rPr>
        <w:t>2020年度一般公共预算财政拨款收入3398.51万元，较上年决算数增加756.61万元，增长 28.63%。主要原因是基本支出拨款较去年增加341.74万元，项目支出拨款中基本公卫补助增加了549.85万元。较年初预算数增加 1775.56万元，增长65.58%。主要原因是追加了中医药传承与发展1万元、药品零差率66万元、基本公卫服务1143.17万元、公立医院改革项目资金76万元、医疗服务质量5万元、海棠晓月装修100万元、核酸检测3.5万元、高层次人才2万元、购房补贴367.85万元、退休健康疗养费15.95万元共1775.56万元。此外，年初财政拨款结转和结余3139.42万元。</w:t>
      </w:r>
    </w:p>
    <w:p>
      <w:pPr>
        <w:pStyle w:val="6"/>
        <w:shd w:val="clear" w:color="auto" w:fill="FFFFFF"/>
        <w:spacing w:before="0" w:beforeAutospacing="0" w:after="0" w:afterAutospacing="0" w:line="560" w:lineRule="exact"/>
        <w:ind w:firstLine="643" w:firstLineChars="200"/>
        <w:jc w:val="both"/>
        <w:rPr>
          <w:rFonts w:ascii="方正仿宋_GBK" w:eastAsia="方正仿宋_GBK"/>
          <w:sz w:val="32"/>
          <w:szCs w:val="32"/>
        </w:rPr>
      </w:pPr>
      <w:r>
        <w:rPr>
          <w:rFonts w:hint="eastAsia" w:ascii="方正仿宋_GBK" w:eastAsia="方正仿宋_GBK"/>
          <w:b/>
          <w:sz w:val="32"/>
          <w:szCs w:val="32"/>
        </w:rPr>
        <w:t>2.支出情况。</w:t>
      </w:r>
      <w:r>
        <w:rPr>
          <w:rFonts w:hint="eastAsia" w:ascii="方正仿宋_GBK" w:eastAsia="方正仿宋_GBK"/>
          <w:sz w:val="32"/>
          <w:szCs w:val="32"/>
        </w:rPr>
        <w:t>2020年度一般公共预算财政拨款支出3570.84万元，较上年决算数增加733.46万元，增长25.85%。主要原因是今年基本支出增长了341.74万元，基本公卫支出增加了364.3万元。较年初预算数减少1191.53万元，减少</w:t>
      </w:r>
      <w:r>
        <w:rPr>
          <w:rFonts w:hint="eastAsia" w:ascii="方正仿宋_GBK" w:eastAsia="方正仿宋_GBK"/>
          <w:color w:val="FF0000"/>
          <w:sz w:val="32"/>
          <w:szCs w:val="32"/>
        </w:rPr>
        <w:t xml:space="preserve"> </w:t>
      </w:r>
      <w:r>
        <w:rPr>
          <w:rFonts w:hint="eastAsia" w:ascii="方正仿宋_GBK" w:eastAsia="方正仿宋_GBK"/>
          <w:sz w:val="32"/>
          <w:szCs w:val="32"/>
        </w:rPr>
        <w:t>25.02%，主要原因是基建进度未达到预期，支出比预算数较少。</w:t>
      </w:r>
    </w:p>
    <w:p>
      <w:pPr>
        <w:pStyle w:val="6"/>
        <w:widowControl w:val="0"/>
        <w:shd w:val="clear" w:color="auto" w:fill="FFFFFF"/>
        <w:spacing w:before="0" w:beforeAutospacing="0" w:after="0" w:afterAutospacing="0" w:line="560" w:lineRule="exact"/>
        <w:ind w:firstLine="643" w:firstLineChars="200"/>
        <w:jc w:val="both"/>
        <w:rPr>
          <w:rFonts w:ascii="方正仿宋_GBK" w:eastAsia="方正仿宋_GBK"/>
          <w:sz w:val="32"/>
          <w:szCs w:val="32"/>
        </w:rPr>
      </w:pPr>
      <w:r>
        <w:rPr>
          <w:rFonts w:hint="eastAsia" w:ascii="方正仿宋_GBK" w:eastAsia="方正仿宋_GBK"/>
          <w:b/>
          <w:sz w:val="32"/>
          <w:szCs w:val="32"/>
        </w:rPr>
        <w:t>3.结转结余情况。</w:t>
      </w:r>
      <w:r>
        <w:rPr>
          <w:rFonts w:hint="eastAsia" w:ascii="方正仿宋_GBK" w:eastAsia="方正仿宋_GBK"/>
          <w:sz w:val="32"/>
          <w:szCs w:val="32"/>
        </w:rPr>
        <w:t>2020年度年末一般公共预算财政拨款结转和结余2967.09万元，较上年决算数减少172.33万元，下降 5.49%，主要原因是2020年使用上年专项资金结转结余有，其中有海棠晓月社区站装修专项144.8万元；中医服务能力及重点专科项目资金24万元。</w:t>
      </w:r>
    </w:p>
    <w:p>
      <w:pPr>
        <w:pStyle w:val="6"/>
        <w:widowControl w:val="0"/>
        <w:shd w:val="clear" w:color="auto" w:fill="FFFFFF"/>
        <w:spacing w:before="0" w:beforeAutospacing="0" w:after="0" w:afterAutospacing="0" w:line="560" w:lineRule="exact"/>
        <w:ind w:firstLine="643" w:firstLineChars="200"/>
        <w:jc w:val="both"/>
        <w:rPr>
          <w:rFonts w:ascii="方正仿宋_GBK" w:eastAsia="方正仿宋_GBK"/>
          <w:color w:val="FF0000"/>
          <w:sz w:val="32"/>
          <w:szCs w:val="32"/>
        </w:rPr>
      </w:pPr>
      <w:r>
        <w:rPr>
          <w:rFonts w:hint="eastAsia" w:ascii="方正仿宋_GBK" w:eastAsia="方正仿宋_GBK"/>
          <w:b/>
          <w:sz w:val="32"/>
          <w:szCs w:val="32"/>
        </w:rPr>
        <w:t>4.比较情况。</w:t>
      </w:r>
      <w:r>
        <w:rPr>
          <w:rFonts w:hint="eastAsia" w:ascii="方正仿宋_GBK" w:eastAsia="方正仿宋_GBK"/>
          <w:sz w:val="32"/>
          <w:szCs w:val="32"/>
        </w:rPr>
        <w:t>本部门2020年度一般公共预算财政拨款支出主要用于以下几个方面：</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（1）社会保障与就业支出230.49万元，占6.45%，较年初预算数增加 15.95万元，增长</w:t>
      </w:r>
      <w:r>
        <w:rPr>
          <w:rFonts w:hint="eastAsia" w:ascii="方正仿宋_GBK" w:eastAsia="方正仿宋_GBK"/>
          <w:color w:val="FF0000"/>
          <w:sz w:val="32"/>
          <w:szCs w:val="32"/>
        </w:rPr>
        <w:t xml:space="preserve"> </w:t>
      </w:r>
      <w:r>
        <w:rPr>
          <w:rFonts w:hint="eastAsia" w:ascii="方正仿宋_GBK" w:eastAsia="方正仿宋_GBK"/>
          <w:sz w:val="32"/>
          <w:szCs w:val="32"/>
        </w:rPr>
        <w:t>7.43%，主要原因是追加了15.95万元离退休经费。</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（2）卫生健康支出2865.62万元，占80.25%，较年初预算数减少 1575.23万元，下降 35.47%，主要原因是基建进度未达到预期，支出比预算数较少。</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（3）住房保障支出474.83万元，占13.3%，较年初预算数增加 367.85万元，增长 343.85%，主要原因是财政追加住房补贴367.85万元。</w:t>
      </w:r>
    </w:p>
    <w:p>
      <w:pPr>
        <w:pStyle w:val="6"/>
        <w:shd w:val="clear" w:color="auto" w:fill="FFFFFF"/>
        <w:spacing w:before="0" w:beforeAutospacing="0" w:after="0" w:afterAutospacing="0" w:line="560" w:lineRule="exact"/>
        <w:ind w:firstLine="643" w:firstLineChars="200"/>
        <w:jc w:val="both"/>
        <w:outlineLvl w:val="0"/>
        <w:rPr>
          <w:rFonts w:ascii="方正仿宋_GBK" w:eastAsia="方正仿宋_GBK"/>
          <w:sz w:val="32"/>
          <w:szCs w:val="32"/>
        </w:rPr>
      </w:pPr>
      <w:r>
        <w:rPr>
          <w:rStyle w:val="9"/>
          <w:rFonts w:hint="eastAsia" w:ascii="方正仿宋_GBK" w:eastAsia="方正仿宋_GBK"/>
          <w:sz w:val="32"/>
          <w:szCs w:val="32"/>
        </w:rPr>
        <w:t>（四）一般公共预算财政拨款基本支出决算情况说明</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2020年度一般公共财政拨款基本支出2001.84万元。其中：人员经费2001.84万元，较上年决算数增加341.74万元，增长20.57%，主要原因是增加了住房补贴支出</w:t>
      </w:r>
      <w:r>
        <w:rPr>
          <w:rFonts w:ascii="方正仿宋_GBK" w:eastAsia="方正仿宋_GBK"/>
          <w:sz w:val="32"/>
          <w:szCs w:val="32"/>
        </w:rPr>
        <w:t>367.85万元</w:t>
      </w:r>
      <w:r>
        <w:rPr>
          <w:rFonts w:hint="eastAsia" w:ascii="方正仿宋_GBK" w:eastAsia="方正仿宋_GBK"/>
          <w:sz w:val="32"/>
          <w:szCs w:val="32"/>
        </w:rPr>
        <w:t>。人员经费用途主要包括基本工资456.41万元、津贴补贴22.56万元、绩效工资675.64万元、社会保障缴费422.29万元、个人和家庭补助支出 384.38万元等。无公用经费。</w:t>
      </w:r>
    </w:p>
    <w:p>
      <w:pPr>
        <w:pStyle w:val="6"/>
        <w:shd w:val="clear" w:color="auto" w:fill="FFFFFF"/>
        <w:spacing w:before="0" w:beforeAutospacing="0" w:after="0" w:afterAutospacing="0" w:line="560" w:lineRule="exact"/>
        <w:ind w:firstLine="643" w:firstLineChars="200"/>
        <w:jc w:val="both"/>
        <w:outlineLvl w:val="0"/>
        <w:rPr>
          <w:rStyle w:val="9"/>
        </w:rPr>
      </w:pPr>
      <w:r>
        <w:rPr>
          <w:rStyle w:val="9"/>
          <w:rFonts w:hint="eastAsia" w:ascii="方正仿宋_GBK" w:eastAsia="方正仿宋_GBK"/>
          <w:sz w:val="32"/>
          <w:szCs w:val="32"/>
        </w:rPr>
        <w:t>（五）政府性基金预算收支决算情况说明</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2020年度政府性基金预算财政拨款年初结转结余0万元，年末结转结余2959.20万元。本年收入5000万元（其中</w:t>
      </w:r>
      <w:r>
        <w:rPr>
          <w:rFonts w:ascii="方正仿宋_GBK" w:eastAsia="方正仿宋_GBK"/>
          <w:sz w:val="32"/>
          <w:szCs w:val="32"/>
        </w:rPr>
        <w:t>3000万元迁改建基建资金、2000万元设备购置国债资金</w:t>
      </w:r>
      <w:r>
        <w:rPr>
          <w:rFonts w:hint="eastAsia" w:ascii="方正仿宋_GBK" w:eastAsia="方正仿宋_GBK"/>
          <w:sz w:val="32"/>
          <w:szCs w:val="32"/>
        </w:rPr>
        <w:t>），较上年决算数增加5000万元，主要原因是2019年无政府性基金财政拨款收入；本年支出2040.80万元（其中</w:t>
      </w:r>
      <w:r>
        <w:rPr>
          <w:rFonts w:ascii="方正仿宋_GBK" w:eastAsia="方正仿宋_GBK"/>
          <w:sz w:val="32"/>
          <w:szCs w:val="32"/>
        </w:rPr>
        <w:t>迁改建基建资金</w:t>
      </w:r>
      <w:r>
        <w:rPr>
          <w:rFonts w:hint="eastAsia" w:ascii="方正仿宋_GBK" w:eastAsia="方正仿宋_GBK"/>
          <w:sz w:val="32"/>
          <w:szCs w:val="32"/>
        </w:rPr>
        <w:t>支出40.8万元</w:t>
      </w:r>
      <w:r>
        <w:rPr>
          <w:rFonts w:ascii="方正仿宋_GBK" w:eastAsia="方正仿宋_GBK"/>
          <w:sz w:val="32"/>
          <w:szCs w:val="32"/>
        </w:rPr>
        <w:t>、国债资金设备购置</w:t>
      </w:r>
      <w:r>
        <w:rPr>
          <w:rFonts w:hint="eastAsia" w:ascii="方正仿宋_GBK" w:eastAsia="方正仿宋_GBK"/>
          <w:sz w:val="32"/>
          <w:szCs w:val="32"/>
        </w:rPr>
        <w:t>支出</w:t>
      </w:r>
      <w:r>
        <w:rPr>
          <w:rFonts w:ascii="方正仿宋_GBK" w:eastAsia="方正仿宋_GBK"/>
          <w:sz w:val="32"/>
          <w:szCs w:val="32"/>
        </w:rPr>
        <w:t>2000万元</w:t>
      </w:r>
      <w:r>
        <w:rPr>
          <w:rFonts w:hint="eastAsia" w:ascii="方正仿宋_GBK" w:eastAsia="方正仿宋_GBK"/>
          <w:sz w:val="32"/>
          <w:szCs w:val="32"/>
        </w:rPr>
        <w:t>），较上年决算数增加 2040.80万元，主要原因是去年无政府性基金的支出。</w:t>
      </w:r>
    </w:p>
    <w:p>
      <w:pPr>
        <w:pStyle w:val="6"/>
        <w:shd w:val="clear" w:color="auto" w:fill="FFFFFF"/>
        <w:spacing w:before="0" w:beforeAutospacing="0" w:after="0" w:afterAutospacing="0" w:line="560" w:lineRule="exact"/>
        <w:ind w:firstLine="643" w:firstLineChars="200"/>
        <w:jc w:val="both"/>
        <w:outlineLvl w:val="0"/>
        <w:rPr>
          <w:rStyle w:val="9"/>
        </w:rPr>
      </w:pPr>
      <w:r>
        <w:rPr>
          <w:rStyle w:val="9"/>
          <w:rFonts w:hint="eastAsia" w:ascii="方正仿宋_GBK" w:eastAsia="方正仿宋_GBK"/>
          <w:sz w:val="32"/>
          <w:szCs w:val="32"/>
        </w:rPr>
        <w:t>（六）国有资本经营预算财政拨款支出决算情况说明</w:t>
      </w:r>
    </w:p>
    <w:p>
      <w:pPr>
        <w:pStyle w:val="6"/>
        <w:shd w:val="clear" w:color="auto" w:fill="FFFFFF"/>
        <w:spacing w:before="0" w:beforeAutospacing="0" w:after="0" w:afterAutospacing="0" w:line="560" w:lineRule="exact"/>
        <w:ind w:firstLine="640" w:firstLineChars="200"/>
        <w:jc w:val="both"/>
        <w:rPr>
          <w:rStyle w:val="9"/>
          <w:rFonts w:ascii="方正仿宋_GBK" w:eastAsia="方正仿宋_GBK"/>
          <w:b w:val="0"/>
          <w:sz w:val="32"/>
          <w:szCs w:val="32"/>
        </w:rPr>
      </w:pPr>
      <w:r>
        <w:rPr>
          <w:rFonts w:hint="eastAsia" w:ascii="方正仿宋_GBK" w:eastAsia="方正仿宋_GBK"/>
          <w:bCs/>
          <w:sz w:val="32"/>
          <w:szCs w:val="32"/>
        </w:rPr>
        <w:t>本部门2020年度无国有资本经营预算财政拨款支出。</w:t>
      </w:r>
    </w:p>
    <w:p>
      <w:pPr>
        <w:pStyle w:val="6"/>
        <w:shd w:val="clear" w:color="auto" w:fill="FFFFFF"/>
        <w:spacing w:before="0" w:beforeAutospacing="0" w:after="0" w:afterAutospacing="0" w:line="560" w:lineRule="exact"/>
        <w:ind w:firstLine="640" w:firstLineChars="200"/>
        <w:jc w:val="both"/>
        <w:outlineLvl w:val="0"/>
        <w:rPr>
          <w:rStyle w:val="9"/>
          <w:rFonts w:hint="eastAsia" w:ascii="方正黑体_GBK" w:eastAsia="方正黑体_GBK"/>
          <w:b w:val="0"/>
          <w:sz w:val="32"/>
          <w:szCs w:val="32"/>
        </w:rPr>
      </w:pPr>
      <w:r>
        <w:rPr>
          <w:rStyle w:val="9"/>
          <w:rFonts w:hint="eastAsia" w:ascii="方正黑体_GBK" w:eastAsia="方正黑体_GBK"/>
          <w:b w:val="0"/>
          <w:sz w:val="32"/>
          <w:szCs w:val="32"/>
        </w:rPr>
        <w:t>三、“三公”经费情况说明</w:t>
      </w:r>
    </w:p>
    <w:p>
      <w:pPr>
        <w:pStyle w:val="6"/>
        <w:shd w:val="clear" w:color="auto" w:fill="FFFFFF"/>
        <w:spacing w:before="0" w:beforeAutospacing="0" w:after="0" w:afterAutospacing="0" w:line="560" w:lineRule="exact"/>
        <w:ind w:firstLine="643" w:firstLineChars="200"/>
        <w:jc w:val="both"/>
        <w:outlineLvl w:val="0"/>
        <w:rPr>
          <w:rStyle w:val="9"/>
          <w:rFonts w:hint="eastAsia" w:ascii="方正仿宋_GBK" w:hAnsi="Times New Roman" w:eastAsia="方正仿宋_GBK" w:cs="Times New Roman"/>
          <w:color w:val="auto"/>
          <w:sz w:val="32"/>
          <w:szCs w:val="32"/>
        </w:rPr>
      </w:pPr>
      <w:r>
        <w:rPr>
          <w:rStyle w:val="9"/>
          <w:rFonts w:hint="eastAsia" w:ascii="方正仿宋_GBK" w:hAnsi="Times New Roman" w:eastAsia="方正仿宋_GBK" w:cs="Times New Roman"/>
          <w:color w:val="auto"/>
          <w:sz w:val="32"/>
          <w:szCs w:val="32"/>
        </w:rPr>
        <w:t>（一）“三公”经费支出总体情况说明</w:t>
      </w:r>
    </w:p>
    <w:p>
      <w:pPr>
        <w:pStyle w:val="6"/>
        <w:shd w:val="clear" w:color="auto" w:fill="FFFFFF"/>
        <w:spacing w:before="0" w:beforeAutospacing="0" w:after="0" w:afterAutospacing="0" w:line="560" w:lineRule="exact"/>
        <w:ind w:firstLine="640" w:firstLineChars="200"/>
        <w:jc w:val="both"/>
        <w:rPr>
          <w:rFonts w:hint="eastAsia" w:ascii="方正仿宋_GBK" w:eastAsia="方正仿宋_GBK"/>
          <w:bCs/>
          <w:color w:val="auto"/>
          <w:sz w:val="32"/>
          <w:szCs w:val="32"/>
        </w:rPr>
      </w:pPr>
      <w:r>
        <w:rPr>
          <w:rFonts w:hint="eastAsia" w:ascii="方正仿宋_GBK" w:eastAsia="方正仿宋_GBK"/>
          <w:bCs/>
          <w:color w:val="auto"/>
          <w:sz w:val="32"/>
          <w:szCs w:val="32"/>
        </w:rPr>
        <w:t>我单位属于差额拨款单位，财政未保障我单位“三公”经费, 无年初预算，也无发生额。</w:t>
      </w:r>
    </w:p>
    <w:p>
      <w:pPr>
        <w:pStyle w:val="6"/>
        <w:shd w:val="clear" w:color="auto" w:fill="FFFFFF"/>
        <w:spacing w:before="0" w:beforeAutospacing="0" w:after="0" w:afterAutospacing="0" w:line="560" w:lineRule="exact"/>
        <w:ind w:firstLine="643" w:firstLineChars="200"/>
        <w:jc w:val="both"/>
        <w:outlineLvl w:val="0"/>
        <w:rPr>
          <w:rStyle w:val="9"/>
          <w:rFonts w:hint="eastAsia" w:ascii="方正仿宋_GBK" w:hAnsi="Times New Roman" w:eastAsia="方正仿宋_GBK" w:cs="Times New Roman"/>
          <w:color w:val="auto"/>
          <w:sz w:val="32"/>
          <w:szCs w:val="32"/>
        </w:rPr>
      </w:pPr>
      <w:r>
        <w:rPr>
          <w:rStyle w:val="9"/>
          <w:rFonts w:hint="eastAsia" w:ascii="方正仿宋_GBK" w:hAnsi="Times New Roman" w:eastAsia="方正仿宋_GBK" w:cs="Times New Roman"/>
          <w:color w:val="auto"/>
          <w:sz w:val="32"/>
          <w:szCs w:val="32"/>
        </w:rPr>
        <w:t>（二）“三公”经费分项支出情况</w:t>
      </w:r>
    </w:p>
    <w:p>
      <w:pPr>
        <w:pStyle w:val="6"/>
        <w:shd w:val="clear" w:color="auto" w:fill="FFFFFF"/>
        <w:spacing w:before="0" w:beforeAutospacing="0" w:after="0" w:afterAutospacing="0" w:line="560" w:lineRule="exact"/>
        <w:ind w:firstLine="640" w:firstLineChars="200"/>
        <w:jc w:val="both"/>
        <w:rPr>
          <w:rFonts w:hint="eastAsia" w:ascii="方正仿宋_GBK" w:eastAsia="方正仿宋_GBK"/>
          <w:bCs/>
          <w:color w:val="auto"/>
          <w:sz w:val="32"/>
          <w:szCs w:val="32"/>
        </w:rPr>
      </w:pPr>
      <w:r>
        <w:rPr>
          <w:rFonts w:hint="eastAsia" w:ascii="方正仿宋_GBK" w:eastAsia="方正仿宋_GBK"/>
          <w:bCs/>
          <w:color w:val="auto"/>
          <w:sz w:val="32"/>
          <w:szCs w:val="32"/>
        </w:rPr>
        <w:t>2020年度本单位因公出国（境）费用0.00万元。无年初预算，也无发生额。</w:t>
      </w:r>
    </w:p>
    <w:p>
      <w:pPr>
        <w:pStyle w:val="6"/>
        <w:shd w:val="clear" w:color="auto" w:fill="FFFFFF"/>
        <w:spacing w:before="0" w:beforeAutospacing="0" w:after="0" w:afterAutospacing="0" w:line="560" w:lineRule="exact"/>
        <w:ind w:firstLine="640" w:firstLineChars="200"/>
        <w:jc w:val="both"/>
        <w:rPr>
          <w:rFonts w:hint="eastAsia" w:ascii="方正仿宋_GBK" w:eastAsia="方正仿宋_GBK"/>
          <w:bCs/>
          <w:color w:val="auto"/>
          <w:sz w:val="32"/>
          <w:szCs w:val="32"/>
        </w:rPr>
      </w:pPr>
      <w:r>
        <w:rPr>
          <w:rFonts w:hint="eastAsia" w:ascii="方正仿宋_GBK" w:eastAsia="方正仿宋_GBK"/>
          <w:bCs/>
          <w:color w:val="auto"/>
          <w:sz w:val="32"/>
          <w:szCs w:val="32"/>
        </w:rPr>
        <w:t>2020年度本单位公务车购置费0.00万元，无年初预算，也无发生额。</w:t>
      </w:r>
    </w:p>
    <w:p>
      <w:pPr>
        <w:pStyle w:val="6"/>
        <w:shd w:val="clear" w:color="auto" w:fill="FFFFFF"/>
        <w:spacing w:before="0" w:beforeAutospacing="0" w:after="0" w:afterAutospacing="0" w:line="560" w:lineRule="exact"/>
        <w:ind w:firstLine="640" w:firstLineChars="200"/>
        <w:jc w:val="both"/>
        <w:rPr>
          <w:rFonts w:hint="eastAsia" w:ascii="方正仿宋_GBK" w:eastAsia="方正仿宋_GBK"/>
          <w:bCs/>
          <w:color w:val="auto"/>
          <w:sz w:val="32"/>
          <w:szCs w:val="32"/>
        </w:rPr>
      </w:pPr>
      <w:r>
        <w:rPr>
          <w:rFonts w:hint="eastAsia" w:ascii="方正仿宋_GBK" w:eastAsia="方正仿宋_GBK"/>
          <w:bCs/>
          <w:color w:val="auto"/>
          <w:sz w:val="32"/>
          <w:szCs w:val="32"/>
        </w:rPr>
        <w:t>2020年度本单位公务车运行维护费0.00万元，无年初预算，也无发生额。</w:t>
      </w:r>
    </w:p>
    <w:p>
      <w:pPr>
        <w:pStyle w:val="6"/>
        <w:shd w:val="clear" w:color="auto" w:fill="FFFFFF"/>
        <w:spacing w:before="0" w:beforeAutospacing="0" w:after="0" w:afterAutospacing="0" w:line="560" w:lineRule="exact"/>
        <w:ind w:firstLine="640" w:firstLineChars="200"/>
        <w:jc w:val="both"/>
        <w:rPr>
          <w:rFonts w:hint="eastAsia" w:ascii="方正仿宋_GBK" w:eastAsia="方正仿宋_GBK"/>
          <w:bCs/>
          <w:color w:val="auto"/>
          <w:sz w:val="32"/>
          <w:szCs w:val="32"/>
        </w:rPr>
      </w:pPr>
      <w:r>
        <w:rPr>
          <w:rFonts w:hint="eastAsia" w:ascii="方正仿宋_GBK" w:eastAsia="方正仿宋_GBK"/>
          <w:bCs/>
          <w:color w:val="auto"/>
          <w:sz w:val="32"/>
          <w:szCs w:val="32"/>
        </w:rPr>
        <w:t>2020年度本单位公务接待费0.00万元，无年初预算，也无发生额。</w:t>
      </w:r>
    </w:p>
    <w:p>
      <w:pPr>
        <w:pStyle w:val="6"/>
        <w:shd w:val="clear" w:color="auto" w:fill="FFFFFF"/>
        <w:spacing w:before="0" w:beforeAutospacing="0" w:after="0" w:afterAutospacing="0" w:line="560" w:lineRule="exact"/>
        <w:ind w:firstLine="643" w:firstLineChars="200"/>
        <w:jc w:val="both"/>
        <w:outlineLvl w:val="0"/>
        <w:rPr>
          <w:rStyle w:val="9"/>
          <w:rFonts w:hint="eastAsia" w:ascii="方正仿宋_GBK" w:hAnsi="Times New Roman" w:eastAsia="方正仿宋_GBK" w:cs="Times New Roman"/>
          <w:color w:val="auto"/>
          <w:sz w:val="32"/>
          <w:szCs w:val="32"/>
        </w:rPr>
      </w:pPr>
      <w:r>
        <w:rPr>
          <w:rStyle w:val="9"/>
          <w:rFonts w:hint="eastAsia" w:ascii="方正仿宋_GBK" w:hAnsi="Times New Roman" w:eastAsia="方正仿宋_GBK" w:cs="Times New Roman"/>
          <w:color w:val="auto"/>
          <w:sz w:val="32"/>
          <w:szCs w:val="32"/>
        </w:rPr>
        <w:t>（三）“三公”经费实物量情况</w:t>
      </w:r>
    </w:p>
    <w:p>
      <w:pPr>
        <w:pStyle w:val="6"/>
        <w:shd w:val="clear" w:color="auto" w:fill="FFFFFF"/>
        <w:spacing w:before="0" w:beforeAutospacing="0" w:after="0" w:afterAutospacing="0" w:line="560" w:lineRule="exact"/>
        <w:ind w:firstLine="640" w:firstLineChars="200"/>
        <w:jc w:val="both"/>
        <w:rPr>
          <w:rFonts w:hint="eastAsia" w:ascii="方正仿宋_GBK" w:eastAsia="方正仿宋_GBK"/>
          <w:bCs/>
          <w:color w:val="FF0000"/>
          <w:sz w:val="32"/>
          <w:szCs w:val="32"/>
        </w:rPr>
      </w:pPr>
      <w:r>
        <w:rPr>
          <w:rFonts w:hint="eastAsia" w:ascii="方正仿宋_GBK" w:eastAsia="方正仿宋_GBK"/>
          <w:bCs/>
          <w:color w:val="auto"/>
          <w:sz w:val="32"/>
          <w:szCs w:val="32"/>
        </w:rPr>
        <w:t>2020年度本部门因公出国（境）共计0个团组，0人；公务用车购置0辆，公务车保有量为0辆；国内公务接待0批次0人，其中：国内外 事接待0批次，0人；国（境）外公务接待0批次，0人。2020年本部门人均接待费0.00元，车均购置费0.00万元，车均维护费0.00万元。</w:t>
      </w:r>
    </w:p>
    <w:p>
      <w:pPr>
        <w:pStyle w:val="6"/>
        <w:shd w:val="clear" w:color="auto" w:fill="FFFFFF"/>
        <w:spacing w:before="0" w:beforeAutospacing="0" w:after="0" w:afterAutospacing="0" w:line="560" w:lineRule="exact"/>
        <w:ind w:firstLine="640" w:firstLineChars="200"/>
        <w:jc w:val="both"/>
        <w:outlineLvl w:val="0"/>
        <w:rPr>
          <w:rStyle w:val="9"/>
        </w:rPr>
      </w:pPr>
      <w:r>
        <w:rPr>
          <w:rStyle w:val="9"/>
          <w:rFonts w:hint="eastAsia" w:ascii="方正黑体_GBK" w:eastAsia="方正黑体_GBK"/>
          <w:b w:val="0"/>
          <w:sz w:val="32"/>
          <w:szCs w:val="32"/>
        </w:rPr>
        <w:t>四、其他需要说明的事项</w:t>
      </w:r>
    </w:p>
    <w:p>
      <w:pPr>
        <w:pStyle w:val="6"/>
        <w:shd w:val="clear" w:color="auto" w:fill="FFFFFF"/>
        <w:spacing w:before="0" w:beforeAutospacing="0" w:after="0" w:afterAutospacing="0" w:line="560" w:lineRule="exact"/>
        <w:ind w:firstLine="643" w:firstLineChars="200"/>
        <w:jc w:val="both"/>
        <w:rPr>
          <w:rFonts w:ascii="方正仿宋_GBK" w:eastAsia="方正仿宋_GBK"/>
          <w:bCs/>
          <w:color w:val="FF0000"/>
          <w:sz w:val="32"/>
          <w:szCs w:val="32"/>
        </w:rPr>
      </w:pPr>
      <w:r>
        <w:rPr>
          <w:rStyle w:val="9"/>
          <w:rFonts w:hint="eastAsia" w:ascii="方正仿宋_GBK" w:eastAsia="方正仿宋_GBK"/>
          <w:sz w:val="32"/>
          <w:szCs w:val="32"/>
        </w:rPr>
        <w:t>（一）机关运行经费情况说明。</w:t>
      </w:r>
      <w:r>
        <w:rPr>
          <w:rFonts w:hint="eastAsia" w:ascii="方正仿宋_GBK" w:eastAsia="方正仿宋_GBK"/>
          <w:bCs/>
          <w:sz w:val="32"/>
          <w:szCs w:val="32"/>
        </w:rPr>
        <w:t>按照部门决算列报口径，我单位不在机关运行经费统计范围之内。</w:t>
      </w:r>
    </w:p>
    <w:p>
      <w:pPr>
        <w:widowControl w:val="0"/>
        <w:spacing w:line="56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（二）国有资产占用情况说明。</w:t>
      </w:r>
      <w:r>
        <w:rPr>
          <w:rFonts w:hint="eastAsia" w:ascii="方正仿宋_GBK" w:eastAsia="方正仿宋_GBK"/>
          <w:sz w:val="32"/>
          <w:szCs w:val="32"/>
        </w:rPr>
        <w:t>截至2020年12月31日，本部门共有车辆3辆，其中，副部（省）级及以上领导用车0辆、主要领导干部用车0辆、机要通信用车0辆、应急保障用车2辆、执法执勤用车0辆，特种专业技术用车1辆（救护车），离退休干部用车0辆，其他用车0辆。单价50万元（含）以上通用设备0台（套），单价100万元（含）以上专用设备6台（套）。</w:t>
      </w:r>
    </w:p>
    <w:p>
      <w:pPr>
        <w:pStyle w:val="6"/>
        <w:shd w:val="clear" w:color="auto" w:fill="FFFFFF"/>
        <w:spacing w:before="0" w:beforeAutospacing="0" w:after="0" w:afterAutospacing="0" w:line="56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（三）政府采购支出情况说明。</w:t>
      </w:r>
      <w:r>
        <w:rPr>
          <w:rFonts w:hint="eastAsia" w:ascii="方正仿宋_GBK" w:eastAsia="方正仿宋_GBK"/>
          <w:sz w:val="32"/>
          <w:szCs w:val="32"/>
        </w:rPr>
        <w:t>2020年度本部门政府采购支出总额8767.49万元，其中：政府采购货物支出2049.49万元、政府采购工程支出6683.00万元、政府采购服务支出35.00万元。授予中小企业合同金额8767.49万元，占政府采购支出总额的100%，其中：授予小微企业合同金额1773.94万元，占政府采购支出总额的20.23%。主要用于日常小商品采购和服务支出。</w:t>
      </w:r>
    </w:p>
    <w:p>
      <w:pPr>
        <w:pStyle w:val="6"/>
        <w:shd w:val="clear" w:color="auto" w:fill="FFFFFF"/>
        <w:spacing w:before="0" w:beforeAutospacing="0" w:after="0" w:afterAutospacing="0" w:line="560" w:lineRule="exact"/>
        <w:ind w:firstLine="643" w:firstLineChars="200"/>
        <w:jc w:val="both"/>
        <w:outlineLvl w:val="0"/>
        <w:rPr>
          <w:rFonts w:ascii="方正仿宋_GBK" w:eastAsia="方正仿宋_GBK"/>
          <w:shd w:val="clear" w:color="auto" w:fill="FFFF00"/>
        </w:rPr>
      </w:pPr>
      <w:r>
        <w:rPr>
          <w:rStyle w:val="9"/>
          <w:rFonts w:hint="eastAsia" w:ascii="方正黑体_GBK" w:eastAsia="方正黑体_GBK"/>
          <w:sz w:val="32"/>
          <w:szCs w:val="32"/>
        </w:rPr>
        <w:t>五、预算绩效管理情况说明</w:t>
      </w:r>
    </w:p>
    <w:p>
      <w:pPr>
        <w:pStyle w:val="13"/>
        <w:tabs>
          <w:tab w:val="center" w:pos="4153"/>
          <w:tab w:val="left" w:pos="7275"/>
        </w:tabs>
        <w:spacing w:line="560" w:lineRule="exact"/>
        <w:ind w:firstLine="643"/>
        <w:rPr>
          <w:rFonts w:ascii="方正仿宋_GBK" w:hAnsi="宋体" w:eastAsia="方正仿宋_GBK" w:cs="宋体"/>
          <w:kern w:val="0"/>
          <w:sz w:val="32"/>
          <w:szCs w:val="32"/>
        </w:rPr>
      </w:pPr>
      <w:r>
        <w:rPr>
          <w:rFonts w:hint="eastAsia" w:ascii="方正仿宋_GBK" w:hAnsi="宋体" w:eastAsia="方正仿宋_GBK" w:cs="宋体"/>
          <w:b/>
          <w:kern w:val="0"/>
          <w:sz w:val="32"/>
          <w:szCs w:val="32"/>
        </w:rPr>
        <w:t>（一）预算绩效管理工作开展情况</w:t>
      </w:r>
    </w:p>
    <w:p>
      <w:pPr>
        <w:pStyle w:val="13"/>
        <w:tabs>
          <w:tab w:val="center" w:pos="4153"/>
          <w:tab w:val="left" w:pos="7275"/>
        </w:tabs>
        <w:spacing w:line="560" w:lineRule="exact"/>
        <w:ind w:firstLine="640"/>
        <w:rPr>
          <w:rFonts w:ascii="方正仿宋_GBK" w:hAnsi="宋体" w:eastAsia="方正仿宋_GBK" w:cs="宋体"/>
          <w:kern w:val="0"/>
          <w:sz w:val="32"/>
          <w:szCs w:val="32"/>
        </w:rPr>
      </w:pPr>
      <w:r>
        <w:rPr>
          <w:rFonts w:hint="eastAsia" w:ascii="方正仿宋_GBK" w:hAnsi="宋体" w:eastAsia="方正仿宋_GBK" w:cs="宋体"/>
          <w:kern w:val="0"/>
          <w:sz w:val="32"/>
          <w:szCs w:val="32"/>
        </w:rPr>
        <w:t>根据预算绩效管理要求，本部门对7个项目开展了绩效自评，其中，以填报目标自评表形式开展自评7项，涉及资金6207.67万元；以委托第三方形式开展绩效自评0项，从评价情况来看，2020年绩效管理工作开展顺利，充分有效运用预算资金。</w:t>
      </w:r>
    </w:p>
    <w:p>
      <w:pPr>
        <w:pStyle w:val="13"/>
        <w:tabs>
          <w:tab w:val="center" w:pos="4153"/>
          <w:tab w:val="left" w:pos="7275"/>
        </w:tabs>
        <w:spacing w:line="560" w:lineRule="exact"/>
        <w:ind w:firstLine="643"/>
        <w:rPr>
          <w:rFonts w:ascii="方正仿宋_GBK" w:hAnsi="宋体" w:eastAsia="方正仿宋_GBK" w:cs="宋体"/>
          <w:b/>
          <w:kern w:val="0"/>
          <w:sz w:val="32"/>
          <w:szCs w:val="32"/>
        </w:rPr>
      </w:pPr>
      <w:r>
        <w:rPr>
          <w:rFonts w:hint="eastAsia" w:ascii="方正仿宋_GBK" w:hAnsi="宋体" w:eastAsia="方正仿宋_GBK" w:cs="宋体"/>
          <w:b/>
          <w:kern w:val="0"/>
          <w:sz w:val="32"/>
          <w:szCs w:val="32"/>
        </w:rPr>
        <w:t>（二）绩效自评结果</w:t>
      </w:r>
    </w:p>
    <w:p>
      <w:pPr>
        <w:pStyle w:val="13"/>
        <w:tabs>
          <w:tab w:val="center" w:pos="4153"/>
          <w:tab w:val="left" w:pos="7275"/>
        </w:tabs>
        <w:spacing w:line="560" w:lineRule="exact"/>
        <w:ind w:firstLine="643"/>
        <w:rPr>
          <w:rFonts w:ascii="方正仿宋_GBK" w:hAnsi="宋体" w:eastAsia="方正仿宋_GBK" w:cs="宋体"/>
          <w:kern w:val="0"/>
          <w:sz w:val="32"/>
          <w:szCs w:val="32"/>
        </w:rPr>
      </w:pPr>
      <w:r>
        <w:rPr>
          <w:rFonts w:hint="eastAsia" w:ascii="方正仿宋_GBK" w:hAnsi="宋体" w:eastAsia="方正仿宋_GBK" w:cs="宋体"/>
          <w:b/>
          <w:kern w:val="0"/>
          <w:sz w:val="32"/>
          <w:szCs w:val="32"/>
        </w:rPr>
        <w:t>1.绩效自评表（见附件1、附件2）</w:t>
      </w:r>
    </w:p>
    <w:p>
      <w:pPr>
        <w:pStyle w:val="13"/>
        <w:tabs>
          <w:tab w:val="center" w:pos="4153"/>
          <w:tab w:val="left" w:pos="7275"/>
        </w:tabs>
        <w:spacing w:line="600" w:lineRule="exact"/>
        <w:ind w:firstLine="643"/>
        <w:rPr>
          <w:rFonts w:ascii="方正仿宋_GBK" w:hAnsi="宋体" w:eastAsia="方正仿宋_GBK" w:cs="宋体"/>
          <w:b/>
          <w:kern w:val="0"/>
          <w:sz w:val="32"/>
          <w:szCs w:val="32"/>
        </w:rPr>
      </w:pPr>
      <w:r>
        <w:rPr>
          <w:rFonts w:hint="eastAsia" w:ascii="方正仿宋_GBK" w:hAnsi="宋体" w:eastAsia="方正仿宋_GBK" w:cs="宋体"/>
          <w:b/>
          <w:kern w:val="0"/>
          <w:sz w:val="32"/>
          <w:szCs w:val="32"/>
        </w:rPr>
        <w:t>2.绩效自评报告（见附件3、附件4）</w:t>
      </w:r>
    </w:p>
    <w:p>
      <w:pPr>
        <w:pStyle w:val="6"/>
        <w:shd w:val="clear" w:color="auto" w:fill="FFFFFF"/>
        <w:spacing w:before="0" w:beforeAutospacing="0" w:after="0" w:afterAutospacing="0" w:line="600" w:lineRule="exact"/>
        <w:ind w:firstLine="640" w:firstLineChars="200"/>
        <w:jc w:val="both"/>
        <w:outlineLvl w:val="0"/>
        <w:rPr>
          <w:rStyle w:val="9"/>
          <w:rFonts w:ascii="方正黑体_GBK" w:eastAsia="方正黑体_GBK"/>
        </w:rPr>
      </w:pPr>
      <w:r>
        <w:rPr>
          <w:rStyle w:val="9"/>
          <w:rFonts w:hint="eastAsia" w:ascii="方正黑体_GBK" w:eastAsia="方正黑体_GBK"/>
          <w:b w:val="0"/>
          <w:sz w:val="32"/>
          <w:szCs w:val="32"/>
        </w:rPr>
        <w:t>六、专业名词解释</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（一）财政拨款收入</w:t>
      </w:r>
      <w:r>
        <w:rPr>
          <w:rFonts w:hint="eastAsia" w:ascii="方正仿宋_GBK" w:eastAsia="方正仿宋_GBK"/>
          <w:sz w:val="32"/>
          <w:szCs w:val="32"/>
        </w:rPr>
        <w:t>：指本年度从本级财政部门取得的财政拨款，包括一般公共预算财政拨款和政府性基金预算财政拨款。</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（二）事业收入</w:t>
      </w:r>
      <w:r>
        <w:rPr>
          <w:rFonts w:hint="eastAsia" w:ascii="方正仿宋_GBK" w:eastAsia="方正仿宋_GBK"/>
          <w:sz w:val="32"/>
          <w:szCs w:val="32"/>
        </w:rPr>
        <w:t>：指事业单位开展专业业务活动及其辅助活动取得的现金流入；事业单位收到的财政专户实际核拨的教育收费等资金在此反映。</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（三）经营收入</w:t>
      </w:r>
      <w:r>
        <w:rPr>
          <w:rFonts w:hint="eastAsia" w:ascii="方正仿宋_GBK" w:eastAsia="方正仿宋_GBK"/>
          <w:sz w:val="32"/>
          <w:szCs w:val="32"/>
        </w:rPr>
        <w:t>：指事业单位在专业业务活动及其辅助活动之外开展非独立核算经营活动取得的现金流入。</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（四）其他收入</w:t>
      </w:r>
      <w:r>
        <w:rPr>
          <w:rFonts w:hint="eastAsia" w:ascii="方正仿宋_GBK" w:eastAsia="方正仿宋_GBK"/>
          <w:sz w:val="32"/>
          <w:szCs w:val="32"/>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（五）用事业基金弥补收支差额</w:t>
      </w:r>
      <w:r>
        <w:rPr>
          <w:rFonts w:hint="eastAsia" w:ascii="方正仿宋_GBK" w:eastAsia="方正仿宋_GBK"/>
          <w:sz w:val="32"/>
          <w:szCs w:val="32"/>
        </w:rPr>
        <w:t>：指事业单位在当年的“财政拨款收入”、“事业收入”、“经营收入”、“其他收入”等不足以安排当年支出的情况下，使用以前年度积累的事业基金（事业单位当年收支相抵后按国家规定提取、用于弥补以后年度收支差额的基金）弥补本年度收支缺口的资金。</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（六）年初结转和结余</w:t>
      </w:r>
      <w:r>
        <w:rPr>
          <w:rFonts w:hint="eastAsia" w:ascii="方正仿宋_GBK" w:eastAsia="方正仿宋_GBK"/>
          <w:sz w:val="32"/>
          <w:szCs w:val="32"/>
        </w:rPr>
        <w:t>：指单位上年结转本年使用的基本支出结转、项目支出结转和结余、经营结余。</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（七）结余分配</w:t>
      </w:r>
      <w:r>
        <w:rPr>
          <w:rFonts w:hint="eastAsia" w:ascii="方正仿宋_GBK" w:eastAsia="方正仿宋_GBK"/>
          <w:sz w:val="32"/>
          <w:szCs w:val="32"/>
        </w:rPr>
        <w:t>：指单位按照国家有关规定，缴纳所得税、提取专用基金、转入事业基金等当年结余的分配情况。</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（八）年末结转和结余</w:t>
      </w:r>
      <w:r>
        <w:rPr>
          <w:rFonts w:hint="eastAsia" w:ascii="方正仿宋_GBK" w:eastAsia="方正仿宋_GBK"/>
          <w:sz w:val="32"/>
          <w:szCs w:val="32"/>
        </w:rPr>
        <w:t>：指单位结转下年的基本支出结转、项目支出结转和结余、经营结余。</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（九）基本支出</w:t>
      </w:r>
      <w:r>
        <w:rPr>
          <w:rFonts w:hint="eastAsia" w:ascii="方正仿宋_GBK" w:eastAsia="方正仿宋_GBK"/>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（十）项目支出</w:t>
      </w:r>
      <w:r>
        <w:rPr>
          <w:rFonts w:hint="eastAsia" w:ascii="方正仿宋_GBK" w:eastAsia="方正仿宋_GBK"/>
          <w:sz w:val="32"/>
          <w:szCs w:val="32"/>
        </w:rPr>
        <w:t>：指在基本支出之外为完成特定行政任务和事业发展目标所发生的支出。</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（十一）经营支出</w:t>
      </w:r>
      <w:r>
        <w:rPr>
          <w:rFonts w:hint="eastAsia" w:ascii="方正仿宋_GBK" w:eastAsia="方正仿宋_GBK"/>
          <w:sz w:val="32"/>
          <w:szCs w:val="32"/>
        </w:rPr>
        <w:t>：指事业单位在专业业务活动及其辅助活动之外开展非独立核算经营活动发生的支出。</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（十二）“三公”经费</w:t>
      </w:r>
      <w:r>
        <w:rPr>
          <w:rFonts w:hint="eastAsia" w:ascii="方正仿宋_GBK" w:eastAsia="方正仿宋_GBK"/>
          <w:sz w:val="32"/>
          <w:szCs w:val="32"/>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（十三）机关运行经费</w:t>
      </w:r>
      <w:r>
        <w:rPr>
          <w:rFonts w:hint="eastAsia" w:ascii="方正仿宋_GBK" w:eastAsia="方正仿宋_GBK"/>
          <w:sz w:val="32"/>
          <w:szCs w:val="32"/>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6"/>
        <w:widowControl w:val="0"/>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（十四）工资福利支出（支出经济分类科目类级）</w:t>
      </w:r>
      <w:r>
        <w:rPr>
          <w:rFonts w:hint="eastAsia" w:ascii="方正仿宋_GBK" w:eastAsia="方正仿宋_GBK"/>
          <w:sz w:val="32"/>
          <w:szCs w:val="32"/>
        </w:rPr>
        <w:t>：反映单位开支的在职职工和编制外长期聘用人员的各类劳动报酬，以及为上述人员缴纳的各项社会保险费等。</w:t>
      </w:r>
    </w:p>
    <w:p>
      <w:pPr>
        <w:pStyle w:val="6"/>
        <w:widowControl w:val="0"/>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（十五）商品和服务支出（支出经济分类科目类级）</w:t>
      </w:r>
      <w:r>
        <w:rPr>
          <w:rFonts w:hint="eastAsia" w:ascii="方正仿宋_GBK" w:eastAsia="方正仿宋_GBK"/>
          <w:sz w:val="32"/>
          <w:szCs w:val="32"/>
        </w:rPr>
        <w:t>：反映单位购买商品和服务的支出（不包括用于购置固定资产的支出、战略性和应急储备支出）。</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（十六）对个人和家庭的补助（支出经济分类科目类级）</w:t>
      </w:r>
      <w:r>
        <w:rPr>
          <w:rFonts w:hint="eastAsia" w:ascii="方正仿宋_GBK" w:eastAsia="方正仿宋_GBK"/>
          <w:sz w:val="32"/>
          <w:szCs w:val="32"/>
        </w:rPr>
        <w:t>：反映用于对个人和家庭的补助支出。</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（十七）其他资本性支出（支出经济分类科目类级）</w:t>
      </w:r>
      <w:r>
        <w:rPr>
          <w:rFonts w:hint="eastAsia" w:ascii="方正仿宋_GBK" w:eastAsia="方正仿宋_GBK"/>
          <w:sz w:val="32"/>
          <w:szCs w:val="32"/>
        </w:rPr>
        <w:t>：反映非各级发展与改革部门集中安排的用于购置固定资产、战略性和应急性储备、土地和无形资产，以及构建基础设施、大型修缮和财政支持企业更新改造所发生的支出。</w:t>
      </w:r>
    </w:p>
    <w:p>
      <w:pPr>
        <w:pStyle w:val="6"/>
        <w:shd w:val="clear" w:color="auto" w:fill="FFFFFF"/>
        <w:spacing w:before="0" w:beforeAutospacing="0" w:after="0" w:afterAutospacing="0" w:line="600" w:lineRule="exact"/>
        <w:ind w:firstLine="640" w:firstLineChars="200"/>
        <w:jc w:val="both"/>
        <w:outlineLvl w:val="0"/>
        <w:rPr>
          <w:rFonts w:ascii="方正黑体_GBK" w:eastAsia="方正黑体_GBK"/>
          <w:b/>
          <w:sz w:val="32"/>
          <w:szCs w:val="32"/>
        </w:rPr>
      </w:pPr>
      <w:r>
        <w:rPr>
          <w:rStyle w:val="9"/>
          <w:rFonts w:hint="eastAsia" w:ascii="方正黑体_GBK" w:eastAsia="方正黑体_GBK"/>
          <w:b w:val="0"/>
          <w:sz w:val="32"/>
          <w:szCs w:val="32"/>
        </w:rPr>
        <w:t>七、决算公开联系方式及信息反馈渠道</w:t>
      </w:r>
    </w:p>
    <w:p>
      <w:pPr>
        <w:pStyle w:val="6"/>
        <w:shd w:val="clear" w:color="auto" w:fill="FFFFFF"/>
        <w:spacing w:before="0" w:beforeAutospacing="0" w:after="0" w:afterAutospacing="0" w:line="600" w:lineRule="exact"/>
        <w:ind w:firstLine="640" w:firstLineChars="200"/>
        <w:jc w:val="both"/>
        <w:rPr>
          <w:rFonts w:ascii="方正仿宋_GBK" w:eastAsia="方正仿宋_GBK"/>
          <w:sz w:val="32"/>
          <w:szCs w:val="32"/>
        </w:rPr>
      </w:pPr>
      <w:r>
        <w:rPr>
          <w:rFonts w:hint="eastAsia" w:ascii="方正仿宋_GBK" w:eastAsia="方正仿宋_GBK"/>
          <w:sz w:val="32"/>
          <w:szCs w:val="32"/>
        </w:rPr>
        <w:t>本单</w:t>
      </w:r>
      <w:bookmarkStart w:id="0" w:name="_GoBack"/>
      <w:bookmarkEnd w:id="0"/>
      <w:r>
        <w:rPr>
          <w:rFonts w:hint="eastAsia" w:ascii="方正仿宋_GBK" w:eastAsia="方正仿宋_GBK"/>
          <w:sz w:val="32"/>
          <w:szCs w:val="32"/>
        </w:rPr>
        <w:t>位决算公开信息反馈和联系方式：023-62820791</w:t>
      </w:r>
    </w:p>
    <w:p>
      <w:pPr>
        <w:pStyle w:val="6"/>
        <w:shd w:val="clear" w:color="auto" w:fill="FFFFFF"/>
        <w:spacing w:before="0" w:beforeAutospacing="0" w:after="0" w:afterAutospacing="0" w:line="600" w:lineRule="exact"/>
        <w:ind w:firstLine="640" w:firstLineChars="200"/>
        <w:jc w:val="both"/>
        <w:rPr>
          <w:rFonts w:ascii="方正仿宋_GBK" w:eastAsia="方正仿宋_GBK"/>
          <w:sz w:val="32"/>
          <w:szCs w:val="32"/>
        </w:rPr>
        <w:sectPr>
          <w:footerReference r:id="rId3" w:type="default"/>
          <w:pgSz w:w="11907" w:h="16840"/>
          <w:pgMar w:top="2098" w:right="1701" w:bottom="1985" w:left="1814" w:header="851" w:footer="992" w:gutter="0"/>
          <w:cols w:space="425" w:num="1"/>
          <w:docGrid w:type="lines" w:linePitch="312" w:charSpace="0"/>
        </w:sectPr>
      </w:pPr>
    </w:p>
    <w:p>
      <w:pPr>
        <w:pStyle w:val="6"/>
        <w:shd w:val="clear" w:color="auto" w:fill="FFFFFF"/>
        <w:spacing w:before="0" w:beforeAutospacing="0" w:after="0" w:afterAutospacing="0" w:line="600" w:lineRule="exact"/>
        <w:jc w:val="both"/>
        <w:rPr>
          <w:rFonts w:ascii="方正仿宋_GBK" w:eastAsia="方正仿宋_GBK"/>
          <w:sz w:val="32"/>
          <w:szCs w:val="32"/>
        </w:rPr>
      </w:pPr>
      <w:r>
        <w:rPr>
          <w:rFonts w:hint="eastAsia" w:ascii="方正仿宋_GBK" w:eastAsia="方正仿宋_GBK"/>
          <w:sz w:val="32"/>
          <w:szCs w:val="32"/>
        </w:rPr>
        <w:t>附件1</w:t>
      </w:r>
    </w:p>
    <w:tbl>
      <w:tblPr>
        <w:tblStyle w:val="7"/>
        <w:tblW w:w="0" w:type="auto"/>
        <w:tblInd w:w="108" w:type="dxa"/>
        <w:tblLayout w:type="autofit"/>
        <w:tblCellMar>
          <w:top w:w="0" w:type="dxa"/>
          <w:left w:w="108" w:type="dxa"/>
          <w:bottom w:w="0" w:type="dxa"/>
          <w:right w:w="108" w:type="dxa"/>
        </w:tblCellMar>
      </w:tblPr>
      <w:tblGrid>
        <w:gridCol w:w="677"/>
        <w:gridCol w:w="1254"/>
        <w:gridCol w:w="568"/>
        <w:gridCol w:w="681"/>
        <w:gridCol w:w="653"/>
        <w:gridCol w:w="564"/>
        <w:gridCol w:w="825"/>
        <w:gridCol w:w="797"/>
        <w:gridCol w:w="818"/>
        <w:gridCol w:w="818"/>
        <w:gridCol w:w="845"/>
      </w:tblGrid>
      <w:tr>
        <w:tblPrEx>
          <w:tblCellMar>
            <w:top w:w="0" w:type="dxa"/>
            <w:left w:w="108" w:type="dxa"/>
            <w:bottom w:w="0" w:type="dxa"/>
            <w:right w:w="108" w:type="dxa"/>
          </w:tblCellMar>
        </w:tblPrEx>
        <w:trPr>
          <w:trHeight w:val="601" w:hRule="atLeast"/>
        </w:trPr>
        <w:tc>
          <w:tcPr>
            <w:tcW w:w="0" w:type="auto"/>
            <w:gridSpan w:val="11"/>
            <w:tcBorders>
              <w:top w:val="nil"/>
              <w:left w:val="nil"/>
              <w:bottom w:val="nil"/>
              <w:right w:val="nil"/>
            </w:tcBorders>
            <w:shd w:val="clear" w:color="auto" w:fill="auto"/>
            <w:vAlign w:val="center"/>
          </w:tcPr>
          <w:p>
            <w:pPr>
              <w:autoSpaceDN w:val="0"/>
              <w:ind w:firstLine="3240" w:firstLineChars="900"/>
              <w:jc w:val="both"/>
              <w:rPr>
                <w:rFonts w:ascii="方正小标宋_GBK" w:hAnsi="Calibri" w:eastAsia="方正小标宋_GBK"/>
                <w:color w:val="000000"/>
                <w:sz w:val="36"/>
                <w:szCs w:val="36"/>
              </w:rPr>
            </w:pPr>
            <w:r>
              <w:rPr>
                <w:rFonts w:hint="eastAsia" w:ascii="方正小标宋_GBK" w:eastAsia="方正小标宋_GBK"/>
                <w:color w:val="000000"/>
                <w:sz w:val="36"/>
                <w:szCs w:val="36"/>
              </w:rPr>
              <w:t>绩效自评表</w:t>
            </w:r>
          </w:p>
        </w:tc>
      </w:tr>
      <w:tr>
        <w:tblPrEx>
          <w:tblCellMar>
            <w:top w:w="0" w:type="dxa"/>
            <w:left w:w="108" w:type="dxa"/>
            <w:bottom w:w="0" w:type="dxa"/>
            <w:right w:w="108" w:type="dxa"/>
          </w:tblCellMar>
        </w:tblPrEx>
        <w:trPr>
          <w:trHeight w:val="601"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项目名称</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医疗机构核酸检测补助　</w:t>
            </w:r>
          </w:p>
        </w:tc>
        <w:tc>
          <w:tcPr>
            <w:tcW w:w="0" w:type="auto"/>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项目编码</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2020B1101　</w:t>
            </w:r>
          </w:p>
        </w:tc>
        <w:tc>
          <w:tcPr>
            <w:tcW w:w="0" w:type="auto"/>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自评总分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0" w:type="auto"/>
            <w:gridSpan w:val="4"/>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99　</w:t>
            </w:r>
          </w:p>
        </w:tc>
      </w:tr>
      <w:tr>
        <w:tblPrEx>
          <w:tblCellMar>
            <w:top w:w="0" w:type="dxa"/>
            <w:left w:w="108" w:type="dxa"/>
            <w:bottom w:w="0" w:type="dxa"/>
            <w:right w:w="108" w:type="dxa"/>
          </w:tblCellMar>
        </w:tblPrEx>
        <w:trPr>
          <w:trHeight w:val="601"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主管部门</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重庆市南岸区卫生健康委员会</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财政处室</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社保科　</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联系人</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王静　</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联系电话</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62820791　</w:t>
            </w:r>
          </w:p>
        </w:tc>
      </w:tr>
      <w:tr>
        <w:tblPrEx>
          <w:tblCellMar>
            <w:top w:w="0" w:type="dxa"/>
            <w:left w:w="108" w:type="dxa"/>
            <w:bottom w:w="0" w:type="dxa"/>
            <w:right w:w="108" w:type="dxa"/>
          </w:tblCellMar>
        </w:tblPrEx>
        <w:trPr>
          <w:cantSplit/>
          <w:trHeight w:val="601"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项目资金（万元）</w:t>
            </w:r>
          </w:p>
        </w:tc>
        <w:tc>
          <w:tcPr>
            <w:tcW w:w="0" w:type="auto"/>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0" w:type="auto"/>
            <w:gridSpan w:val="2"/>
            <w:tcBorders>
              <w:top w:val="single" w:color="auto" w:sz="4" w:space="0"/>
              <w:left w:val="single" w:color="auto" w:sz="4" w:space="0"/>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年初预算数</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全年（调整）预算数</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全年执行数</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权重</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执行率得分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r>
      <w:tr>
        <w:tblPrEx>
          <w:tblCellMar>
            <w:top w:w="0" w:type="dxa"/>
            <w:left w:w="108" w:type="dxa"/>
            <w:bottom w:w="0" w:type="dxa"/>
            <w:right w:w="108" w:type="dxa"/>
          </w:tblCellMar>
        </w:tblPrEx>
        <w:trPr>
          <w:cantSplit/>
          <w:trHeight w:val="601" w:hRule="atLeast"/>
        </w:trPr>
        <w:tc>
          <w:tcPr>
            <w:tcW w:w="0" w:type="auto"/>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0" w:type="auto"/>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年度总金额</w:t>
            </w:r>
          </w:p>
        </w:tc>
        <w:tc>
          <w:tcPr>
            <w:tcW w:w="0" w:type="auto"/>
            <w:gridSpan w:val="2"/>
            <w:tcBorders>
              <w:top w:val="single" w:color="auto" w:sz="4" w:space="0"/>
              <w:left w:val="single" w:color="auto" w:sz="4" w:space="0"/>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3.5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3.5　</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sz w:val="18"/>
                <w:szCs w:val="18"/>
              </w:rPr>
            </w:pPr>
            <w:r>
              <w:rPr>
                <w:rFonts w:hint="eastAsia" w:ascii="方正仿宋_GBK" w:eastAsia="方正仿宋_GBK"/>
                <w:sz w:val="18"/>
                <w:szCs w:val="18"/>
              </w:rPr>
              <w:t>10　</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　</w:t>
            </w:r>
          </w:p>
        </w:tc>
      </w:tr>
      <w:tr>
        <w:tblPrEx>
          <w:tblCellMar>
            <w:top w:w="0" w:type="dxa"/>
            <w:left w:w="108" w:type="dxa"/>
            <w:bottom w:w="0" w:type="dxa"/>
            <w:right w:w="108" w:type="dxa"/>
          </w:tblCellMar>
        </w:tblPrEx>
        <w:trPr>
          <w:cantSplit/>
          <w:trHeight w:val="601" w:hRule="atLeast"/>
        </w:trPr>
        <w:tc>
          <w:tcPr>
            <w:tcW w:w="0" w:type="auto"/>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0" w:type="auto"/>
            <w:tcBorders>
              <w:top w:val="nil"/>
              <w:left w:val="nil"/>
              <w:bottom w:val="single" w:color="auto" w:sz="4" w:space="0"/>
              <w:right w:val="nil"/>
            </w:tcBorders>
            <w:shd w:val="clear" w:color="auto" w:fill="auto"/>
            <w:vAlign w:val="center"/>
          </w:tcPr>
          <w:p>
            <w:pPr>
              <w:wordWrap w:val="0"/>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其中：区级支出</w:t>
            </w:r>
          </w:p>
        </w:tc>
        <w:tc>
          <w:tcPr>
            <w:tcW w:w="0" w:type="auto"/>
            <w:gridSpan w:val="2"/>
            <w:tcBorders>
              <w:top w:val="single" w:color="auto" w:sz="4" w:space="0"/>
              <w:left w:val="single" w:color="auto" w:sz="4" w:space="0"/>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3.5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3.5　</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　</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　</w:t>
            </w:r>
          </w:p>
        </w:tc>
      </w:tr>
      <w:tr>
        <w:tblPrEx>
          <w:tblCellMar>
            <w:top w:w="0" w:type="dxa"/>
            <w:left w:w="108" w:type="dxa"/>
            <w:bottom w:w="0" w:type="dxa"/>
            <w:right w:w="108" w:type="dxa"/>
          </w:tblCellMar>
        </w:tblPrEx>
        <w:trPr>
          <w:cantSplit/>
          <w:trHeight w:val="601"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当年绩效目标</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年初绩效目标</w:t>
            </w:r>
          </w:p>
        </w:tc>
        <w:tc>
          <w:tcPr>
            <w:tcW w:w="0" w:type="auto"/>
            <w:gridSpan w:val="4"/>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全年（调整）绩效目标</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全年目标实际完成情况</w:t>
            </w:r>
          </w:p>
        </w:tc>
      </w:tr>
      <w:tr>
        <w:tblPrEx>
          <w:tblCellMar>
            <w:top w:w="0" w:type="dxa"/>
            <w:left w:w="108" w:type="dxa"/>
            <w:bottom w:w="0" w:type="dxa"/>
            <w:right w:w="108" w:type="dxa"/>
          </w:tblCellMar>
        </w:tblPrEx>
        <w:trPr>
          <w:cantSplit/>
          <w:trHeight w:val="1352" w:hRule="atLeast"/>
        </w:trPr>
        <w:tc>
          <w:tcPr>
            <w:tcW w:w="0" w:type="auto"/>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全年核酸检测人数达到800人，与第三方核酸检测机构达成更好的合作。维持社会正常运行秩序，降低社会普遍对新冠肺炎的恐慌程度，为社会稳定运行起到积极的作用　</w:t>
            </w:r>
          </w:p>
        </w:tc>
        <w:tc>
          <w:tcPr>
            <w:tcW w:w="0" w:type="auto"/>
            <w:gridSpan w:val="4"/>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全年核酸检测人数达到800人，与第三方核酸检测机构达成更好的合作。　</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全年核酸检测人数实际完成数为1500人，达到年度目标　</w:t>
            </w:r>
          </w:p>
        </w:tc>
      </w:tr>
      <w:tr>
        <w:tblPrEx>
          <w:tblCellMar>
            <w:top w:w="0" w:type="dxa"/>
            <w:left w:w="108" w:type="dxa"/>
            <w:bottom w:w="0" w:type="dxa"/>
            <w:right w:w="108" w:type="dxa"/>
          </w:tblCellMar>
        </w:tblPrEx>
        <w:trPr>
          <w:cantSplit/>
          <w:trHeight w:val="601" w:hRule="atLeast"/>
        </w:trPr>
        <w:tc>
          <w:tcPr>
            <w:tcW w:w="0" w:type="auto"/>
            <w:vMerge w:val="restart"/>
            <w:tcBorders>
              <w:top w:val="nil"/>
              <w:left w:val="single" w:color="auto" w:sz="4" w:space="0"/>
              <w:bottom w:val="single" w:color="auto" w:sz="4" w:space="0"/>
              <w:right w:val="single" w:color="auto" w:sz="4" w:space="0"/>
            </w:tcBorders>
            <w:shd w:val="clear" w:color="auto" w:fill="auto"/>
            <w:textDirection w:val="tbRlV"/>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绩效指标</w:t>
            </w:r>
          </w:p>
        </w:tc>
        <w:tc>
          <w:tcPr>
            <w:tcW w:w="0" w:type="auto"/>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指标名称</w:t>
            </w:r>
          </w:p>
        </w:tc>
        <w:tc>
          <w:tcPr>
            <w:tcW w:w="0" w:type="auto"/>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计量</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单位</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性质</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指标值</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调整</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指标值</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完成值</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得分系数</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指标权重</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指标得分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是否核心</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w:t>
            </w:r>
          </w:p>
        </w:tc>
      </w:tr>
      <w:tr>
        <w:tblPrEx>
          <w:tblCellMar>
            <w:top w:w="0" w:type="dxa"/>
            <w:left w:w="108" w:type="dxa"/>
            <w:bottom w:w="0" w:type="dxa"/>
            <w:right w:w="108" w:type="dxa"/>
          </w:tblCellMar>
        </w:tblPrEx>
        <w:trPr>
          <w:cantSplit/>
          <w:trHeight w:val="523" w:hRule="atLeast"/>
        </w:trPr>
        <w:tc>
          <w:tcPr>
            <w:tcW w:w="0" w:type="auto"/>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0" w:type="auto"/>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检测人数指标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人</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800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hAnsi="Calibri" w:eastAsia="方正仿宋_GBK"/>
                <w:color w:val="000000"/>
                <w:sz w:val="15"/>
                <w:szCs w:val="15"/>
              </w:rPr>
              <w:t>2424</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100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20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20　</w:t>
            </w:r>
          </w:p>
        </w:tc>
        <w:tc>
          <w:tcPr>
            <w:tcW w:w="0" w:type="auto"/>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是　</w:t>
            </w:r>
          </w:p>
        </w:tc>
      </w:tr>
      <w:tr>
        <w:tblPrEx>
          <w:tblCellMar>
            <w:top w:w="0" w:type="dxa"/>
            <w:left w:w="108" w:type="dxa"/>
            <w:bottom w:w="0" w:type="dxa"/>
            <w:right w:w="108" w:type="dxa"/>
          </w:tblCellMar>
        </w:tblPrEx>
        <w:trPr>
          <w:cantSplit/>
          <w:trHeight w:val="523" w:hRule="atLeast"/>
        </w:trPr>
        <w:tc>
          <w:tcPr>
            <w:tcW w:w="0" w:type="auto"/>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0" w:type="auto"/>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被检测者检测报告出具时间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小时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24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24</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100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20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20　</w:t>
            </w:r>
          </w:p>
        </w:tc>
        <w:tc>
          <w:tcPr>
            <w:tcW w:w="0" w:type="auto"/>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是　</w:t>
            </w:r>
          </w:p>
        </w:tc>
      </w:tr>
      <w:tr>
        <w:tblPrEx>
          <w:tblCellMar>
            <w:top w:w="0" w:type="dxa"/>
            <w:left w:w="108" w:type="dxa"/>
            <w:bottom w:w="0" w:type="dxa"/>
            <w:right w:w="108" w:type="dxa"/>
          </w:tblCellMar>
        </w:tblPrEx>
        <w:trPr>
          <w:cantSplit/>
          <w:trHeight w:val="523" w:hRule="atLeast"/>
        </w:trPr>
        <w:tc>
          <w:tcPr>
            <w:tcW w:w="0" w:type="auto"/>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0" w:type="auto"/>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居民对核酸检测知晓率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80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76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95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15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14　</w:t>
            </w:r>
          </w:p>
        </w:tc>
        <w:tc>
          <w:tcPr>
            <w:tcW w:w="0" w:type="auto"/>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否　</w:t>
            </w:r>
          </w:p>
        </w:tc>
      </w:tr>
      <w:tr>
        <w:tblPrEx>
          <w:tblCellMar>
            <w:top w:w="0" w:type="dxa"/>
            <w:left w:w="108" w:type="dxa"/>
            <w:bottom w:w="0" w:type="dxa"/>
            <w:right w:w="108" w:type="dxa"/>
          </w:tblCellMar>
        </w:tblPrEx>
        <w:trPr>
          <w:cantSplit/>
          <w:trHeight w:val="523" w:hRule="atLeast"/>
        </w:trPr>
        <w:tc>
          <w:tcPr>
            <w:tcW w:w="0" w:type="auto"/>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0" w:type="auto"/>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居民对核酸结果信赖度</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98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99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100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15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15　</w:t>
            </w:r>
          </w:p>
        </w:tc>
        <w:tc>
          <w:tcPr>
            <w:tcW w:w="0" w:type="auto"/>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否　</w:t>
            </w:r>
          </w:p>
        </w:tc>
      </w:tr>
      <w:tr>
        <w:tblPrEx>
          <w:tblCellMar>
            <w:top w:w="0" w:type="dxa"/>
            <w:left w:w="108" w:type="dxa"/>
            <w:bottom w:w="0" w:type="dxa"/>
            <w:right w:w="108" w:type="dxa"/>
          </w:tblCellMar>
        </w:tblPrEx>
        <w:trPr>
          <w:cantSplit/>
          <w:trHeight w:val="523" w:hRule="atLeast"/>
        </w:trPr>
        <w:tc>
          <w:tcPr>
            <w:tcW w:w="0" w:type="auto"/>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0" w:type="auto"/>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被检测者满意度</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80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85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100</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20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20　</w:t>
            </w:r>
          </w:p>
        </w:tc>
        <w:tc>
          <w:tcPr>
            <w:tcW w:w="0" w:type="auto"/>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是　</w:t>
            </w:r>
          </w:p>
        </w:tc>
      </w:tr>
      <w:tr>
        <w:tblPrEx>
          <w:tblCellMar>
            <w:top w:w="0" w:type="dxa"/>
            <w:left w:w="108" w:type="dxa"/>
            <w:bottom w:w="0" w:type="dxa"/>
            <w:right w:w="108" w:type="dxa"/>
          </w:tblCellMar>
        </w:tblPrEx>
        <w:trPr>
          <w:cantSplit/>
          <w:trHeight w:val="523" w:hRule="atLeast"/>
        </w:trPr>
        <w:tc>
          <w:tcPr>
            <w:tcW w:w="0" w:type="auto"/>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0" w:type="auto"/>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核酸检测执行率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100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100　</w:t>
            </w:r>
          </w:p>
        </w:tc>
        <w:tc>
          <w:tcPr>
            <w:tcW w:w="0" w:type="auto"/>
            <w:tcBorders>
              <w:top w:val="nil"/>
              <w:left w:val="single" w:color="auto" w:sz="4" w:space="0"/>
              <w:bottom w:val="single" w:color="auto" w:sz="4" w:space="0"/>
              <w:right w:val="nil"/>
            </w:tcBorders>
            <w:shd w:val="clear" w:color="auto" w:fill="auto"/>
            <w:vAlign w:val="center"/>
          </w:tcPr>
          <w:p>
            <w:pPr>
              <w:autoSpaceDN w:val="0"/>
              <w:jc w:val="both"/>
              <w:rPr>
                <w:rFonts w:ascii="方正仿宋_GBK" w:hAnsi="Calibri" w:eastAsia="方正仿宋_GBK"/>
                <w:color w:val="000000"/>
                <w:sz w:val="15"/>
                <w:szCs w:val="15"/>
              </w:rPr>
            </w:pPr>
            <w:r>
              <w:rPr>
                <w:rFonts w:hint="eastAsia" w:ascii="方正仿宋_GBK" w:hAnsi="Calibri" w:eastAsia="方正仿宋_GBK"/>
                <w:color w:val="000000"/>
                <w:sz w:val="15"/>
                <w:szCs w:val="15"/>
              </w:rPr>
              <w:t xml:space="preserve">     100</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10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10　</w:t>
            </w:r>
          </w:p>
        </w:tc>
        <w:tc>
          <w:tcPr>
            <w:tcW w:w="0" w:type="auto"/>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是　</w:t>
            </w:r>
          </w:p>
        </w:tc>
      </w:tr>
      <w:tr>
        <w:tblPrEx>
          <w:tblCellMar>
            <w:top w:w="0" w:type="dxa"/>
            <w:left w:w="108" w:type="dxa"/>
            <w:bottom w:w="0" w:type="dxa"/>
            <w:right w:w="108" w:type="dxa"/>
          </w:tblCellMar>
        </w:tblPrEx>
        <w:trPr>
          <w:trHeight w:val="755"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说明</w:t>
            </w:r>
          </w:p>
        </w:tc>
        <w:tc>
          <w:tcPr>
            <w:tcW w:w="0" w:type="auto"/>
            <w:gridSpan w:val="10"/>
            <w:tcBorders>
              <w:top w:val="single" w:color="auto" w:sz="4" w:space="0"/>
              <w:left w:val="nil"/>
              <w:bottom w:val="single" w:color="auto" w:sz="4" w:space="0"/>
              <w:right w:val="single" w:color="auto" w:sz="4" w:space="0"/>
            </w:tcBorders>
            <w:shd w:val="clear" w:color="auto" w:fill="auto"/>
            <w:vAlign w:val="center"/>
          </w:tcPr>
          <w:p>
            <w:pPr>
              <w:autoSpaceDN w:val="0"/>
              <w:rPr>
                <w:rFonts w:ascii="方正仿宋_GBK" w:hAnsi="Calibri" w:eastAsia="方正仿宋_GBK"/>
                <w:color w:val="000000"/>
                <w:sz w:val="18"/>
                <w:szCs w:val="18"/>
              </w:rPr>
            </w:pPr>
            <w:r>
              <w:rPr>
                <w:rFonts w:hint="eastAsia" w:ascii="方正仿宋_GBK" w:eastAsia="方正仿宋_GBK"/>
                <w:color w:val="000000"/>
                <w:sz w:val="18"/>
                <w:szCs w:val="18"/>
              </w:rPr>
              <w:t>　</w:t>
            </w:r>
          </w:p>
        </w:tc>
      </w:tr>
    </w:tbl>
    <w:p>
      <w:pPr>
        <w:pStyle w:val="6"/>
        <w:shd w:val="clear" w:color="auto" w:fill="FFFFFF"/>
        <w:spacing w:before="0" w:beforeAutospacing="0" w:after="0" w:afterAutospacing="0" w:line="600" w:lineRule="exact"/>
        <w:jc w:val="both"/>
        <w:rPr>
          <w:rFonts w:ascii="方正仿宋_GBK" w:eastAsia="方正仿宋_GBK"/>
          <w:sz w:val="32"/>
          <w:szCs w:val="32"/>
        </w:rPr>
        <w:sectPr>
          <w:pgSz w:w="11907" w:h="16840"/>
          <w:pgMar w:top="2098" w:right="1701" w:bottom="1984" w:left="1814" w:header="851" w:footer="992" w:gutter="0"/>
          <w:cols w:space="0" w:num="1"/>
          <w:docGrid w:type="lines" w:linePitch="335" w:charSpace="0"/>
        </w:sectPr>
      </w:pPr>
    </w:p>
    <w:p>
      <w:pPr>
        <w:pStyle w:val="6"/>
        <w:shd w:val="clear" w:color="auto" w:fill="FFFFFF"/>
        <w:spacing w:before="0" w:beforeAutospacing="0" w:after="0" w:afterAutospacing="0" w:line="600" w:lineRule="exact"/>
        <w:jc w:val="both"/>
        <w:rPr>
          <w:rFonts w:ascii="方正仿宋_GBK" w:eastAsia="方正仿宋_GBK"/>
          <w:sz w:val="32"/>
          <w:szCs w:val="32"/>
        </w:rPr>
      </w:pPr>
      <w:r>
        <w:rPr>
          <w:rFonts w:hint="eastAsia" w:ascii="方正仿宋_GBK" w:eastAsia="方正仿宋_GBK"/>
          <w:sz w:val="32"/>
          <w:szCs w:val="32"/>
        </w:rPr>
        <w:t>附件2</w:t>
      </w:r>
    </w:p>
    <w:tbl>
      <w:tblPr>
        <w:tblStyle w:val="7"/>
        <w:tblW w:w="8708" w:type="dxa"/>
        <w:tblInd w:w="108" w:type="dxa"/>
        <w:tblLayout w:type="fixed"/>
        <w:tblCellMar>
          <w:top w:w="0" w:type="dxa"/>
          <w:left w:w="108" w:type="dxa"/>
          <w:bottom w:w="0" w:type="dxa"/>
          <w:right w:w="108" w:type="dxa"/>
        </w:tblCellMar>
      </w:tblPr>
      <w:tblGrid>
        <w:gridCol w:w="759"/>
        <w:gridCol w:w="878"/>
        <w:gridCol w:w="485"/>
        <w:gridCol w:w="870"/>
        <w:gridCol w:w="505"/>
        <w:gridCol w:w="671"/>
        <w:gridCol w:w="787"/>
        <w:gridCol w:w="762"/>
        <w:gridCol w:w="945"/>
        <w:gridCol w:w="945"/>
        <w:gridCol w:w="1101"/>
      </w:tblGrid>
      <w:tr>
        <w:trPr>
          <w:trHeight w:val="601" w:hRule="atLeast"/>
        </w:trPr>
        <w:tc>
          <w:tcPr>
            <w:tcW w:w="8708" w:type="dxa"/>
            <w:gridSpan w:val="11"/>
            <w:tcBorders>
              <w:top w:val="nil"/>
              <w:left w:val="nil"/>
              <w:bottom w:val="nil"/>
              <w:right w:val="nil"/>
            </w:tcBorders>
            <w:shd w:val="clear" w:color="auto" w:fill="auto"/>
            <w:vAlign w:val="center"/>
          </w:tcPr>
          <w:p>
            <w:pPr>
              <w:autoSpaceDN w:val="0"/>
              <w:ind w:firstLine="3240" w:firstLineChars="900"/>
              <w:jc w:val="both"/>
              <w:rPr>
                <w:rFonts w:ascii="方正小标宋_GBK" w:hAnsi="Calibri" w:eastAsia="方正小标宋_GBK"/>
                <w:color w:val="000000"/>
                <w:sz w:val="36"/>
                <w:szCs w:val="36"/>
              </w:rPr>
            </w:pPr>
            <w:r>
              <w:rPr>
                <w:rFonts w:hint="eastAsia" w:ascii="方正小标宋_GBK" w:eastAsia="方正小标宋_GBK"/>
                <w:color w:val="000000"/>
                <w:sz w:val="36"/>
                <w:szCs w:val="36"/>
              </w:rPr>
              <w:t>绩效自评表</w:t>
            </w:r>
          </w:p>
        </w:tc>
      </w:tr>
      <w:tr>
        <w:tblPrEx>
          <w:tblCellMar>
            <w:top w:w="0" w:type="dxa"/>
            <w:left w:w="108" w:type="dxa"/>
            <w:bottom w:w="0" w:type="dxa"/>
            <w:right w:w="108" w:type="dxa"/>
          </w:tblCellMar>
        </w:tblPrEx>
        <w:trPr>
          <w:trHeight w:val="601" w:hRule="atLeast"/>
        </w:trPr>
        <w:tc>
          <w:tcPr>
            <w:tcW w:w="759"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项目名称</w:t>
            </w:r>
          </w:p>
        </w:tc>
        <w:tc>
          <w:tcPr>
            <w:tcW w:w="1363" w:type="dxa"/>
            <w:gridSpan w:val="2"/>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2020年社区站药品零差率补助　</w:t>
            </w:r>
          </w:p>
        </w:tc>
        <w:tc>
          <w:tcPr>
            <w:tcW w:w="870" w:type="dxa"/>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项目编码</w:t>
            </w:r>
          </w:p>
        </w:tc>
        <w:tc>
          <w:tcPr>
            <w:tcW w:w="1176" w:type="dxa"/>
            <w:gridSpan w:val="2"/>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2020B1101　</w:t>
            </w:r>
          </w:p>
        </w:tc>
        <w:tc>
          <w:tcPr>
            <w:tcW w:w="787" w:type="dxa"/>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自评总分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3753" w:type="dxa"/>
            <w:gridSpan w:val="4"/>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r>
      <w:tr>
        <w:tblPrEx>
          <w:tblCellMar>
            <w:top w:w="0" w:type="dxa"/>
            <w:left w:w="108" w:type="dxa"/>
            <w:bottom w:w="0" w:type="dxa"/>
            <w:right w:w="108" w:type="dxa"/>
          </w:tblCellMar>
        </w:tblPrEx>
        <w:trPr>
          <w:trHeight w:val="601" w:hRule="atLeast"/>
        </w:trPr>
        <w:tc>
          <w:tcPr>
            <w:tcW w:w="759" w:type="dxa"/>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主管部门</w:t>
            </w:r>
          </w:p>
        </w:tc>
        <w:tc>
          <w:tcPr>
            <w:tcW w:w="1363" w:type="dxa"/>
            <w:gridSpan w:val="2"/>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重庆市南岸区卫生健康委员会</w:t>
            </w:r>
          </w:p>
        </w:tc>
        <w:tc>
          <w:tcPr>
            <w:tcW w:w="870"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财政处室</w:t>
            </w:r>
          </w:p>
        </w:tc>
        <w:tc>
          <w:tcPr>
            <w:tcW w:w="1176" w:type="dxa"/>
            <w:gridSpan w:val="2"/>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社保科　</w:t>
            </w:r>
          </w:p>
        </w:tc>
        <w:tc>
          <w:tcPr>
            <w:tcW w:w="787"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联系人</w:t>
            </w:r>
          </w:p>
        </w:tc>
        <w:tc>
          <w:tcPr>
            <w:tcW w:w="762" w:type="dxa"/>
            <w:tcBorders>
              <w:top w:val="nil"/>
              <w:left w:val="nil"/>
              <w:bottom w:val="single" w:color="auto" w:sz="4" w:space="0"/>
              <w:right w:val="single" w:color="auto" w:sz="4" w:space="0"/>
            </w:tcBorders>
            <w:shd w:val="clear" w:color="auto" w:fill="auto"/>
            <w:vAlign w:val="center"/>
          </w:tcPr>
          <w:p>
            <w:pPr>
              <w:autoSpaceDN w:val="0"/>
              <w:jc w:val="both"/>
              <w:rPr>
                <w:rFonts w:ascii="方正仿宋_GBK" w:hAnsi="Calibri" w:eastAsia="方正仿宋_GBK"/>
                <w:color w:val="000000"/>
                <w:sz w:val="18"/>
                <w:szCs w:val="18"/>
              </w:rPr>
            </w:pPr>
            <w:r>
              <w:rPr>
                <w:rFonts w:hint="eastAsia" w:ascii="方正仿宋_GBK" w:eastAsia="方正仿宋_GBK"/>
                <w:color w:val="000000"/>
                <w:sz w:val="18"/>
                <w:szCs w:val="18"/>
              </w:rPr>
              <w:t>王静</w:t>
            </w:r>
          </w:p>
        </w:tc>
        <w:tc>
          <w:tcPr>
            <w:tcW w:w="945"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联系电话</w:t>
            </w:r>
          </w:p>
        </w:tc>
        <w:tc>
          <w:tcPr>
            <w:tcW w:w="2046" w:type="dxa"/>
            <w:gridSpan w:val="2"/>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62820791</w:t>
            </w:r>
          </w:p>
        </w:tc>
      </w:tr>
      <w:tr>
        <w:tblPrEx>
          <w:tblCellMar>
            <w:top w:w="0" w:type="dxa"/>
            <w:left w:w="108" w:type="dxa"/>
            <w:bottom w:w="0" w:type="dxa"/>
            <w:right w:w="108" w:type="dxa"/>
          </w:tblCellMar>
        </w:tblPrEx>
        <w:trPr>
          <w:cantSplit/>
          <w:trHeight w:val="601" w:hRule="atLeast"/>
        </w:trPr>
        <w:tc>
          <w:tcPr>
            <w:tcW w:w="759" w:type="dxa"/>
            <w:vMerge w:val="restart"/>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项目资金（万元）</w:t>
            </w:r>
          </w:p>
        </w:tc>
        <w:tc>
          <w:tcPr>
            <w:tcW w:w="878" w:type="dxa"/>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135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年初预算数</w:t>
            </w:r>
          </w:p>
        </w:tc>
        <w:tc>
          <w:tcPr>
            <w:tcW w:w="1176" w:type="dxa"/>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全年（调整）预算数</w:t>
            </w:r>
          </w:p>
        </w:tc>
        <w:tc>
          <w:tcPr>
            <w:tcW w:w="1549" w:type="dxa"/>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全年执行数</w:t>
            </w:r>
          </w:p>
        </w:tc>
        <w:tc>
          <w:tcPr>
            <w:tcW w:w="945"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w:t>
            </w:r>
          </w:p>
        </w:tc>
        <w:tc>
          <w:tcPr>
            <w:tcW w:w="945"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权重</w:t>
            </w:r>
          </w:p>
        </w:tc>
        <w:tc>
          <w:tcPr>
            <w:tcW w:w="1101"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执行率得分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r>
      <w:tr>
        <w:tblPrEx>
          <w:tblCellMar>
            <w:top w:w="0" w:type="dxa"/>
            <w:left w:w="108" w:type="dxa"/>
            <w:bottom w:w="0" w:type="dxa"/>
            <w:right w:w="108" w:type="dxa"/>
          </w:tblCellMar>
        </w:tblPrEx>
        <w:trPr>
          <w:cantSplit/>
          <w:trHeight w:val="601" w:hRule="atLeast"/>
        </w:trPr>
        <w:tc>
          <w:tcPr>
            <w:tcW w:w="759" w:type="dxa"/>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878" w:type="dxa"/>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年度总金额</w:t>
            </w:r>
          </w:p>
        </w:tc>
        <w:tc>
          <w:tcPr>
            <w:tcW w:w="135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p>
        </w:tc>
        <w:tc>
          <w:tcPr>
            <w:tcW w:w="1176" w:type="dxa"/>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66　</w:t>
            </w:r>
          </w:p>
        </w:tc>
        <w:tc>
          <w:tcPr>
            <w:tcW w:w="1549" w:type="dxa"/>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66　</w:t>
            </w:r>
          </w:p>
        </w:tc>
        <w:tc>
          <w:tcPr>
            <w:tcW w:w="945"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945"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sz w:val="18"/>
                <w:szCs w:val="18"/>
              </w:rPr>
            </w:pPr>
            <w:r>
              <w:rPr>
                <w:rFonts w:hint="eastAsia" w:ascii="方正仿宋_GBK" w:eastAsia="方正仿宋_GBK"/>
                <w:sz w:val="18"/>
                <w:szCs w:val="18"/>
              </w:rPr>
              <w:t>10　</w:t>
            </w:r>
          </w:p>
        </w:tc>
        <w:tc>
          <w:tcPr>
            <w:tcW w:w="1101"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　</w:t>
            </w:r>
          </w:p>
        </w:tc>
      </w:tr>
      <w:tr>
        <w:tblPrEx>
          <w:tblCellMar>
            <w:top w:w="0" w:type="dxa"/>
            <w:left w:w="108" w:type="dxa"/>
            <w:bottom w:w="0" w:type="dxa"/>
            <w:right w:w="108" w:type="dxa"/>
          </w:tblCellMar>
        </w:tblPrEx>
        <w:trPr>
          <w:cantSplit/>
          <w:trHeight w:val="601" w:hRule="atLeast"/>
        </w:trPr>
        <w:tc>
          <w:tcPr>
            <w:tcW w:w="759" w:type="dxa"/>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878" w:type="dxa"/>
            <w:tcBorders>
              <w:top w:val="nil"/>
              <w:left w:val="nil"/>
              <w:bottom w:val="single" w:color="auto" w:sz="4" w:space="0"/>
              <w:right w:val="nil"/>
            </w:tcBorders>
            <w:shd w:val="clear" w:color="auto" w:fill="auto"/>
            <w:vAlign w:val="center"/>
          </w:tcPr>
          <w:p>
            <w:pPr>
              <w:wordWrap w:val="0"/>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其中：区级支出</w:t>
            </w:r>
          </w:p>
        </w:tc>
        <w:tc>
          <w:tcPr>
            <w:tcW w:w="135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p>
        </w:tc>
        <w:tc>
          <w:tcPr>
            <w:tcW w:w="1176" w:type="dxa"/>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66</w:t>
            </w:r>
          </w:p>
        </w:tc>
        <w:tc>
          <w:tcPr>
            <w:tcW w:w="1549" w:type="dxa"/>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66　</w:t>
            </w:r>
          </w:p>
        </w:tc>
        <w:tc>
          <w:tcPr>
            <w:tcW w:w="945"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945"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sz w:val="18"/>
                <w:szCs w:val="18"/>
              </w:rPr>
              <w:t>10　</w:t>
            </w:r>
          </w:p>
        </w:tc>
        <w:tc>
          <w:tcPr>
            <w:tcW w:w="1101"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　</w:t>
            </w:r>
          </w:p>
        </w:tc>
      </w:tr>
      <w:tr>
        <w:tblPrEx>
          <w:tblCellMar>
            <w:top w:w="0" w:type="dxa"/>
            <w:left w:w="108" w:type="dxa"/>
            <w:bottom w:w="0" w:type="dxa"/>
            <w:right w:w="108" w:type="dxa"/>
          </w:tblCellMar>
        </w:tblPrEx>
        <w:trPr>
          <w:cantSplit/>
          <w:trHeight w:val="601" w:hRule="atLeast"/>
        </w:trPr>
        <w:tc>
          <w:tcPr>
            <w:tcW w:w="759" w:type="dxa"/>
            <w:vMerge w:val="restart"/>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当年绩效目标</w:t>
            </w:r>
          </w:p>
        </w:tc>
        <w:tc>
          <w:tcPr>
            <w:tcW w:w="2233" w:type="dxa"/>
            <w:gridSpan w:val="3"/>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年初绩效目标</w:t>
            </w:r>
          </w:p>
        </w:tc>
        <w:tc>
          <w:tcPr>
            <w:tcW w:w="2725" w:type="dxa"/>
            <w:gridSpan w:val="4"/>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全年（调整）绩效目标</w:t>
            </w:r>
          </w:p>
        </w:tc>
        <w:tc>
          <w:tcPr>
            <w:tcW w:w="2991" w:type="dxa"/>
            <w:gridSpan w:val="3"/>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全年目标实际完成情况</w:t>
            </w:r>
          </w:p>
        </w:tc>
      </w:tr>
      <w:tr>
        <w:tblPrEx>
          <w:tblCellMar>
            <w:top w:w="0" w:type="dxa"/>
            <w:left w:w="108" w:type="dxa"/>
            <w:bottom w:w="0" w:type="dxa"/>
            <w:right w:w="108" w:type="dxa"/>
          </w:tblCellMar>
        </w:tblPrEx>
        <w:trPr>
          <w:cantSplit/>
          <w:trHeight w:val="1352" w:hRule="atLeast"/>
        </w:trPr>
        <w:tc>
          <w:tcPr>
            <w:tcW w:w="759" w:type="dxa"/>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2233" w:type="dxa"/>
            <w:gridSpan w:val="3"/>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保障社区服务站日常运营，提升社区居民到社区站就诊的服务满意度。基本医疗服务得到充分保障。居民在就医满意度提高，人民的就诊获得感得到充分体现　</w:t>
            </w:r>
          </w:p>
        </w:tc>
        <w:tc>
          <w:tcPr>
            <w:tcW w:w="2725" w:type="dxa"/>
            <w:gridSpan w:val="4"/>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无</w:t>
            </w:r>
          </w:p>
        </w:tc>
        <w:tc>
          <w:tcPr>
            <w:tcW w:w="2991" w:type="dxa"/>
            <w:gridSpan w:val="3"/>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社区站日常运营得到了保障，就诊人次和社区居民满意度都得到了提高。</w:t>
            </w:r>
          </w:p>
        </w:tc>
      </w:tr>
      <w:tr>
        <w:trPr>
          <w:cantSplit/>
          <w:trHeight w:val="601" w:hRule="atLeast"/>
        </w:trPr>
        <w:tc>
          <w:tcPr>
            <w:tcW w:w="759"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绩效指标</w:t>
            </w:r>
          </w:p>
        </w:tc>
        <w:tc>
          <w:tcPr>
            <w:tcW w:w="878" w:type="dxa"/>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指标名称</w:t>
            </w:r>
          </w:p>
        </w:tc>
        <w:tc>
          <w:tcPr>
            <w:tcW w:w="485" w:type="dxa"/>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计量</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单位</w:t>
            </w:r>
          </w:p>
        </w:tc>
        <w:tc>
          <w:tcPr>
            <w:tcW w:w="870"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性质</w:t>
            </w:r>
          </w:p>
        </w:tc>
        <w:tc>
          <w:tcPr>
            <w:tcW w:w="505"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指标值</w:t>
            </w:r>
          </w:p>
        </w:tc>
        <w:tc>
          <w:tcPr>
            <w:tcW w:w="671"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调整</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指标值</w:t>
            </w:r>
          </w:p>
        </w:tc>
        <w:tc>
          <w:tcPr>
            <w:tcW w:w="787"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完成值</w:t>
            </w:r>
          </w:p>
        </w:tc>
        <w:tc>
          <w:tcPr>
            <w:tcW w:w="762"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得分系数</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w:t>
            </w:r>
          </w:p>
        </w:tc>
        <w:tc>
          <w:tcPr>
            <w:tcW w:w="945"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指标权重</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945"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指标得分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1101"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是否核心</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w:t>
            </w:r>
          </w:p>
        </w:tc>
      </w:tr>
      <w:tr>
        <w:trPr>
          <w:cantSplit/>
          <w:trHeight w:val="523" w:hRule="atLeast"/>
        </w:trPr>
        <w:tc>
          <w:tcPr>
            <w:tcW w:w="759" w:type="dxa"/>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878" w:type="dxa"/>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社区站年门诊人次　</w:t>
            </w:r>
          </w:p>
        </w:tc>
        <w:tc>
          <w:tcPr>
            <w:tcW w:w="48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人</w:t>
            </w:r>
          </w:p>
        </w:tc>
        <w:tc>
          <w:tcPr>
            <w:tcW w:w="870"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产出　</w:t>
            </w:r>
          </w:p>
        </w:tc>
        <w:tc>
          <w:tcPr>
            <w:tcW w:w="50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3000</w:t>
            </w:r>
          </w:p>
        </w:tc>
        <w:tc>
          <w:tcPr>
            <w:tcW w:w="671"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787"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hAnsi="Calibri" w:eastAsia="方正仿宋_GBK"/>
                <w:color w:val="000000"/>
                <w:sz w:val="15"/>
                <w:szCs w:val="15"/>
              </w:rPr>
              <w:t>3551</w:t>
            </w:r>
          </w:p>
        </w:tc>
        <w:tc>
          <w:tcPr>
            <w:tcW w:w="762"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100　</w:t>
            </w:r>
          </w:p>
        </w:tc>
        <w:tc>
          <w:tcPr>
            <w:tcW w:w="94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20　</w:t>
            </w:r>
          </w:p>
        </w:tc>
        <w:tc>
          <w:tcPr>
            <w:tcW w:w="94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20　</w:t>
            </w:r>
          </w:p>
        </w:tc>
        <w:tc>
          <w:tcPr>
            <w:tcW w:w="1101" w:type="dxa"/>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是　</w:t>
            </w:r>
          </w:p>
        </w:tc>
      </w:tr>
      <w:tr>
        <w:trPr>
          <w:cantSplit/>
          <w:trHeight w:val="523" w:hRule="atLeast"/>
        </w:trPr>
        <w:tc>
          <w:tcPr>
            <w:tcW w:w="759" w:type="dxa"/>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878" w:type="dxa"/>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服务窗口等待时间　</w:t>
            </w:r>
          </w:p>
        </w:tc>
        <w:tc>
          <w:tcPr>
            <w:tcW w:w="48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分</w:t>
            </w:r>
          </w:p>
        </w:tc>
        <w:tc>
          <w:tcPr>
            <w:tcW w:w="870"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产出</w:t>
            </w:r>
          </w:p>
        </w:tc>
        <w:tc>
          <w:tcPr>
            <w:tcW w:w="50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hAnsi="Calibri" w:eastAsia="方正仿宋_GBK"/>
                <w:color w:val="000000"/>
                <w:sz w:val="15"/>
                <w:szCs w:val="15"/>
              </w:rPr>
              <w:t>5</w:t>
            </w:r>
          </w:p>
        </w:tc>
        <w:tc>
          <w:tcPr>
            <w:tcW w:w="671"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787"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hAnsi="Calibri" w:eastAsia="方正仿宋_GBK"/>
                <w:color w:val="000000"/>
                <w:sz w:val="15"/>
                <w:szCs w:val="15"/>
              </w:rPr>
              <w:t>4</w:t>
            </w:r>
          </w:p>
        </w:tc>
        <w:tc>
          <w:tcPr>
            <w:tcW w:w="762"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100　</w:t>
            </w:r>
          </w:p>
        </w:tc>
        <w:tc>
          <w:tcPr>
            <w:tcW w:w="94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20　</w:t>
            </w:r>
          </w:p>
        </w:tc>
        <w:tc>
          <w:tcPr>
            <w:tcW w:w="94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20　</w:t>
            </w:r>
          </w:p>
        </w:tc>
        <w:tc>
          <w:tcPr>
            <w:tcW w:w="1101" w:type="dxa"/>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是　</w:t>
            </w:r>
          </w:p>
        </w:tc>
      </w:tr>
      <w:tr>
        <w:trPr>
          <w:cantSplit/>
          <w:trHeight w:val="523" w:hRule="atLeast"/>
        </w:trPr>
        <w:tc>
          <w:tcPr>
            <w:tcW w:w="759" w:type="dxa"/>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878" w:type="dxa"/>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患者治愈好转率　</w:t>
            </w:r>
          </w:p>
        </w:tc>
        <w:tc>
          <w:tcPr>
            <w:tcW w:w="48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870"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效益　</w:t>
            </w:r>
          </w:p>
        </w:tc>
        <w:tc>
          <w:tcPr>
            <w:tcW w:w="50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70</w:t>
            </w:r>
          </w:p>
        </w:tc>
        <w:tc>
          <w:tcPr>
            <w:tcW w:w="671"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787"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81</w:t>
            </w:r>
          </w:p>
        </w:tc>
        <w:tc>
          <w:tcPr>
            <w:tcW w:w="762"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100　</w:t>
            </w:r>
          </w:p>
        </w:tc>
        <w:tc>
          <w:tcPr>
            <w:tcW w:w="94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15　</w:t>
            </w:r>
          </w:p>
        </w:tc>
        <w:tc>
          <w:tcPr>
            <w:tcW w:w="94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15　</w:t>
            </w:r>
          </w:p>
        </w:tc>
        <w:tc>
          <w:tcPr>
            <w:tcW w:w="1101" w:type="dxa"/>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是　</w:t>
            </w:r>
          </w:p>
        </w:tc>
      </w:tr>
      <w:tr>
        <w:trPr>
          <w:cantSplit/>
          <w:trHeight w:val="523" w:hRule="atLeast"/>
        </w:trPr>
        <w:tc>
          <w:tcPr>
            <w:tcW w:w="759" w:type="dxa"/>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878" w:type="dxa"/>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hAnsi="Calibri" w:eastAsia="方正仿宋_GBK"/>
                <w:color w:val="000000"/>
                <w:sz w:val="15"/>
                <w:szCs w:val="15"/>
              </w:rPr>
              <w:t>社区站收入占比</w:t>
            </w:r>
          </w:p>
        </w:tc>
        <w:tc>
          <w:tcPr>
            <w:tcW w:w="48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870"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hAnsi="Calibri" w:eastAsia="方正仿宋_GBK"/>
                <w:color w:val="000000"/>
                <w:sz w:val="15"/>
                <w:szCs w:val="15"/>
              </w:rPr>
              <w:t>效益</w:t>
            </w:r>
          </w:p>
        </w:tc>
        <w:tc>
          <w:tcPr>
            <w:tcW w:w="50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30</w:t>
            </w:r>
          </w:p>
        </w:tc>
        <w:tc>
          <w:tcPr>
            <w:tcW w:w="671"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787"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38.5</w:t>
            </w:r>
          </w:p>
        </w:tc>
        <w:tc>
          <w:tcPr>
            <w:tcW w:w="762"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100</w:t>
            </w:r>
          </w:p>
        </w:tc>
        <w:tc>
          <w:tcPr>
            <w:tcW w:w="94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15</w:t>
            </w:r>
          </w:p>
        </w:tc>
        <w:tc>
          <w:tcPr>
            <w:tcW w:w="94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15</w:t>
            </w:r>
          </w:p>
        </w:tc>
        <w:tc>
          <w:tcPr>
            <w:tcW w:w="1101" w:type="dxa"/>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否　</w:t>
            </w:r>
          </w:p>
        </w:tc>
      </w:tr>
      <w:tr>
        <w:trPr>
          <w:cantSplit/>
          <w:trHeight w:val="523" w:hRule="atLeast"/>
        </w:trPr>
        <w:tc>
          <w:tcPr>
            <w:tcW w:w="759" w:type="dxa"/>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878" w:type="dxa"/>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患者满意度</w:t>
            </w:r>
          </w:p>
        </w:tc>
        <w:tc>
          <w:tcPr>
            <w:tcW w:w="48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870"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hAnsi="Calibri" w:eastAsia="方正仿宋_GBK"/>
                <w:color w:val="000000"/>
                <w:sz w:val="15"/>
                <w:szCs w:val="15"/>
              </w:rPr>
              <w:t>满意度</w:t>
            </w:r>
          </w:p>
        </w:tc>
        <w:tc>
          <w:tcPr>
            <w:tcW w:w="50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80　</w:t>
            </w:r>
          </w:p>
        </w:tc>
        <w:tc>
          <w:tcPr>
            <w:tcW w:w="671"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787"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85　</w:t>
            </w:r>
          </w:p>
        </w:tc>
        <w:tc>
          <w:tcPr>
            <w:tcW w:w="762"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100</w:t>
            </w:r>
          </w:p>
        </w:tc>
        <w:tc>
          <w:tcPr>
            <w:tcW w:w="94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20　</w:t>
            </w:r>
          </w:p>
        </w:tc>
        <w:tc>
          <w:tcPr>
            <w:tcW w:w="94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20　</w:t>
            </w:r>
          </w:p>
        </w:tc>
        <w:tc>
          <w:tcPr>
            <w:tcW w:w="1101" w:type="dxa"/>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是　</w:t>
            </w:r>
          </w:p>
        </w:tc>
      </w:tr>
      <w:tr>
        <w:trPr>
          <w:cantSplit/>
          <w:trHeight w:val="523" w:hRule="atLeast"/>
        </w:trPr>
        <w:tc>
          <w:tcPr>
            <w:tcW w:w="759" w:type="dxa"/>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878" w:type="dxa"/>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hAnsi="Calibri" w:eastAsia="方正仿宋_GBK"/>
                <w:color w:val="000000"/>
                <w:sz w:val="15"/>
                <w:szCs w:val="15"/>
              </w:rPr>
              <w:t>资金执行率</w:t>
            </w:r>
          </w:p>
        </w:tc>
        <w:tc>
          <w:tcPr>
            <w:tcW w:w="48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870"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hAnsi="Calibri" w:eastAsia="方正仿宋_GBK"/>
                <w:color w:val="000000"/>
                <w:sz w:val="15"/>
                <w:szCs w:val="15"/>
              </w:rPr>
              <w:t>执行率</w:t>
            </w:r>
          </w:p>
        </w:tc>
        <w:tc>
          <w:tcPr>
            <w:tcW w:w="50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100　</w:t>
            </w:r>
          </w:p>
        </w:tc>
        <w:tc>
          <w:tcPr>
            <w:tcW w:w="671"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　</w:t>
            </w:r>
          </w:p>
        </w:tc>
        <w:tc>
          <w:tcPr>
            <w:tcW w:w="787"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100　</w:t>
            </w:r>
          </w:p>
        </w:tc>
        <w:tc>
          <w:tcPr>
            <w:tcW w:w="762" w:type="dxa"/>
            <w:tcBorders>
              <w:top w:val="nil"/>
              <w:left w:val="single" w:color="auto" w:sz="4" w:space="0"/>
              <w:bottom w:val="single" w:color="auto" w:sz="4" w:space="0"/>
              <w:right w:val="nil"/>
            </w:tcBorders>
            <w:shd w:val="clear" w:color="auto" w:fill="auto"/>
            <w:vAlign w:val="center"/>
          </w:tcPr>
          <w:p>
            <w:pPr>
              <w:autoSpaceDN w:val="0"/>
              <w:jc w:val="both"/>
              <w:rPr>
                <w:rFonts w:ascii="方正仿宋_GBK" w:hAnsi="Calibri" w:eastAsia="方正仿宋_GBK"/>
                <w:color w:val="000000"/>
                <w:sz w:val="15"/>
                <w:szCs w:val="15"/>
              </w:rPr>
            </w:pPr>
            <w:r>
              <w:rPr>
                <w:rFonts w:hint="eastAsia" w:ascii="方正仿宋_GBK" w:hAnsi="Calibri" w:eastAsia="方正仿宋_GBK"/>
                <w:color w:val="000000"/>
                <w:sz w:val="15"/>
                <w:szCs w:val="15"/>
              </w:rPr>
              <w:t xml:space="preserve">     100</w:t>
            </w:r>
          </w:p>
        </w:tc>
        <w:tc>
          <w:tcPr>
            <w:tcW w:w="94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10　</w:t>
            </w:r>
          </w:p>
        </w:tc>
        <w:tc>
          <w:tcPr>
            <w:tcW w:w="94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10　</w:t>
            </w:r>
          </w:p>
        </w:tc>
        <w:tc>
          <w:tcPr>
            <w:tcW w:w="1101" w:type="dxa"/>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5"/>
                <w:szCs w:val="15"/>
              </w:rPr>
            </w:pPr>
            <w:r>
              <w:rPr>
                <w:rFonts w:hint="eastAsia" w:ascii="方正仿宋_GBK" w:eastAsia="方正仿宋_GBK"/>
                <w:color w:val="000000"/>
                <w:sz w:val="15"/>
                <w:szCs w:val="15"/>
              </w:rPr>
              <w:t>否　</w:t>
            </w:r>
          </w:p>
        </w:tc>
      </w:tr>
      <w:tr>
        <w:trPr>
          <w:trHeight w:val="355" w:hRule="atLeast"/>
        </w:trPr>
        <w:tc>
          <w:tcPr>
            <w:tcW w:w="759" w:type="dxa"/>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说明</w:t>
            </w:r>
          </w:p>
        </w:tc>
        <w:tc>
          <w:tcPr>
            <w:tcW w:w="7949" w:type="dxa"/>
            <w:gridSpan w:val="10"/>
            <w:tcBorders>
              <w:top w:val="single" w:color="auto" w:sz="4" w:space="0"/>
              <w:left w:val="nil"/>
              <w:bottom w:val="single" w:color="auto" w:sz="4" w:space="0"/>
              <w:right w:val="single" w:color="auto" w:sz="4" w:space="0"/>
            </w:tcBorders>
            <w:shd w:val="clear" w:color="auto" w:fill="auto"/>
            <w:vAlign w:val="center"/>
          </w:tcPr>
          <w:p>
            <w:pPr>
              <w:autoSpaceDN w:val="0"/>
              <w:rPr>
                <w:rFonts w:ascii="方正仿宋_GBK" w:hAnsi="Calibri" w:eastAsia="方正仿宋_GBK"/>
                <w:color w:val="000000"/>
                <w:sz w:val="18"/>
                <w:szCs w:val="18"/>
              </w:rPr>
            </w:pPr>
            <w:r>
              <w:rPr>
                <w:rFonts w:hint="eastAsia" w:ascii="方正仿宋_GBK" w:eastAsia="方正仿宋_GBK"/>
                <w:color w:val="000000"/>
                <w:sz w:val="18"/>
                <w:szCs w:val="18"/>
              </w:rPr>
              <w:t>　</w:t>
            </w:r>
          </w:p>
        </w:tc>
      </w:tr>
    </w:tbl>
    <w:p>
      <w:pPr>
        <w:pStyle w:val="6"/>
        <w:shd w:val="clear" w:color="auto" w:fill="FFFFFF"/>
        <w:spacing w:before="0" w:beforeAutospacing="0" w:after="0" w:afterAutospacing="0" w:line="600" w:lineRule="exact"/>
        <w:rPr>
          <w:rFonts w:ascii="方正仿宋_GBK" w:eastAsia="方正仿宋_GBK"/>
          <w:b/>
          <w:sz w:val="36"/>
          <w:szCs w:val="36"/>
        </w:rPr>
      </w:pPr>
      <w:r>
        <w:rPr>
          <w:rFonts w:hint="eastAsia" w:ascii="方正仿宋_GBK" w:eastAsia="方正仿宋_GBK"/>
          <w:sz w:val="32"/>
          <w:szCs w:val="32"/>
        </w:rPr>
        <w:t xml:space="preserve">附件3           </w:t>
      </w:r>
    </w:p>
    <w:p>
      <w:pPr>
        <w:spacing w:line="60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南岸区南坪街道社区卫生服务中心</w:t>
      </w:r>
    </w:p>
    <w:p>
      <w:pPr>
        <w:spacing w:line="60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2020年抗疫特别国债资金绩效自评报告</w:t>
      </w:r>
    </w:p>
    <w:p>
      <w:pPr>
        <w:spacing w:line="600" w:lineRule="exact"/>
        <w:ind w:firstLine="2520" w:firstLineChars="700"/>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—核酸检测等抗疫支出</w:t>
      </w:r>
    </w:p>
    <w:p>
      <w:pPr>
        <w:spacing w:line="600" w:lineRule="exact"/>
        <w:ind w:firstLine="2520" w:firstLineChars="700"/>
        <w:rPr>
          <w:rFonts w:ascii="方正小标宋_GBK" w:hAnsi="方正小标宋_GBK" w:eastAsia="方正小标宋_GBK" w:cs="方正小标宋_GBK"/>
          <w:sz w:val="36"/>
          <w:szCs w:val="36"/>
        </w:rPr>
      </w:pPr>
    </w:p>
    <w:p>
      <w:pPr>
        <w:spacing w:line="594" w:lineRule="exact"/>
        <w:ind w:firstLine="640" w:firstLineChars="200"/>
        <w:jc w:val="both"/>
        <w:rPr>
          <w:rFonts w:hint="eastAsia" w:ascii="方正黑体_GBK" w:eastAsia="方正黑体_GBK"/>
          <w:sz w:val="32"/>
          <w:szCs w:val="32"/>
        </w:rPr>
      </w:pPr>
      <w:r>
        <w:rPr>
          <w:rFonts w:hint="eastAsia" w:ascii="方正黑体_GBK" w:eastAsia="方正黑体_GBK"/>
          <w:sz w:val="32"/>
          <w:szCs w:val="32"/>
        </w:rPr>
        <w:t>一、项目基本情况</w:t>
      </w:r>
    </w:p>
    <w:p>
      <w:pPr>
        <w:spacing w:line="594" w:lineRule="exact"/>
        <w:ind w:firstLine="640" w:firstLineChars="200"/>
        <w:jc w:val="both"/>
        <w:rPr>
          <w:rFonts w:hint="eastAsia" w:ascii="方正楷体_GBK" w:eastAsia="方正楷体_GBK"/>
          <w:sz w:val="32"/>
          <w:szCs w:val="32"/>
        </w:rPr>
      </w:pPr>
      <w:r>
        <w:rPr>
          <w:rFonts w:hint="eastAsia" w:ascii="方正楷体_GBK" w:eastAsia="方正楷体_GBK"/>
          <w:sz w:val="32"/>
          <w:szCs w:val="32"/>
        </w:rPr>
        <w:t>（一）项目概况</w:t>
      </w:r>
    </w:p>
    <w:p>
      <w:pPr>
        <w:spacing w:line="594" w:lineRule="exact"/>
        <w:ind w:firstLine="640" w:firstLineChars="200"/>
        <w:jc w:val="both"/>
        <w:rPr>
          <w:rFonts w:hint="eastAsia" w:ascii="方正仿宋_GBK" w:hAnsi="宋体" w:eastAsia="方正仿宋_GBK" w:cs="宋体"/>
          <w:sz w:val="32"/>
          <w:szCs w:val="32"/>
          <w:lang w:val="en-US" w:eastAsia="zh-CN" w:bidi="ar-SA"/>
        </w:rPr>
      </w:pPr>
      <w:r>
        <w:rPr>
          <w:rFonts w:hint="eastAsia" w:ascii="方正仿宋_GBK" w:hAnsi="宋体" w:eastAsia="方正仿宋_GBK" w:cs="宋体"/>
          <w:sz w:val="32"/>
          <w:szCs w:val="32"/>
          <w:lang w:val="en-US" w:eastAsia="zh-CN" w:bidi="ar-SA"/>
        </w:rPr>
        <w:t>2020年因突发新冠疫情，为加强疫情防控工作，财政追加预算核酸检测费用，用于购买第三方核酸检测服务项目费用，及时为居民提供核酸检测服务。</w:t>
      </w:r>
    </w:p>
    <w:p>
      <w:pPr>
        <w:spacing w:line="594" w:lineRule="exact"/>
        <w:ind w:firstLine="640" w:firstLineChars="200"/>
        <w:jc w:val="both"/>
        <w:rPr>
          <w:rFonts w:hint="eastAsia" w:ascii="方正楷体_GBK" w:eastAsia="方正楷体_GBK"/>
          <w:sz w:val="32"/>
          <w:szCs w:val="32"/>
        </w:rPr>
      </w:pPr>
      <w:r>
        <w:rPr>
          <w:rFonts w:hint="eastAsia" w:ascii="方正仿宋_GBK" w:eastAsia="方正仿宋_GBK"/>
          <w:sz w:val="32"/>
          <w:szCs w:val="32"/>
        </w:rPr>
        <w:t xml:space="preserve"> </w:t>
      </w:r>
      <w:r>
        <w:rPr>
          <w:rFonts w:hint="eastAsia" w:ascii="方正楷体_GBK" w:eastAsia="方正楷体_GBK"/>
          <w:sz w:val="32"/>
          <w:szCs w:val="32"/>
        </w:rPr>
        <w:t>（二）项目立项依据</w:t>
      </w:r>
    </w:p>
    <w:p>
      <w:pPr>
        <w:spacing w:line="594" w:lineRule="exact"/>
        <w:ind w:firstLine="640" w:firstLineChars="200"/>
        <w:jc w:val="both"/>
        <w:rPr>
          <w:rFonts w:ascii="方正仿宋_GBK" w:eastAsia="方正仿宋_GBK"/>
          <w:sz w:val="32"/>
          <w:szCs w:val="32"/>
        </w:rPr>
      </w:pPr>
      <w:r>
        <w:rPr>
          <w:rFonts w:hint="eastAsia" w:ascii="方正仿宋_GBK" w:eastAsia="方正仿宋_GBK"/>
          <w:sz w:val="32"/>
          <w:szCs w:val="32"/>
        </w:rPr>
        <w:t>该项目根据渝财预[2020]50号《关于下达2020年抗疫特别国债市级预留机动资金的通知》；渝财预［2020］23号等文件精神要求开展，立项依据充分。</w:t>
      </w:r>
    </w:p>
    <w:p>
      <w:pPr>
        <w:spacing w:line="594" w:lineRule="exact"/>
        <w:ind w:firstLine="640" w:firstLineChars="200"/>
        <w:jc w:val="both"/>
        <w:rPr>
          <w:rFonts w:hint="eastAsia" w:ascii="方正楷体_GBK" w:eastAsia="方正楷体_GBK"/>
          <w:sz w:val="32"/>
          <w:szCs w:val="32"/>
        </w:rPr>
      </w:pPr>
      <w:r>
        <w:rPr>
          <w:rFonts w:hint="eastAsia" w:ascii="方正楷体_GBK" w:eastAsia="方正楷体_GBK"/>
          <w:sz w:val="32"/>
          <w:szCs w:val="32"/>
        </w:rPr>
        <w:t>（三）项目预算及资金</w:t>
      </w:r>
    </w:p>
    <w:p>
      <w:pPr>
        <w:spacing w:line="594" w:lineRule="exact"/>
        <w:ind w:firstLine="640" w:firstLineChars="200"/>
        <w:jc w:val="both"/>
        <w:rPr>
          <w:rFonts w:ascii="方正仿宋_GBK" w:eastAsia="方正仿宋_GBK"/>
          <w:sz w:val="32"/>
          <w:szCs w:val="32"/>
        </w:rPr>
      </w:pPr>
      <w:r>
        <w:rPr>
          <w:rFonts w:hint="eastAsia" w:ascii="方正仿宋_GBK" w:eastAsia="方正仿宋_GBK"/>
          <w:sz w:val="32"/>
          <w:szCs w:val="32"/>
        </w:rPr>
        <w:t>该项目预算3.5万元，实际支出3.5万元，资金执行率100%。</w:t>
      </w:r>
    </w:p>
    <w:p>
      <w:pPr>
        <w:spacing w:line="594" w:lineRule="exact"/>
        <w:ind w:firstLine="640" w:firstLineChars="200"/>
        <w:jc w:val="both"/>
        <w:rPr>
          <w:rFonts w:hint="eastAsia" w:ascii="方正楷体_GBK" w:eastAsia="方正楷体_GBK"/>
          <w:sz w:val="32"/>
          <w:szCs w:val="32"/>
        </w:rPr>
      </w:pPr>
      <w:r>
        <w:rPr>
          <w:rFonts w:hint="eastAsia" w:ascii="方正楷体_GBK" w:eastAsia="方正楷体_GBK"/>
          <w:sz w:val="32"/>
          <w:szCs w:val="32"/>
        </w:rPr>
        <w:t>（四）项目绩效目标</w:t>
      </w:r>
    </w:p>
    <w:p>
      <w:pPr>
        <w:spacing w:line="594" w:lineRule="exact"/>
        <w:ind w:firstLine="640" w:firstLineChars="200"/>
        <w:jc w:val="both"/>
        <w:rPr>
          <w:rFonts w:ascii="方正仿宋_GBK" w:eastAsia="方正仿宋_GBK"/>
          <w:sz w:val="32"/>
          <w:szCs w:val="32"/>
        </w:rPr>
      </w:pPr>
      <w:r>
        <w:rPr>
          <w:rFonts w:hint="eastAsia" w:ascii="方正仿宋_GBK" w:eastAsia="方正仿宋_GBK"/>
          <w:sz w:val="32"/>
          <w:szCs w:val="32"/>
        </w:rPr>
        <w:t>1.项目绩效总目标</w:t>
      </w:r>
    </w:p>
    <w:p>
      <w:pPr>
        <w:spacing w:line="594" w:lineRule="exact"/>
        <w:ind w:firstLine="640" w:firstLineChars="200"/>
        <w:jc w:val="both"/>
        <w:rPr>
          <w:rFonts w:ascii="方正仿宋_GBK" w:eastAsia="方正仿宋_GBK"/>
          <w:sz w:val="32"/>
          <w:szCs w:val="32"/>
        </w:rPr>
      </w:pPr>
      <w:r>
        <w:rPr>
          <w:rFonts w:hint="eastAsia" w:ascii="方正仿宋_GBK" w:eastAsia="方正仿宋_GBK"/>
          <w:sz w:val="32"/>
          <w:szCs w:val="32"/>
        </w:rPr>
        <w:t>为贯彻新冠肺炎突发启动的应急机制，为了更好的服务广大基层人民、基层医疗机构门诊需进行核酸检测服务项目，维持社会正常运行秩序，降低社会普遍对新冠肺炎的恐慌程度，为社会稳定运行起到积极的作用。</w:t>
      </w:r>
    </w:p>
    <w:p>
      <w:pPr>
        <w:spacing w:line="594" w:lineRule="exact"/>
        <w:ind w:firstLine="640" w:firstLineChars="200"/>
        <w:jc w:val="both"/>
        <w:rPr>
          <w:rFonts w:ascii="方正仿宋_GBK" w:eastAsia="方正仿宋_GBK"/>
          <w:sz w:val="32"/>
          <w:szCs w:val="32"/>
        </w:rPr>
      </w:pPr>
      <w:r>
        <w:rPr>
          <w:rFonts w:hint="eastAsia" w:ascii="方正仿宋_GBK" w:eastAsia="方正仿宋_GBK"/>
          <w:sz w:val="32"/>
          <w:szCs w:val="32"/>
        </w:rPr>
        <w:t>2.项目绩效阶段性目标</w:t>
      </w:r>
    </w:p>
    <w:p>
      <w:pPr>
        <w:spacing w:line="594" w:lineRule="exact"/>
        <w:ind w:firstLine="640" w:firstLineChars="200"/>
        <w:jc w:val="both"/>
        <w:rPr>
          <w:rFonts w:ascii="方正仿宋_GBK" w:eastAsia="方正仿宋_GBK"/>
          <w:sz w:val="32"/>
          <w:szCs w:val="32"/>
        </w:rPr>
      </w:pPr>
      <w:r>
        <w:rPr>
          <w:rFonts w:hint="eastAsia" w:ascii="方正仿宋_GBK" w:eastAsia="方正仿宋_GBK"/>
          <w:sz w:val="32"/>
          <w:szCs w:val="32"/>
        </w:rPr>
        <w:t>全年核酸检测人数达到800人，与第三方核酸检测机构达成更好的合作。</w:t>
      </w:r>
    </w:p>
    <w:p>
      <w:pPr>
        <w:spacing w:line="594" w:lineRule="exact"/>
        <w:ind w:firstLine="640" w:firstLineChars="200"/>
        <w:jc w:val="both"/>
        <w:rPr>
          <w:rFonts w:ascii="方正仿宋_GBK" w:eastAsia="方正仿宋_GBK"/>
          <w:sz w:val="32"/>
          <w:szCs w:val="32"/>
        </w:rPr>
      </w:pPr>
      <w:r>
        <w:rPr>
          <w:rFonts w:hint="eastAsia" w:ascii="方正仿宋_GBK" w:eastAsia="方正仿宋_GBK"/>
          <w:sz w:val="32"/>
          <w:szCs w:val="32"/>
        </w:rPr>
        <w:t>3.绩效评价指标分析</w:t>
      </w:r>
    </w:p>
    <w:p>
      <w:pPr>
        <w:spacing w:line="594" w:lineRule="exact"/>
        <w:ind w:firstLine="640" w:firstLineChars="200"/>
        <w:jc w:val="both"/>
        <w:rPr>
          <w:rFonts w:ascii="方正仿宋_GBK" w:eastAsia="方正仿宋_GBK"/>
          <w:sz w:val="32"/>
          <w:szCs w:val="32"/>
        </w:rPr>
      </w:pPr>
      <w:r>
        <w:rPr>
          <w:rFonts w:hint="eastAsia" w:ascii="方正仿宋_GBK" w:eastAsia="方正仿宋_GBK"/>
          <w:sz w:val="32"/>
          <w:szCs w:val="32"/>
        </w:rPr>
        <w:t>（1）项目资金情况分析</w:t>
      </w:r>
    </w:p>
    <w:p>
      <w:pPr>
        <w:spacing w:line="594" w:lineRule="exact"/>
        <w:ind w:firstLine="640" w:firstLineChars="200"/>
        <w:jc w:val="both"/>
        <w:rPr>
          <w:rFonts w:ascii="方正仿宋_GBK" w:eastAsia="方正仿宋_GBK"/>
          <w:sz w:val="32"/>
          <w:szCs w:val="32"/>
        </w:rPr>
      </w:pPr>
      <w:r>
        <w:rPr>
          <w:rFonts w:hint="eastAsia" w:ascii="方正仿宋_GBK" w:eastAsia="方正仿宋_GBK"/>
          <w:sz w:val="32"/>
          <w:szCs w:val="32"/>
        </w:rPr>
        <w:t>该项目年初预算3.5万元，实际到位资金3.5万元</w:t>
      </w:r>
    </w:p>
    <w:p>
      <w:pPr>
        <w:spacing w:line="594" w:lineRule="exact"/>
        <w:ind w:firstLine="640" w:firstLineChars="200"/>
        <w:jc w:val="both"/>
        <w:rPr>
          <w:rFonts w:ascii="方正仿宋_GBK" w:eastAsia="方正仿宋_GBK"/>
          <w:sz w:val="32"/>
          <w:szCs w:val="32"/>
        </w:rPr>
      </w:pPr>
      <w:r>
        <w:rPr>
          <w:rFonts w:hint="eastAsia" w:ascii="方正仿宋_GBK" w:eastAsia="方正仿宋_GBK"/>
          <w:sz w:val="32"/>
          <w:szCs w:val="32"/>
        </w:rPr>
        <w:t>（2）项目管理情况分析</w:t>
      </w:r>
    </w:p>
    <w:p>
      <w:pPr>
        <w:spacing w:line="594" w:lineRule="exact"/>
        <w:ind w:firstLine="640" w:firstLineChars="200"/>
        <w:jc w:val="both"/>
        <w:rPr>
          <w:rFonts w:ascii="方正仿宋_GBK" w:eastAsia="方正仿宋_GBK"/>
          <w:sz w:val="32"/>
          <w:szCs w:val="32"/>
        </w:rPr>
      </w:pPr>
      <w:r>
        <w:rPr>
          <w:rFonts w:hint="eastAsia" w:ascii="方正仿宋_GBK" w:eastAsia="方正仿宋_GBK"/>
          <w:sz w:val="32"/>
          <w:szCs w:val="32"/>
        </w:rPr>
        <w:t xml:space="preserve"> ①业务管理</w:t>
      </w:r>
    </w:p>
    <w:p>
      <w:pPr>
        <w:spacing w:line="594" w:lineRule="exact"/>
        <w:ind w:firstLine="640" w:firstLineChars="200"/>
        <w:jc w:val="both"/>
        <w:rPr>
          <w:rFonts w:ascii="方正仿宋_GBK" w:eastAsia="方正仿宋_GBK"/>
          <w:sz w:val="32"/>
          <w:szCs w:val="32"/>
        </w:rPr>
      </w:pPr>
      <w:r>
        <w:rPr>
          <w:rFonts w:hint="eastAsia" w:ascii="方正仿宋_GBK" w:eastAsia="方正仿宋_GBK"/>
          <w:sz w:val="32"/>
          <w:szCs w:val="32"/>
        </w:rPr>
        <w:t>组织医院相关人员对疫情防控知识培训、组织对发热门诊应急能力进行培训和演练。收费室做好核酸检测病人的基础信息登记、每日汇总、数据复核工作。加大对核酸检测高效率、高准确率的宣传工作。</w:t>
      </w:r>
    </w:p>
    <w:p>
      <w:pPr>
        <w:spacing w:line="594" w:lineRule="exact"/>
        <w:ind w:firstLine="640" w:firstLineChars="200"/>
        <w:jc w:val="both"/>
        <w:rPr>
          <w:rFonts w:ascii="方正仿宋_GBK" w:eastAsia="方正仿宋_GBK"/>
          <w:sz w:val="32"/>
          <w:szCs w:val="32"/>
        </w:rPr>
      </w:pPr>
      <w:r>
        <w:rPr>
          <w:rFonts w:hint="eastAsia" w:ascii="方正仿宋_GBK" w:eastAsia="方正仿宋_GBK"/>
          <w:sz w:val="32"/>
          <w:szCs w:val="32"/>
        </w:rPr>
        <w:t>②财务管理</w:t>
      </w:r>
    </w:p>
    <w:p>
      <w:pPr>
        <w:spacing w:line="594" w:lineRule="exact"/>
        <w:ind w:firstLine="640" w:firstLineChars="200"/>
        <w:jc w:val="both"/>
        <w:rPr>
          <w:rFonts w:ascii="方正仿宋_GBK" w:eastAsia="方正仿宋_GBK"/>
          <w:sz w:val="32"/>
          <w:szCs w:val="32"/>
        </w:rPr>
      </w:pPr>
      <w:r>
        <w:rPr>
          <w:rFonts w:hint="eastAsia" w:ascii="方正仿宋_GBK" w:eastAsia="方正仿宋_GBK"/>
          <w:sz w:val="32"/>
          <w:szCs w:val="32"/>
        </w:rPr>
        <w:t>2020年9月委托第三方审计公司对我单位抗疫国债资金进行了审计，出具问题台账，限期整改；年终出具审计报告。</w:t>
      </w:r>
    </w:p>
    <w:p>
      <w:pPr>
        <w:spacing w:line="594" w:lineRule="exact"/>
        <w:ind w:firstLine="640" w:firstLineChars="200"/>
        <w:jc w:val="both"/>
        <w:rPr>
          <w:rFonts w:ascii="方正仿宋_GBK" w:eastAsia="方正仿宋_GBK"/>
          <w:sz w:val="32"/>
          <w:szCs w:val="32"/>
        </w:rPr>
      </w:pPr>
      <w:r>
        <w:rPr>
          <w:rFonts w:hint="eastAsia" w:ascii="方正仿宋_GBK" w:eastAsia="方正仿宋_GBK"/>
          <w:sz w:val="32"/>
          <w:szCs w:val="32"/>
        </w:rPr>
        <w:t>（3）项目绩效情况分析</w:t>
      </w:r>
    </w:p>
    <w:p>
      <w:pPr>
        <w:widowControl w:val="0"/>
        <w:spacing w:line="594" w:lineRule="exact"/>
        <w:ind w:firstLine="640" w:firstLineChars="200"/>
        <w:jc w:val="both"/>
        <w:rPr>
          <w:rFonts w:ascii="方正仿宋_GBK" w:eastAsia="方正仿宋_GBK"/>
          <w:sz w:val="32"/>
          <w:szCs w:val="32"/>
        </w:rPr>
      </w:pPr>
      <w:r>
        <w:rPr>
          <w:rFonts w:hint="eastAsia" w:ascii="方正仿宋_GBK" w:eastAsia="方正仿宋_GBK"/>
          <w:sz w:val="32"/>
          <w:szCs w:val="32"/>
        </w:rPr>
        <w:t>①产出指标分析</w:t>
      </w:r>
    </w:p>
    <w:p>
      <w:pPr>
        <w:widowControl w:val="0"/>
        <w:spacing w:line="594" w:lineRule="exact"/>
        <w:ind w:firstLine="640" w:firstLineChars="200"/>
        <w:jc w:val="both"/>
        <w:rPr>
          <w:rFonts w:ascii="方正仿宋_GBK" w:eastAsia="方正仿宋_GBK"/>
          <w:sz w:val="32"/>
          <w:szCs w:val="32"/>
        </w:rPr>
      </w:pPr>
      <w:r>
        <w:rPr>
          <w:rFonts w:hint="eastAsia" w:ascii="方正仿宋_GBK" w:eastAsia="方正仿宋_GBK"/>
          <w:sz w:val="32"/>
          <w:szCs w:val="32"/>
        </w:rPr>
        <w:t>产出数量：全年检测人数大于800人，实际检测人数达到了2414人次。时效指标：检测报告出具时间不大于24小时，实际出具报告时间小于24小时。</w:t>
      </w:r>
    </w:p>
    <w:p>
      <w:pPr>
        <w:spacing w:line="594" w:lineRule="exact"/>
        <w:ind w:firstLine="640" w:firstLineChars="200"/>
        <w:jc w:val="both"/>
        <w:rPr>
          <w:rFonts w:ascii="方正仿宋_GBK" w:eastAsia="方正仿宋_GBK"/>
          <w:sz w:val="32"/>
          <w:szCs w:val="32"/>
        </w:rPr>
      </w:pPr>
      <w:r>
        <w:rPr>
          <w:rFonts w:hint="eastAsia" w:ascii="方正仿宋_GBK" w:eastAsia="方正仿宋_GBK"/>
          <w:sz w:val="32"/>
          <w:szCs w:val="32"/>
        </w:rPr>
        <w:t>②项目效果分析</w:t>
      </w:r>
    </w:p>
    <w:p>
      <w:pPr>
        <w:spacing w:line="594" w:lineRule="exact"/>
        <w:ind w:firstLine="640" w:firstLineChars="200"/>
        <w:jc w:val="both"/>
        <w:rPr>
          <w:rFonts w:ascii="方正仿宋_GBK" w:eastAsia="方正仿宋_GBK"/>
          <w:sz w:val="32"/>
          <w:szCs w:val="32"/>
        </w:rPr>
      </w:pPr>
      <w:r>
        <w:rPr>
          <w:rFonts w:hint="eastAsia" w:ascii="方正仿宋_GBK" w:eastAsia="方正仿宋_GBK"/>
          <w:sz w:val="32"/>
          <w:szCs w:val="32"/>
        </w:rPr>
        <w:t>社会效益：居民对核酸检测的知晓率大于80%。可持续影响指标：居民对核酸检测结果的信赖度大于98%。</w:t>
      </w:r>
    </w:p>
    <w:p>
      <w:pPr>
        <w:spacing w:line="594" w:lineRule="exact"/>
        <w:ind w:firstLine="640" w:firstLineChars="200"/>
        <w:jc w:val="both"/>
        <w:rPr>
          <w:rFonts w:ascii="方正仿宋_GBK" w:eastAsia="方正仿宋_GBK"/>
          <w:sz w:val="32"/>
          <w:szCs w:val="32"/>
        </w:rPr>
      </w:pPr>
      <w:r>
        <w:rPr>
          <w:rFonts w:hint="eastAsia" w:ascii="方正仿宋_GBK" w:eastAsia="方正仿宋_GBK"/>
          <w:sz w:val="32"/>
          <w:szCs w:val="32"/>
        </w:rPr>
        <w:t>该项目的全年目标是核酸检测人数达到2000人，辖区居民普遍90%以上知晓核酸检测项目，群众普遍对核酸检测结果信赖度高，截止2020年12月31日，我院核酸检测人数已有2414人，核酸检测对象对检测服务普遍感到满意，调查满意度为100%，完成了全年目标值。</w:t>
      </w:r>
    </w:p>
    <w:p>
      <w:pPr>
        <w:spacing w:line="594" w:lineRule="exact"/>
        <w:ind w:firstLine="640" w:firstLineChars="200"/>
        <w:jc w:val="both"/>
        <w:rPr>
          <w:rFonts w:hint="eastAsia" w:ascii="方正黑体_GBK" w:eastAsia="方正黑体_GBK"/>
          <w:sz w:val="32"/>
          <w:szCs w:val="32"/>
        </w:rPr>
      </w:pPr>
      <w:r>
        <w:rPr>
          <w:rFonts w:hint="eastAsia" w:ascii="方正黑体_GBK" w:eastAsia="方正黑体_GBK"/>
          <w:sz w:val="32"/>
          <w:szCs w:val="32"/>
        </w:rPr>
        <w:t>二、存在的问题及改进措施</w:t>
      </w:r>
    </w:p>
    <w:p>
      <w:pPr>
        <w:spacing w:line="594" w:lineRule="exact"/>
        <w:ind w:firstLine="640" w:firstLineChars="200"/>
        <w:jc w:val="both"/>
        <w:rPr>
          <w:rFonts w:ascii="方正仿宋_GBK" w:eastAsia="方正仿宋_GBK"/>
          <w:sz w:val="32"/>
          <w:szCs w:val="32"/>
        </w:rPr>
      </w:pPr>
      <w:r>
        <w:rPr>
          <w:rFonts w:hint="eastAsia" w:ascii="方正仿宋_GBK" w:eastAsia="方正仿宋_GBK"/>
          <w:sz w:val="32"/>
          <w:szCs w:val="32"/>
        </w:rPr>
        <w:t>年初预算编制的检测人数和实际人数有一定误差，今后在编制预算时，将结合实际情况，尽量缩小预算误差。</w:t>
      </w:r>
    </w:p>
    <w:p>
      <w:pPr>
        <w:spacing w:line="594" w:lineRule="exact"/>
        <w:ind w:firstLine="640" w:firstLineChars="200"/>
        <w:jc w:val="both"/>
        <w:rPr>
          <w:rFonts w:hint="eastAsia" w:ascii="方正黑体_GBK" w:eastAsia="方正黑体_GBK"/>
          <w:sz w:val="32"/>
          <w:szCs w:val="32"/>
        </w:rPr>
      </w:pPr>
      <w:r>
        <w:rPr>
          <w:rFonts w:hint="eastAsia" w:ascii="方正黑体_GBK" w:eastAsia="方正黑体_GBK"/>
          <w:sz w:val="32"/>
          <w:szCs w:val="32"/>
        </w:rPr>
        <w:t>三、综合评价情况及评价结论</w:t>
      </w:r>
    </w:p>
    <w:p>
      <w:pPr>
        <w:spacing w:line="594" w:lineRule="exact"/>
        <w:ind w:firstLine="640" w:firstLineChars="200"/>
        <w:jc w:val="both"/>
        <w:rPr>
          <w:rFonts w:ascii="方正仿宋_GBK" w:eastAsia="方正仿宋_GBK"/>
          <w:sz w:val="32"/>
          <w:szCs w:val="32"/>
        </w:rPr>
        <w:sectPr>
          <w:pgSz w:w="11907" w:h="16840"/>
          <w:pgMar w:top="2098" w:right="1701" w:bottom="1984" w:left="1814" w:header="851" w:footer="992" w:gutter="0"/>
          <w:cols w:space="0" w:num="1"/>
          <w:docGrid w:type="lines" w:linePitch="335" w:charSpace="0"/>
        </w:sectPr>
      </w:pPr>
      <w:r>
        <w:rPr>
          <w:rFonts w:hint="eastAsia" w:ascii="方正仿宋_GBK" w:eastAsia="方正仿宋_GBK"/>
          <w:sz w:val="32"/>
          <w:szCs w:val="32"/>
        </w:rPr>
        <w:t>我院核酸检测工作一直进展顺利，2020年度核酸检测人数2414人，群众检测减免总金额15.69万元，为控制新冠疫情和社会稳定起到积极的作用，加强了与第三方核酸检测机构的交流和合作，为更好的服务广大辖区居民做出最大的努力。</w:t>
      </w:r>
    </w:p>
    <w:p>
      <w:pPr>
        <w:pStyle w:val="6"/>
        <w:shd w:val="clear" w:color="auto" w:fill="FFFFFF"/>
        <w:spacing w:before="0" w:beforeAutospacing="0" w:after="0" w:afterAutospacing="0" w:line="600" w:lineRule="exact"/>
        <w:jc w:val="both"/>
        <w:rPr>
          <w:rFonts w:ascii="方正仿宋_GBK" w:eastAsia="方正仿宋_GBK"/>
          <w:sz w:val="32"/>
          <w:szCs w:val="32"/>
        </w:rPr>
      </w:pPr>
      <w:r>
        <w:rPr>
          <w:rFonts w:hint="eastAsia" w:ascii="方正仿宋_GBK" w:eastAsia="方正仿宋_GBK"/>
          <w:sz w:val="32"/>
          <w:szCs w:val="32"/>
        </w:rPr>
        <w:t xml:space="preserve">附件4 </w:t>
      </w:r>
    </w:p>
    <w:p>
      <w:pPr>
        <w:spacing w:line="60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南岸区南坪社区卫生服务中心</w:t>
      </w:r>
    </w:p>
    <w:p>
      <w:pPr>
        <w:spacing w:line="60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药品零差率补助绩效评价自评报告</w:t>
      </w:r>
    </w:p>
    <w:p>
      <w:pPr>
        <w:jc w:val="center"/>
        <w:rPr>
          <w:rFonts w:ascii="方正小标宋简体" w:eastAsia="方正小标宋简体"/>
          <w:sz w:val="36"/>
          <w:szCs w:val="36"/>
        </w:rPr>
      </w:pPr>
    </w:p>
    <w:p>
      <w:pPr>
        <w:widowControl w:val="0"/>
        <w:spacing w:line="594" w:lineRule="exact"/>
        <w:ind w:firstLine="640" w:firstLineChars="200"/>
        <w:jc w:val="both"/>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为了加强南坪社区卫生服务中心基本公卫中央和市级补助资金的管理，规范支出行为，提高资金使用效益，根据重庆市卫生健康委员会和重庆市财政局</w:t>
      </w:r>
      <w:r>
        <w:rPr>
          <w:rFonts w:hint="eastAsia" w:ascii="方正仿宋_GBK" w:hAnsi="方正仿宋_GBK" w:eastAsia="方正仿宋_GBK" w:cs="方正仿宋_GBK"/>
          <w:bCs/>
          <w:sz w:val="32"/>
          <w:szCs w:val="32"/>
        </w:rPr>
        <w:t>关于</w:t>
      </w:r>
      <w:r>
        <w:rPr>
          <w:rFonts w:hint="eastAsia" w:ascii="方正仿宋_GBK" w:hAnsi="方正仿宋_GBK" w:eastAsia="方正仿宋_GBK" w:cs="方正仿宋_GBK"/>
          <w:sz w:val="32"/>
          <w:szCs w:val="32"/>
        </w:rPr>
        <w:t>《开展卫生健康领域财政资金项目绩效评价工作实施方案（试行）》（渝卫发</w:t>
      </w:r>
      <w:r>
        <w:rPr>
          <w:rFonts w:hint="eastAsia" w:ascii="方正仿宋_GBK" w:hAnsi="方正仿宋_GBK" w:eastAsia="方正仿宋_GBK" w:cs="方正仿宋_GBK"/>
          <w:bCs/>
          <w:sz w:val="32"/>
          <w:szCs w:val="32"/>
        </w:rPr>
        <w:t>〔2019〕11号</w:t>
      </w:r>
      <w:r>
        <w:rPr>
          <w:rFonts w:hint="eastAsia" w:ascii="方正仿宋_GBK" w:hAnsi="方正仿宋_GBK" w:eastAsia="方正仿宋_GBK" w:cs="方正仿宋_GBK"/>
          <w:sz w:val="32"/>
          <w:szCs w:val="32"/>
        </w:rPr>
        <w:t>）文件要求，结合我院资金使用的实际情况，按照我中心制定的考核指标、评价标准，以项目资金的使用管理和产生的经济效益为重点进行绩效评价，自评报告如下：</w:t>
      </w:r>
    </w:p>
    <w:p>
      <w:pPr>
        <w:widowControl w:val="0"/>
        <w:spacing w:line="594" w:lineRule="exact"/>
        <w:ind w:firstLine="640" w:firstLineChars="200"/>
        <w:jc w:val="both"/>
        <w:rPr>
          <w:rFonts w:hint="eastAsia" w:ascii="方正黑体_GBK" w:hAnsi="方正仿宋_GBK" w:eastAsia="方正黑体_GBK" w:cs="方正仿宋_GBK"/>
          <w:sz w:val="32"/>
          <w:szCs w:val="32"/>
        </w:rPr>
      </w:pPr>
      <w:r>
        <w:rPr>
          <w:rFonts w:hint="eastAsia" w:ascii="方正黑体_GBK" w:hAnsi="方正仿宋_GBK" w:eastAsia="方正黑体_GBK" w:cs="方正仿宋_GBK"/>
          <w:sz w:val="32"/>
          <w:szCs w:val="32"/>
        </w:rPr>
        <w:t>一、项目概况</w:t>
      </w:r>
    </w:p>
    <w:p>
      <w:pPr>
        <w:widowControl w:val="0"/>
        <w:spacing w:line="594" w:lineRule="exact"/>
        <w:ind w:firstLine="200"/>
        <w:jc w:val="both"/>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sz w:val="32"/>
          <w:szCs w:val="32"/>
        </w:rPr>
        <w:t xml:space="preserve">   </w:t>
      </w:r>
      <w:r>
        <w:rPr>
          <w:rFonts w:hint="eastAsia" w:ascii="方正仿宋_GBK" w:hAnsi="方正仿宋_GBK" w:eastAsia="方正仿宋_GBK" w:cs="方正仿宋_GBK"/>
          <w:sz w:val="32"/>
          <w:szCs w:val="32"/>
        </w:rPr>
        <w:t xml:space="preserve">  我中心承担辖区内的基本医疗服务、公共卫生服务和计生服务，是南岸区卫健委直属财政差额拨款事业单位。根据财政部项目资金管理办法相关规定，项目专项补助资金主要用于核定收支后的经常性收支差额补助。由于我中心下属社区卫生服务站执行药品零差率，资金周转较困难，该专项补助资金主要用于各社区卫生服务站的经常性收支差额补助。</w:t>
      </w:r>
    </w:p>
    <w:p>
      <w:pPr>
        <w:widowControl w:val="0"/>
        <w:spacing w:line="594" w:lineRule="exact"/>
        <w:ind w:firstLine="640" w:firstLineChars="200"/>
        <w:jc w:val="both"/>
        <w:rPr>
          <w:rFonts w:hint="eastAsia" w:ascii="方正黑体_GBK" w:hAnsi="华文仿宋" w:eastAsia="方正黑体_GBK"/>
          <w:sz w:val="32"/>
          <w:szCs w:val="32"/>
        </w:rPr>
      </w:pPr>
      <w:r>
        <w:rPr>
          <w:rFonts w:hint="eastAsia" w:ascii="方正黑体_GBK" w:hAnsi="华文仿宋" w:eastAsia="方正黑体_GBK"/>
          <w:sz w:val="32"/>
          <w:szCs w:val="32"/>
        </w:rPr>
        <w:t>二、项目实施情况</w:t>
      </w:r>
    </w:p>
    <w:p>
      <w:pPr>
        <w:widowControl w:val="0"/>
        <w:spacing w:line="594" w:lineRule="exact"/>
        <w:ind w:firstLine="640" w:firstLineChars="200"/>
        <w:jc w:val="both"/>
        <w:rPr>
          <w:rFonts w:hint="eastAsia" w:ascii="方正楷体_GBK" w:hAnsi="华文仿宋" w:eastAsia="方正楷体_GBK"/>
          <w:sz w:val="32"/>
          <w:szCs w:val="32"/>
        </w:rPr>
      </w:pPr>
      <w:r>
        <w:rPr>
          <w:rFonts w:hint="eastAsia" w:ascii="方正楷体_GBK" w:hAnsi="华文仿宋" w:eastAsia="方正楷体_GBK"/>
          <w:bCs/>
          <w:sz w:val="32"/>
          <w:szCs w:val="32"/>
        </w:rPr>
        <w:t>（一）严格遵守基本药物采购流程</w:t>
      </w:r>
    </w:p>
    <w:p>
      <w:pPr>
        <w:widowControl w:val="0"/>
        <w:spacing w:line="594" w:lineRule="exact"/>
        <w:ind w:firstLine="200"/>
        <w:jc w:val="both"/>
        <w:rPr>
          <w:rFonts w:hint="eastAsia" w:ascii="方正仿宋_GBK" w:hAnsi="华文仿宋" w:eastAsia="方正仿宋_GBK"/>
          <w:sz w:val="32"/>
          <w:szCs w:val="32"/>
        </w:rPr>
      </w:pPr>
      <w:r>
        <w:rPr>
          <w:rFonts w:hint="eastAsia" w:ascii="方正仿宋_GBK" w:hAnsi="华文仿宋" w:eastAsia="方正仿宋_GBK"/>
          <w:sz w:val="32"/>
          <w:szCs w:val="32"/>
        </w:rPr>
        <w:t>基本药物采购实行医疗系统统一招投标、在药交所平台统一采购，分散配送。严格按照国家药品采购制度实行采购流程。</w:t>
      </w:r>
    </w:p>
    <w:p>
      <w:pPr>
        <w:widowControl w:val="0"/>
        <w:spacing w:line="594" w:lineRule="exact"/>
        <w:ind w:firstLine="640" w:firstLineChars="200"/>
        <w:jc w:val="both"/>
        <w:rPr>
          <w:rFonts w:hint="eastAsia" w:ascii="方正楷体_GBK" w:hAnsi="华文仿宋" w:eastAsia="方正楷体_GBK"/>
          <w:sz w:val="32"/>
          <w:szCs w:val="32"/>
        </w:rPr>
      </w:pPr>
      <w:r>
        <w:rPr>
          <w:rFonts w:hint="eastAsia" w:ascii="方正楷体_GBK" w:hAnsi="华文仿宋" w:eastAsia="方正楷体_GBK"/>
          <w:sz w:val="32"/>
          <w:szCs w:val="32"/>
        </w:rPr>
        <w:t>（二）严格按照标准申请资金补助</w:t>
      </w:r>
    </w:p>
    <w:p>
      <w:pPr>
        <w:widowControl w:val="0"/>
        <w:spacing w:line="594" w:lineRule="exact"/>
        <w:ind w:firstLine="640" w:firstLineChars="200"/>
        <w:jc w:val="both"/>
        <w:rPr>
          <w:rFonts w:hint="eastAsia" w:ascii="方正仿宋_GBK" w:hAnsi="华文仿宋" w:eastAsia="方正仿宋_GBK"/>
          <w:b/>
          <w:bCs/>
          <w:sz w:val="32"/>
          <w:szCs w:val="32"/>
        </w:rPr>
      </w:pPr>
      <w:r>
        <w:rPr>
          <w:rFonts w:hint="eastAsia" w:ascii="方正仿宋_GBK" w:hAnsi="华文仿宋" w:eastAsia="方正仿宋_GBK"/>
          <w:sz w:val="32"/>
          <w:szCs w:val="32"/>
        </w:rPr>
        <w:t>补助资金的申请是由我院每月统计下属社区卫生服务站的药品实际销售情况，按时上交药品收入统计表，上级主管部门定期核查基本药物销售情况，按标准拨付专项补助资金。</w:t>
      </w:r>
    </w:p>
    <w:p>
      <w:pPr>
        <w:widowControl w:val="0"/>
        <w:spacing w:line="594" w:lineRule="exact"/>
        <w:ind w:firstLine="640" w:firstLineChars="200"/>
        <w:jc w:val="both"/>
        <w:rPr>
          <w:rFonts w:hint="eastAsia" w:ascii="方正黑体_GBK" w:hAnsi="华文仿宋" w:eastAsia="方正黑体_GBK"/>
          <w:bCs/>
          <w:sz w:val="32"/>
          <w:szCs w:val="32"/>
        </w:rPr>
      </w:pPr>
      <w:r>
        <w:rPr>
          <w:rFonts w:hint="eastAsia" w:ascii="方正黑体_GBK" w:hAnsi="华文仿宋" w:eastAsia="方正黑体_GBK"/>
          <w:bCs/>
          <w:sz w:val="32"/>
          <w:szCs w:val="32"/>
        </w:rPr>
        <w:t>三、资金实施及完成情况</w:t>
      </w:r>
    </w:p>
    <w:p>
      <w:pPr>
        <w:widowControl w:val="0"/>
        <w:spacing w:line="594" w:lineRule="exact"/>
        <w:ind w:firstLine="200"/>
        <w:jc w:val="both"/>
        <w:rPr>
          <w:rFonts w:hint="eastAsia" w:ascii="方正仿宋_GBK" w:hAnsi="华文仿宋" w:eastAsia="方正仿宋_GBK"/>
          <w:sz w:val="32"/>
          <w:szCs w:val="32"/>
        </w:rPr>
      </w:pPr>
      <w:r>
        <w:rPr>
          <w:rFonts w:hint="eastAsia" w:ascii="方正仿宋_GBK" w:hAnsi="华文仿宋" w:eastAsia="方正仿宋_GBK"/>
          <w:sz w:val="32"/>
          <w:szCs w:val="32"/>
        </w:rPr>
        <w:t xml:space="preserve">      2020年，我院收到基层医疗卫生机构及村卫生室实施基本药物制度中央和市级补助专项资金66万元，主要用于社区卫生服务站的药品零差率补助费用（即经常性收支差额补助）66万元，执行率达100%,项目100%完成。</w:t>
      </w:r>
    </w:p>
    <w:p>
      <w:pPr>
        <w:widowControl w:val="0"/>
        <w:spacing w:line="594" w:lineRule="exact"/>
        <w:ind w:firstLine="640" w:firstLineChars="200"/>
        <w:jc w:val="both"/>
        <w:rPr>
          <w:rFonts w:hint="eastAsia" w:ascii="方正黑体_GBK" w:hAnsi="华文仿宋" w:eastAsia="方正黑体_GBK"/>
          <w:bCs/>
          <w:sz w:val="32"/>
          <w:szCs w:val="32"/>
        </w:rPr>
      </w:pPr>
      <w:r>
        <w:rPr>
          <w:rFonts w:hint="eastAsia" w:ascii="方正黑体_GBK" w:hAnsi="华文仿宋" w:eastAsia="方正黑体_GBK"/>
          <w:bCs/>
          <w:sz w:val="32"/>
          <w:szCs w:val="32"/>
        </w:rPr>
        <w:t>四、资金管理情况</w:t>
      </w:r>
    </w:p>
    <w:p>
      <w:pPr>
        <w:widowControl w:val="0"/>
        <w:spacing w:line="594" w:lineRule="exact"/>
        <w:ind w:firstLine="640" w:firstLineChars="200"/>
        <w:jc w:val="both"/>
        <w:rPr>
          <w:rFonts w:hint="eastAsia" w:ascii="方正仿宋_GBK" w:hAnsi="华文仿宋" w:eastAsia="方正仿宋_GBK"/>
          <w:sz w:val="32"/>
          <w:szCs w:val="32"/>
        </w:rPr>
      </w:pPr>
      <w:r>
        <w:rPr>
          <w:rFonts w:hint="eastAsia" w:ascii="方正楷体_GBK" w:hAnsi="华文仿宋" w:eastAsia="方正楷体_GBK"/>
          <w:sz w:val="32"/>
          <w:szCs w:val="32"/>
        </w:rPr>
        <w:t>（一）健全资金制度建设。</w:t>
      </w:r>
      <w:r>
        <w:rPr>
          <w:rFonts w:hint="eastAsia" w:ascii="方正仿宋_GBK" w:hAnsi="华文仿宋" w:eastAsia="方正仿宋_GBK"/>
          <w:sz w:val="32"/>
          <w:szCs w:val="32"/>
        </w:rPr>
        <w:t>规范会计核算,严格执行支出审批流程。</w:t>
      </w:r>
    </w:p>
    <w:p>
      <w:pPr>
        <w:widowControl w:val="0"/>
        <w:spacing w:line="594" w:lineRule="exact"/>
        <w:ind w:firstLine="640" w:firstLineChars="200"/>
        <w:jc w:val="both"/>
        <w:rPr>
          <w:rFonts w:hint="eastAsia" w:ascii="方正仿宋_GBK" w:hAnsi="华文仿宋" w:eastAsia="方正仿宋_GBK"/>
          <w:sz w:val="32"/>
          <w:szCs w:val="32"/>
        </w:rPr>
      </w:pPr>
      <w:r>
        <w:rPr>
          <w:rFonts w:hint="eastAsia" w:ascii="方正楷体_GBK" w:hAnsi="华文仿宋" w:eastAsia="方正楷体_GBK"/>
          <w:sz w:val="32"/>
          <w:szCs w:val="32"/>
        </w:rPr>
        <w:t>（二）严格项目资金预算管理</w:t>
      </w:r>
      <w:r>
        <w:rPr>
          <w:rFonts w:hint="eastAsia" w:ascii="方正仿宋_GBK" w:hAnsi="华文仿宋" w:eastAsia="方正仿宋_GBK"/>
          <w:sz w:val="32"/>
          <w:szCs w:val="32"/>
        </w:rPr>
        <w:t>。根据财政部、国家卫生计生委《关于基层医疗卫生机构实施国家基本药物制度管理办法》规定，严格了预算管理和项目资金分配，做到专款专用。</w:t>
      </w:r>
    </w:p>
    <w:p>
      <w:pPr>
        <w:widowControl w:val="0"/>
        <w:spacing w:line="594" w:lineRule="exact"/>
        <w:ind w:firstLine="640" w:firstLineChars="200"/>
        <w:jc w:val="both"/>
        <w:rPr>
          <w:rFonts w:hint="eastAsia" w:ascii="方正仿宋_GBK" w:hAnsi="华文仿宋" w:eastAsia="方正仿宋_GBK"/>
          <w:sz w:val="32"/>
          <w:szCs w:val="32"/>
        </w:rPr>
      </w:pPr>
      <w:r>
        <w:rPr>
          <w:rFonts w:hint="eastAsia" w:ascii="方正楷体_GBK" w:hAnsi="华文仿宋" w:eastAsia="方正楷体_GBK"/>
          <w:sz w:val="32"/>
          <w:szCs w:val="32"/>
        </w:rPr>
        <w:t>（三）加强项目资金财务管理</w:t>
      </w:r>
      <w:r>
        <w:rPr>
          <w:rFonts w:hint="eastAsia" w:ascii="方正仿宋_GBK" w:hAnsi="华文仿宋" w:eastAsia="方正仿宋_GBK"/>
          <w:sz w:val="32"/>
          <w:szCs w:val="32"/>
        </w:rPr>
        <w:t>。按照内控制度的要求，严格规范费用报销以及资金审批流程，严格资金监督管理。</w:t>
      </w:r>
    </w:p>
    <w:p>
      <w:pPr>
        <w:widowControl w:val="0"/>
        <w:spacing w:line="594" w:lineRule="exact"/>
        <w:ind w:firstLine="640" w:firstLineChars="200"/>
        <w:jc w:val="both"/>
        <w:rPr>
          <w:rFonts w:hint="eastAsia" w:ascii="方正黑体_GBK" w:hAnsi="方正仿宋_GBK" w:eastAsia="方正黑体_GBK" w:cs="方正仿宋_GBK"/>
          <w:sz w:val="32"/>
          <w:szCs w:val="32"/>
        </w:rPr>
      </w:pPr>
      <w:r>
        <w:rPr>
          <w:rFonts w:hint="eastAsia" w:ascii="方正黑体_GBK" w:hAnsi="方正仿宋_GBK" w:eastAsia="方正黑体_GBK" w:cs="方正仿宋_GBK"/>
          <w:sz w:val="32"/>
          <w:szCs w:val="32"/>
        </w:rPr>
        <w:t>五、综合评价社会效益</w:t>
      </w:r>
    </w:p>
    <w:p>
      <w:pPr>
        <w:widowControl w:val="0"/>
        <w:spacing w:line="594" w:lineRule="exact"/>
        <w:ind w:firstLine="640" w:firstLineChars="200"/>
        <w:jc w:val="both"/>
        <w:rPr>
          <w:rFonts w:hint="eastAsia" w:ascii="方正仿宋_GBK" w:hAnsi="华文仿宋" w:eastAsia="方正仿宋_GBK"/>
          <w:sz w:val="32"/>
          <w:szCs w:val="32"/>
        </w:rPr>
      </w:pPr>
      <w:r>
        <w:rPr>
          <w:rFonts w:hint="eastAsia" w:ascii="方正仿宋_GBK" w:hAnsi="华文仿宋" w:eastAsia="方正仿宋_GBK"/>
          <w:sz w:val="32"/>
          <w:szCs w:val="32"/>
        </w:rPr>
        <w:t>本单位安排使用该项目资金后，预期绩效目标按期完成。资金使用绩效表现明显。</w:t>
      </w:r>
    </w:p>
    <w:p>
      <w:pPr>
        <w:widowControl w:val="0"/>
        <w:spacing w:line="594" w:lineRule="exact"/>
        <w:ind w:firstLine="640" w:firstLineChars="200"/>
        <w:jc w:val="both"/>
        <w:rPr>
          <w:rFonts w:hint="eastAsia" w:ascii="方正仿宋_GBK" w:hAnsi="华文仿宋" w:eastAsia="方正仿宋_GBK"/>
          <w:sz w:val="32"/>
          <w:szCs w:val="32"/>
        </w:rPr>
      </w:pPr>
      <w:r>
        <w:rPr>
          <w:rFonts w:hint="eastAsia" w:ascii="方正仿宋_GBK" w:hAnsi="华文仿宋" w:eastAsia="方正仿宋_GBK"/>
          <w:sz w:val="32"/>
          <w:szCs w:val="32"/>
        </w:rPr>
        <w:t xml:space="preserve">（一）基本医疗服务得到充分保障，居民在就医满意度提高，人民的就诊获得感得到充分体现。 </w:t>
      </w:r>
    </w:p>
    <w:p>
      <w:pPr>
        <w:widowControl w:val="0"/>
        <w:spacing w:line="594" w:lineRule="exact"/>
        <w:ind w:firstLine="640" w:firstLineChars="200"/>
        <w:jc w:val="both"/>
        <w:rPr>
          <w:rFonts w:hint="eastAsia" w:ascii="方正仿宋_GBK" w:hAnsi="华文仿宋" w:eastAsia="方正仿宋_GBK"/>
          <w:sz w:val="32"/>
          <w:szCs w:val="32"/>
        </w:rPr>
      </w:pPr>
      <w:r>
        <w:rPr>
          <w:rFonts w:hint="eastAsia" w:ascii="方正仿宋_GBK" w:hAnsi="华文仿宋" w:eastAsia="方正仿宋_GBK"/>
          <w:sz w:val="32"/>
          <w:szCs w:val="32"/>
        </w:rPr>
        <w:t>（二）基本药品政策及制度得到切实的贯彻执行，民生保障体系得到充分体现。</w:t>
      </w:r>
    </w:p>
    <w:p>
      <w:pPr>
        <w:widowControl w:val="0"/>
        <w:spacing w:line="594" w:lineRule="exact"/>
        <w:ind w:firstLine="640" w:firstLineChars="200"/>
        <w:jc w:val="both"/>
        <w:rPr>
          <w:rFonts w:hint="eastAsia" w:ascii="方正仿宋_GBK" w:hAnsi="华文仿宋" w:eastAsia="方正仿宋_GBK"/>
          <w:sz w:val="32"/>
          <w:szCs w:val="32"/>
        </w:rPr>
      </w:pPr>
      <w:r>
        <w:rPr>
          <w:rFonts w:hint="eastAsia" w:ascii="方正仿宋_GBK" w:hAnsi="华文仿宋" w:eastAsia="方正仿宋_GBK"/>
          <w:sz w:val="32"/>
          <w:szCs w:val="32"/>
        </w:rPr>
        <w:t>（三）项目实施从单位经济效益来看，保障医疗服务资金，为基层医疗事来奠定坚实的基础。</w:t>
      </w:r>
    </w:p>
    <w:p>
      <w:pPr>
        <w:pStyle w:val="6"/>
        <w:widowControl w:val="0"/>
        <w:shd w:val="clear" w:color="auto" w:fill="FFFFFF"/>
        <w:spacing w:before="0" w:beforeAutospacing="0" w:after="0" w:afterAutospacing="0" w:line="594" w:lineRule="exact"/>
        <w:ind w:firstLine="200"/>
        <w:jc w:val="both"/>
        <w:rPr>
          <w:rFonts w:hint="eastAsia" w:ascii="方正楷体_GBK" w:hAnsi="方正仿宋_GBK" w:eastAsia="方正楷体_GBK" w:cs="方正仿宋_GBK"/>
          <w:sz w:val="32"/>
          <w:szCs w:val="32"/>
        </w:rPr>
      </w:pPr>
    </w:p>
    <w:sectPr>
      <w:pgSz w:w="11907" w:h="16840"/>
      <w:pgMar w:top="2098" w:right="1701" w:bottom="1984" w:left="1814" w:header="851" w:footer="992" w:gutter="0"/>
      <w:cols w:space="0" w:num="1"/>
      <w:docGrid w:type="lines" w:linePitch="3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32487"/>
    </w:sdtPr>
    <w:sdtContent>
      <w:p>
        <w:pPr>
          <w:pStyle w:val="4"/>
          <w:jc w:val="center"/>
        </w:pPr>
      </w:p>
      <w:p>
        <w:pPr>
          <w:pStyle w:val="4"/>
          <w:jc w:val="center"/>
        </w:pP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68"/>
  <w:displayVerticalDrawingGridEvery w:val="2"/>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9A41FA"/>
    <w:rsid w:val="0000187B"/>
    <w:rsid w:val="00022EEB"/>
    <w:rsid w:val="000478A4"/>
    <w:rsid w:val="000622CD"/>
    <w:rsid w:val="00065022"/>
    <w:rsid w:val="00077C6E"/>
    <w:rsid w:val="00082320"/>
    <w:rsid w:val="000C5DDC"/>
    <w:rsid w:val="000D02DE"/>
    <w:rsid w:val="000E39D5"/>
    <w:rsid w:val="00100BA9"/>
    <w:rsid w:val="00115962"/>
    <w:rsid w:val="001168D2"/>
    <w:rsid w:val="0012102D"/>
    <w:rsid w:val="00141B70"/>
    <w:rsid w:val="00146373"/>
    <w:rsid w:val="00162C04"/>
    <w:rsid w:val="001633DE"/>
    <w:rsid w:val="0018437D"/>
    <w:rsid w:val="00185B9B"/>
    <w:rsid w:val="0019544F"/>
    <w:rsid w:val="001A428F"/>
    <w:rsid w:val="001C6A9B"/>
    <w:rsid w:val="001E31D0"/>
    <w:rsid w:val="001E646A"/>
    <w:rsid w:val="00206F97"/>
    <w:rsid w:val="00221A09"/>
    <w:rsid w:val="002248E5"/>
    <w:rsid w:val="00260D5E"/>
    <w:rsid w:val="00273BFB"/>
    <w:rsid w:val="00274F57"/>
    <w:rsid w:val="002A06CD"/>
    <w:rsid w:val="002A208C"/>
    <w:rsid w:val="002C66A9"/>
    <w:rsid w:val="002D48FC"/>
    <w:rsid w:val="002F6D7C"/>
    <w:rsid w:val="0030438F"/>
    <w:rsid w:val="00316F52"/>
    <w:rsid w:val="00317DE3"/>
    <w:rsid w:val="00323DC8"/>
    <w:rsid w:val="003269CF"/>
    <w:rsid w:val="003278FD"/>
    <w:rsid w:val="003463D8"/>
    <w:rsid w:val="00375ABC"/>
    <w:rsid w:val="003832F6"/>
    <w:rsid w:val="00390DE4"/>
    <w:rsid w:val="003B0AF6"/>
    <w:rsid w:val="003B2A1D"/>
    <w:rsid w:val="003B38B2"/>
    <w:rsid w:val="003C3977"/>
    <w:rsid w:val="0041122D"/>
    <w:rsid w:val="00415E2F"/>
    <w:rsid w:val="00420E29"/>
    <w:rsid w:val="00422E31"/>
    <w:rsid w:val="00423746"/>
    <w:rsid w:val="00431DBB"/>
    <w:rsid w:val="00462AB4"/>
    <w:rsid w:val="00476B10"/>
    <w:rsid w:val="004B5E51"/>
    <w:rsid w:val="004F0B02"/>
    <w:rsid w:val="004F7A08"/>
    <w:rsid w:val="00526A40"/>
    <w:rsid w:val="00527A18"/>
    <w:rsid w:val="005569E2"/>
    <w:rsid w:val="00581624"/>
    <w:rsid w:val="00591874"/>
    <w:rsid w:val="0059347E"/>
    <w:rsid w:val="005A3240"/>
    <w:rsid w:val="005B3041"/>
    <w:rsid w:val="005C36DA"/>
    <w:rsid w:val="005D6716"/>
    <w:rsid w:val="005E12EB"/>
    <w:rsid w:val="00601CF8"/>
    <w:rsid w:val="006159C7"/>
    <w:rsid w:val="00625216"/>
    <w:rsid w:val="0063459A"/>
    <w:rsid w:val="006502AD"/>
    <w:rsid w:val="0066396F"/>
    <w:rsid w:val="00683110"/>
    <w:rsid w:val="0069062D"/>
    <w:rsid w:val="006A5D02"/>
    <w:rsid w:val="006B3A67"/>
    <w:rsid w:val="006C561F"/>
    <w:rsid w:val="006D4193"/>
    <w:rsid w:val="006F08AE"/>
    <w:rsid w:val="00705422"/>
    <w:rsid w:val="00731F95"/>
    <w:rsid w:val="0073483A"/>
    <w:rsid w:val="007461F4"/>
    <w:rsid w:val="0076773D"/>
    <w:rsid w:val="00776876"/>
    <w:rsid w:val="007813B9"/>
    <w:rsid w:val="00790F91"/>
    <w:rsid w:val="007C75C3"/>
    <w:rsid w:val="007D4427"/>
    <w:rsid w:val="007D4739"/>
    <w:rsid w:val="007E2ED2"/>
    <w:rsid w:val="007F192D"/>
    <w:rsid w:val="007F43F5"/>
    <w:rsid w:val="00814A4E"/>
    <w:rsid w:val="00827D08"/>
    <w:rsid w:val="008315B3"/>
    <w:rsid w:val="0084385D"/>
    <w:rsid w:val="00847956"/>
    <w:rsid w:val="008645FD"/>
    <w:rsid w:val="00873115"/>
    <w:rsid w:val="0087676C"/>
    <w:rsid w:val="00880EF7"/>
    <w:rsid w:val="0089257F"/>
    <w:rsid w:val="008A1424"/>
    <w:rsid w:val="008A7B7F"/>
    <w:rsid w:val="008B0F16"/>
    <w:rsid w:val="008B18F1"/>
    <w:rsid w:val="008C265E"/>
    <w:rsid w:val="008C5A40"/>
    <w:rsid w:val="008D5C68"/>
    <w:rsid w:val="008E567C"/>
    <w:rsid w:val="008E761E"/>
    <w:rsid w:val="008F7726"/>
    <w:rsid w:val="00903E0B"/>
    <w:rsid w:val="009122DE"/>
    <w:rsid w:val="00930735"/>
    <w:rsid w:val="0094321C"/>
    <w:rsid w:val="0096056C"/>
    <w:rsid w:val="009611D3"/>
    <w:rsid w:val="00961962"/>
    <w:rsid w:val="009A1D8C"/>
    <w:rsid w:val="009A41FA"/>
    <w:rsid w:val="009A7709"/>
    <w:rsid w:val="009B1F93"/>
    <w:rsid w:val="009B4AD1"/>
    <w:rsid w:val="009D070E"/>
    <w:rsid w:val="009D65BE"/>
    <w:rsid w:val="009E4441"/>
    <w:rsid w:val="009E6200"/>
    <w:rsid w:val="009F4733"/>
    <w:rsid w:val="00A16151"/>
    <w:rsid w:val="00A200A9"/>
    <w:rsid w:val="00A34E79"/>
    <w:rsid w:val="00A556AC"/>
    <w:rsid w:val="00A96C9B"/>
    <w:rsid w:val="00A97DC7"/>
    <w:rsid w:val="00AA5997"/>
    <w:rsid w:val="00AB3682"/>
    <w:rsid w:val="00AB3B6F"/>
    <w:rsid w:val="00AB4312"/>
    <w:rsid w:val="00AC2F8E"/>
    <w:rsid w:val="00AE13D8"/>
    <w:rsid w:val="00AE653A"/>
    <w:rsid w:val="00AF4220"/>
    <w:rsid w:val="00B0006A"/>
    <w:rsid w:val="00B10B0A"/>
    <w:rsid w:val="00B22CB7"/>
    <w:rsid w:val="00B23CB1"/>
    <w:rsid w:val="00B35127"/>
    <w:rsid w:val="00B61C9F"/>
    <w:rsid w:val="00B7211E"/>
    <w:rsid w:val="00B90138"/>
    <w:rsid w:val="00B9581B"/>
    <w:rsid w:val="00BB4AD9"/>
    <w:rsid w:val="00BC213B"/>
    <w:rsid w:val="00C0467A"/>
    <w:rsid w:val="00C101B9"/>
    <w:rsid w:val="00C46610"/>
    <w:rsid w:val="00C62991"/>
    <w:rsid w:val="00C63F31"/>
    <w:rsid w:val="00C719F9"/>
    <w:rsid w:val="00C77C2A"/>
    <w:rsid w:val="00C8119E"/>
    <w:rsid w:val="00C947A8"/>
    <w:rsid w:val="00C95FB8"/>
    <w:rsid w:val="00C97159"/>
    <w:rsid w:val="00CA31D4"/>
    <w:rsid w:val="00CA64ED"/>
    <w:rsid w:val="00CB049F"/>
    <w:rsid w:val="00CC36E0"/>
    <w:rsid w:val="00CC4B70"/>
    <w:rsid w:val="00CC5276"/>
    <w:rsid w:val="00CE0C5F"/>
    <w:rsid w:val="00CE0EB0"/>
    <w:rsid w:val="00CE28F2"/>
    <w:rsid w:val="00CE32D2"/>
    <w:rsid w:val="00D023DB"/>
    <w:rsid w:val="00D14F09"/>
    <w:rsid w:val="00D33E16"/>
    <w:rsid w:val="00D41658"/>
    <w:rsid w:val="00D73116"/>
    <w:rsid w:val="00D77008"/>
    <w:rsid w:val="00DB6F52"/>
    <w:rsid w:val="00DF1A23"/>
    <w:rsid w:val="00E01CFB"/>
    <w:rsid w:val="00E07898"/>
    <w:rsid w:val="00E1518A"/>
    <w:rsid w:val="00E240EB"/>
    <w:rsid w:val="00E3229B"/>
    <w:rsid w:val="00E4223B"/>
    <w:rsid w:val="00E44C80"/>
    <w:rsid w:val="00E57113"/>
    <w:rsid w:val="00E66C79"/>
    <w:rsid w:val="00E93A10"/>
    <w:rsid w:val="00EB3593"/>
    <w:rsid w:val="00EB6995"/>
    <w:rsid w:val="00EC63F5"/>
    <w:rsid w:val="00EC740F"/>
    <w:rsid w:val="00ED7161"/>
    <w:rsid w:val="00EE18E4"/>
    <w:rsid w:val="00EE5571"/>
    <w:rsid w:val="00F00454"/>
    <w:rsid w:val="00F21279"/>
    <w:rsid w:val="00F21E65"/>
    <w:rsid w:val="00F262B4"/>
    <w:rsid w:val="00F35DFD"/>
    <w:rsid w:val="00F364CA"/>
    <w:rsid w:val="00F5196E"/>
    <w:rsid w:val="00F51D93"/>
    <w:rsid w:val="00F762B7"/>
    <w:rsid w:val="00F81E81"/>
    <w:rsid w:val="00F83226"/>
    <w:rsid w:val="00FA1FD5"/>
    <w:rsid w:val="00FA5C77"/>
    <w:rsid w:val="00FB0DBB"/>
    <w:rsid w:val="00FC3D24"/>
    <w:rsid w:val="00FC543F"/>
    <w:rsid w:val="00FF4E59"/>
    <w:rsid w:val="08B25771"/>
    <w:rsid w:val="0E430828"/>
    <w:rsid w:val="0F325F35"/>
    <w:rsid w:val="0F7860F4"/>
    <w:rsid w:val="10F9064D"/>
    <w:rsid w:val="27E30EAA"/>
    <w:rsid w:val="2AB72526"/>
    <w:rsid w:val="3E521A76"/>
    <w:rsid w:val="4EC43DF3"/>
    <w:rsid w:val="50E4237B"/>
    <w:rsid w:val="512971A3"/>
    <w:rsid w:val="62EB00AD"/>
    <w:rsid w:val="7668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2"/>
    <w:semiHidden/>
    <w:unhideWhenUsed/>
    <w:qFormat/>
    <w:uiPriority w:val="99"/>
    <w:rPr>
      <w:sz w:val="18"/>
      <w:szCs w:val="18"/>
    </w:rPr>
  </w:style>
  <w:style w:type="paragraph" w:styleId="3">
    <w:name w:val="Balloon Text"/>
    <w:basedOn w:val="1"/>
    <w:link w:val="15"/>
    <w:semiHidden/>
    <w:unhideWhenUsed/>
    <w:uiPriority w:val="99"/>
    <w:rPr>
      <w:sz w:val="18"/>
      <w:szCs w:val="18"/>
    </w:rPr>
  </w:style>
  <w:style w:type="paragraph" w:styleId="4">
    <w:name w:val="footer"/>
    <w:basedOn w:val="1"/>
    <w:link w:val="11"/>
    <w:unhideWhenUsed/>
    <w:qFormat/>
    <w:uiPriority w:val="99"/>
    <w:pPr>
      <w:tabs>
        <w:tab w:val="center" w:pos="4153"/>
        <w:tab w:val="right" w:pos="8306"/>
      </w:tabs>
      <w:snapToGrid w:val="0"/>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pPr>
  </w:style>
  <w:style w:type="character" w:styleId="9">
    <w:name w:val="Strong"/>
    <w:basedOn w:val="8"/>
    <w:qFormat/>
    <w:uiPriority w:val="22"/>
    <w:rPr>
      <w:b/>
      <w:bCs/>
    </w:rPr>
  </w:style>
  <w:style w:type="character" w:customStyle="1" w:styleId="10">
    <w:name w:val="页眉 Char"/>
    <w:basedOn w:val="8"/>
    <w:link w:val="5"/>
    <w:semiHidden/>
    <w:qFormat/>
    <w:locked/>
    <w:uiPriority w:val="99"/>
    <w:rPr>
      <w:rFonts w:hint="eastAsia" w:ascii="宋体" w:hAnsi="宋体" w:eastAsia="宋体" w:cs="宋体"/>
      <w:sz w:val="18"/>
      <w:szCs w:val="18"/>
    </w:rPr>
  </w:style>
  <w:style w:type="character" w:customStyle="1" w:styleId="11">
    <w:name w:val="页脚 Char"/>
    <w:basedOn w:val="8"/>
    <w:link w:val="4"/>
    <w:qFormat/>
    <w:locked/>
    <w:uiPriority w:val="99"/>
    <w:rPr>
      <w:rFonts w:hint="eastAsia" w:ascii="宋体" w:hAnsi="宋体" w:eastAsia="宋体" w:cs="宋体"/>
      <w:sz w:val="18"/>
      <w:szCs w:val="18"/>
    </w:rPr>
  </w:style>
  <w:style w:type="character" w:customStyle="1" w:styleId="12">
    <w:name w:val="文档结构图 Char"/>
    <w:basedOn w:val="8"/>
    <w:link w:val="2"/>
    <w:semiHidden/>
    <w:qFormat/>
    <w:locked/>
    <w:uiPriority w:val="99"/>
    <w:rPr>
      <w:rFonts w:hint="eastAsia" w:ascii="宋体" w:hAnsi="宋体" w:eastAsia="宋体" w:cs="宋体"/>
      <w:sz w:val="18"/>
      <w:szCs w:val="18"/>
    </w:rPr>
  </w:style>
  <w:style w:type="paragraph" w:styleId="13">
    <w:name w:val="List Paragraph"/>
    <w:basedOn w:val="1"/>
    <w:qFormat/>
    <w:uiPriority w:val="34"/>
    <w:pPr>
      <w:widowControl w:val="0"/>
      <w:ind w:firstLine="420" w:firstLineChars="200"/>
      <w:jc w:val="both"/>
    </w:pPr>
    <w:rPr>
      <w:rFonts w:ascii="Calibri" w:hAnsi="Calibri" w:cs="Times New Roman"/>
      <w:kern w:val="2"/>
      <w:sz w:val="21"/>
      <w:szCs w:val="22"/>
    </w:rPr>
  </w:style>
  <w:style w:type="paragraph" w:customStyle="1" w:styleId="14">
    <w:name w:val="msonormal"/>
    <w:basedOn w:val="1"/>
    <w:semiHidden/>
    <w:uiPriority w:val="99"/>
    <w:pPr>
      <w:spacing w:before="100" w:beforeAutospacing="1" w:after="100" w:afterAutospacing="1"/>
    </w:pPr>
  </w:style>
  <w:style w:type="character" w:customStyle="1" w:styleId="15">
    <w:name w:val="批注框文本 Char"/>
    <w:basedOn w:val="8"/>
    <w:link w:val="3"/>
    <w:semiHidden/>
    <w:uiPriority w:val="99"/>
    <w:rPr>
      <w:rFonts w:ascii="宋体" w:hAnsi="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30"/>
    <customShpInfo spid="_x0000_s1031"/>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8AC93F-94E2-4681-A992-574EA01CDD6F}">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19</Pages>
  <Words>1307</Words>
  <Characters>7456</Characters>
  <Lines>62</Lines>
  <Paragraphs>17</Paragraphs>
  <TotalTime>1</TotalTime>
  <ScaleCrop>false</ScaleCrop>
  <LinksUpToDate>false</LinksUpToDate>
  <CharactersWithSpaces>8746</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Administrator</cp:lastModifiedBy>
  <cp:lastPrinted>2021-11-16T07:37:00Z</cp:lastPrinted>
  <dcterms:modified xsi:type="dcterms:W3CDTF">2021-11-22T08:56:05Z</dcterms:modified>
  <dc:title>公开报告模板</dc:title>
  <cp:revision>258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44A93D2981F04C388764522312018FE6</vt:lpwstr>
  </property>
</Properties>
</file>