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22C72">
      <w:pPr>
        <w:pStyle w:val="6"/>
        <w:shd w:val="clear" w:color="auto" w:fill="FFFFFF"/>
        <w:spacing w:before="0" w:beforeAutospacing="0" w:after="0" w:afterAutospacing="0" w:line="560" w:lineRule="exact"/>
        <w:jc w:val="center"/>
        <w:outlineLvl w:val="0"/>
        <w:rPr>
          <w:rFonts w:ascii="方正小标宋_GBK" w:eastAsia="方正小标宋_GBK"/>
          <w:sz w:val="44"/>
          <w:szCs w:val="44"/>
        </w:rPr>
      </w:pPr>
      <w:r>
        <w:rPr>
          <w:rFonts w:hint="eastAsia" w:ascii="方正小标宋_GBK" w:eastAsia="方正小标宋_GBK"/>
          <w:sz w:val="44"/>
          <w:szCs w:val="44"/>
        </w:rPr>
        <w:t>重庆市南岸区商务委员会</w:t>
      </w:r>
    </w:p>
    <w:p w14:paraId="76D00507">
      <w:pPr>
        <w:pStyle w:val="6"/>
        <w:shd w:val="clear" w:color="auto" w:fill="FFFFFF"/>
        <w:spacing w:before="0" w:beforeAutospacing="0" w:after="0" w:afterAutospacing="0" w:line="560" w:lineRule="exact"/>
        <w:jc w:val="center"/>
        <w:outlineLvl w:val="0"/>
        <w:rPr>
          <w:rFonts w:ascii="方正小标宋_GBK" w:eastAsia="方正小标宋_GBK"/>
          <w:sz w:val="44"/>
          <w:szCs w:val="44"/>
        </w:rPr>
      </w:pPr>
      <w:r>
        <w:rPr>
          <w:rFonts w:hint="eastAsia" w:ascii="方正小标宋_GBK" w:eastAsia="方正小标宋_GBK"/>
          <w:sz w:val="44"/>
          <w:szCs w:val="44"/>
        </w:rPr>
        <w:t>2020年度部门决算情况说明</w:t>
      </w:r>
    </w:p>
    <w:p w14:paraId="255DC1CD">
      <w:pPr>
        <w:pStyle w:val="6"/>
        <w:shd w:val="clear" w:color="auto" w:fill="FFFFFF"/>
        <w:spacing w:before="0" w:beforeAutospacing="0" w:after="0" w:afterAutospacing="0" w:line="560" w:lineRule="exact"/>
        <w:ind w:firstLine="880" w:firstLineChars="200"/>
        <w:jc w:val="center"/>
        <w:rPr>
          <w:rFonts w:ascii="方正小标宋_GBK" w:eastAsia="方正小标宋_GBK"/>
          <w:sz w:val="44"/>
          <w:szCs w:val="44"/>
        </w:rPr>
      </w:pPr>
    </w:p>
    <w:p w14:paraId="18E08A73">
      <w:pPr>
        <w:pStyle w:val="6"/>
        <w:shd w:val="clear" w:color="auto" w:fill="FFFFFF"/>
        <w:spacing w:before="0" w:beforeAutospacing="0" w:after="0" w:afterAutospacing="0" w:line="560" w:lineRule="exact"/>
        <w:ind w:firstLine="640" w:firstLineChars="200"/>
        <w:jc w:val="both"/>
        <w:outlineLvl w:val="0"/>
        <w:rPr>
          <w:rStyle w:val="9"/>
          <w:rFonts w:ascii="方正黑体_GBK" w:eastAsia="方正黑体_GBK"/>
          <w:b w:val="0"/>
          <w:sz w:val="32"/>
          <w:szCs w:val="32"/>
        </w:rPr>
      </w:pPr>
      <w:r>
        <w:rPr>
          <w:rStyle w:val="9"/>
          <w:rFonts w:hint="eastAsia" w:ascii="方正黑体_GBK" w:eastAsia="方正黑体_GBK"/>
          <w:b w:val="0"/>
          <w:sz w:val="32"/>
          <w:szCs w:val="32"/>
        </w:rPr>
        <w:t>一、部门基本情况</w:t>
      </w:r>
    </w:p>
    <w:p w14:paraId="792C215C">
      <w:pPr>
        <w:pStyle w:val="15"/>
        <w:shd w:val="clear" w:color="auto" w:fill="FFFFFF"/>
        <w:spacing w:before="0" w:beforeAutospacing="0" w:after="0" w:afterAutospacing="0" w:line="560" w:lineRule="exact"/>
        <w:ind w:firstLine="640" w:firstLineChars="200"/>
        <w:jc w:val="both"/>
        <w:rPr>
          <w:rFonts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（一）职能职责</w:t>
      </w:r>
    </w:p>
    <w:p w14:paraId="2D08C07B">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1.负责拟定全区商贸服务业发展的中长期发展规划，指导城乡统筹商贸网络体系建设，推动重大商贸服务业设施及特色商业聚集区、商务聚集区、各类商贸中心建设。</w:t>
      </w:r>
    </w:p>
    <w:p w14:paraId="43CD047A">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2.负责拟定商贸经济发展区域规划等现代流通业的发展。指导批发零售业、餐饮业、住宿业、会展、连锁经营、社区商业和生活服务行业发展工作。</w:t>
      </w:r>
    </w:p>
    <w:p w14:paraId="2B319556">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3.牵头落实各级商贸扶持政策。提出商贸领域促进消费工作的措施和建议，推进商贸领域消费促进工作。</w:t>
      </w:r>
    </w:p>
    <w:p w14:paraId="283AD5FE">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4.负责重要产品追溯体系建设。指导商贸企业培育，指导商贸行业技能技术培训。</w:t>
      </w:r>
    </w:p>
    <w:p w14:paraId="74302B44">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5.统筹全区性经贸交易会、展销会、洽谈会等活动。</w:t>
      </w:r>
    </w:p>
    <w:p w14:paraId="76F8C02B">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6.负责商贸领域经济运行、数据收集、分析预警、统计监测和信息引导发布工作。</w:t>
      </w:r>
    </w:p>
    <w:p w14:paraId="3FF12430">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7.牵头拟定组织实施重要消费品和重要商品应急保供预案，承担突发性灾害和突发性事件重要商品保供应急工作。</w:t>
      </w:r>
    </w:p>
    <w:p w14:paraId="210614F0">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8.负责落实重要商品储备制度，组织协调重要生活必需品市场供应和市场调节。</w:t>
      </w:r>
    </w:p>
    <w:p w14:paraId="015E0A51">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9.统筹管理全区对外贸易、外商投资、对外经济合作工作，负责外商投资、对外贸易、对外经济合作统计和运行情况分析。</w:t>
      </w:r>
    </w:p>
    <w:p w14:paraId="0FBE71B6">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10.负责监督、检查外商投资企业执行有关法律法规情况，提供政策咨询、投诉协调等协调性服务工作。</w:t>
      </w:r>
    </w:p>
    <w:p w14:paraId="181D1402">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11.统筹推进总部贸易、服务贸易，统筹实施对外贸易促进体系建设和对外贸易促进活动。</w:t>
      </w:r>
    </w:p>
    <w:p w14:paraId="2E955B3E">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12.负责再生资源回收、旧货流通、拍卖等行业以及按有关规定对酒类等重要商品流通经营的监督管理，负责成品油经营、储存日常安全监督管理工作。</w:t>
      </w:r>
    </w:p>
    <w:p w14:paraId="32DA38CC">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13.拟定规范区域商贸流通秩序的政策措施，参与打击商业欺诈工作。</w:t>
      </w:r>
    </w:p>
    <w:p w14:paraId="78C1AF14">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14.牵头开展重点行业和重要商品行政执法监督、商务举报投诉受理等工作，协调行业监管综合执法工作。</w:t>
      </w:r>
    </w:p>
    <w:p w14:paraId="396686F8">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15.推动商贸领域”放管服”工作，推进网上审批等相关工作，推动商贸信用建设和优质服务工作。</w:t>
      </w:r>
    </w:p>
    <w:p w14:paraId="2D549B28">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16.牵头电子商务发展工作。负责制定和实施电子商务发展相关政策、措施及规划。</w:t>
      </w:r>
    </w:p>
    <w:p w14:paraId="21D116D0">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17.牵头推进各行业电子商务扩大应用，推进商贸系统信息化建设及商贸领域大数据开发应用，推进数字商务工作。</w:t>
      </w:r>
    </w:p>
    <w:p w14:paraId="6D64F5C3">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18.负责推进跨境电子商务综合示范区和电子商务示范基地建设，负责组织协调推进跨境电子商务国际合作。</w:t>
      </w:r>
    </w:p>
    <w:p w14:paraId="55352FA0">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19.负责引进培育符合本区域发展规划项目。</w:t>
      </w:r>
    </w:p>
    <w:p w14:paraId="7470FBA4">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20.牵头统筹实施南岸区范围内的中新（重庆）战略性互联互通示范项目。</w:t>
      </w:r>
    </w:p>
    <w:p w14:paraId="2D72BFB6">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21.负责统一推进全区口岸和物流工作。</w:t>
      </w:r>
    </w:p>
    <w:p w14:paraId="263169C8">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22.牵头统筹组织落实中央及重庆市关于自贸试验区的政策措施。牵头承担南岸区自贸片区领导小组办公室日常工作，牵头统筹自贸试验区日常运转和管理工作。</w:t>
      </w:r>
    </w:p>
    <w:p w14:paraId="50B3EE21">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23.牵头研究拟订自贸试验区发展规划和计划，组织研究自贸试验区发展有关重大问题。</w:t>
      </w:r>
    </w:p>
    <w:p w14:paraId="21C344FA">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24.牵头统筹研究上报自贸试验区综合改革、投资、贸易、金融、事中事后监管等创新举措。</w:t>
      </w:r>
    </w:p>
    <w:p w14:paraId="5B39EE41">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25.牵头统筹统计发布自贸试验区相关公共信息，综合评估自贸试验区运行情况，组织自贸试验区对外宣传、交流等工作。</w:t>
      </w:r>
    </w:p>
    <w:p w14:paraId="58761FBC">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26.承担全区商贸流通领域中重点行业、重点商品的综合行政执法工作；参与整顿、规范和维护市场经济秩序；参与打击商业欺诈，协调开展整治行动；负责商务投诉受理，分级承担案件受理、转办、督办和报告。</w:t>
      </w:r>
    </w:p>
    <w:p w14:paraId="46AC4D42">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27.依托各类服务平台指导商务重点行业、重点企业、自贸试验片区企业开展登记注册、日常管理、权益保障等工作。</w:t>
      </w:r>
    </w:p>
    <w:p w14:paraId="5B1CAE46">
      <w:pPr>
        <w:ind w:firstLine="640" w:firstLineChars="200"/>
        <w:jc w:val="both"/>
        <w:rPr>
          <w:rFonts w:ascii="方正楷体_GBK" w:hAnsi="方正楷体_GBK" w:eastAsia="方正楷体_GBK" w:cs="方正楷体_GBK"/>
          <w:bCs/>
          <w:sz w:val="32"/>
          <w:szCs w:val="32"/>
        </w:rPr>
      </w:pPr>
      <w:r>
        <w:rPr>
          <w:rFonts w:hint="eastAsia" w:ascii="方正楷体_GBK" w:hAnsi="方正楷体_GBK" w:eastAsia="方正楷体_GBK" w:cs="方正楷体_GBK"/>
          <w:bCs/>
          <w:sz w:val="32"/>
          <w:szCs w:val="32"/>
        </w:rPr>
        <w:t>（二）机构设置</w:t>
      </w:r>
    </w:p>
    <w:p w14:paraId="76569056">
      <w:pPr>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整合设置七个科室</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委管理的正科级全额拨款公益一类事业单位1个，重庆市南岸区商务综合行政执法支队。</w:t>
      </w:r>
    </w:p>
    <w:p w14:paraId="77569E34">
      <w:pPr>
        <w:pStyle w:val="6"/>
        <w:shd w:val="clear" w:color="auto" w:fill="FFFFFF"/>
        <w:spacing w:before="0" w:beforeAutospacing="0" w:after="0" w:afterAutospacing="0" w:line="560" w:lineRule="exact"/>
        <w:ind w:firstLine="640" w:firstLineChars="200"/>
        <w:jc w:val="both"/>
        <w:outlineLvl w:val="0"/>
        <w:rPr>
          <w:rStyle w:val="9"/>
          <w:rFonts w:ascii="方正黑体_GBK" w:eastAsia="方正黑体_GBK"/>
          <w:b w:val="0"/>
        </w:rPr>
      </w:pPr>
      <w:bookmarkStart w:id="0" w:name="_GoBack"/>
      <w:bookmarkEnd w:id="0"/>
      <w:r>
        <w:rPr>
          <w:rStyle w:val="9"/>
          <w:rFonts w:hint="eastAsia" w:ascii="方正黑体_GBK" w:eastAsia="方正黑体_GBK"/>
          <w:b w:val="0"/>
          <w:sz w:val="32"/>
          <w:szCs w:val="32"/>
        </w:rPr>
        <w:t>二、部门决算情况说明</w:t>
      </w:r>
    </w:p>
    <w:p w14:paraId="51002EEB">
      <w:pPr>
        <w:pStyle w:val="6"/>
        <w:shd w:val="clear" w:color="auto" w:fill="FFFFFF"/>
        <w:spacing w:before="0" w:beforeAutospacing="0" w:after="0" w:afterAutospacing="0" w:line="560" w:lineRule="exact"/>
        <w:ind w:firstLine="640" w:firstLineChars="200"/>
        <w:jc w:val="both"/>
        <w:outlineLvl w:val="0"/>
        <w:rPr>
          <w:rFonts w:ascii="方正楷体_GBK" w:hAnsi="方正楷体_GBK" w:eastAsia="方正楷体_GBK" w:cs="方正楷体_GBK"/>
          <w:sz w:val="32"/>
          <w:szCs w:val="32"/>
        </w:rPr>
      </w:pPr>
      <w:r>
        <w:rPr>
          <w:rStyle w:val="9"/>
          <w:rFonts w:hint="eastAsia" w:ascii="方正楷体_GBK" w:hAnsi="方正楷体_GBK" w:eastAsia="方正楷体_GBK" w:cs="方正楷体_GBK"/>
          <w:b w:val="0"/>
          <w:bCs w:val="0"/>
          <w:sz w:val="32"/>
          <w:szCs w:val="32"/>
        </w:rPr>
        <w:t>（一）收入支出决算总体情况说明</w:t>
      </w:r>
    </w:p>
    <w:p w14:paraId="0F14DB4B">
      <w:pPr>
        <w:pStyle w:val="6"/>
        <w:shd w:val="clear" w:color="auto" w:fill="FFFFFF"/>
        <w:spacing w:before="0" w:beforeAutospacing="0" w:after="0" w:afterAutospacing="0" w:line="560" w:lineRule="exact"/>
        <w:ind w:firstLine="643" w:firstLineChars="200"/>
        <w:jc w:val="both"/>
        <w:rPr>
          <w:rFonts w:ascii="方正仿宋_GBK" w:eastAsia="方正仿宋_GBK"/>
          <w:sz w:val="32"/>
          <w:szCs w:val="32"/>
        </w:rPr>
      </w:pPr>
      <w:r>
        <w:rPr>
          <w:rFonts w:hint="eastAsia" w:ascii="方正仿宋_GBK" w:eastAsia="方正仿宋_GBK"/>
          <w:b/>
          <w:sz w:val="32"/>
          <w:szCs w:val="32"/>
        </w:rPr>
        <w:t>1.总体情况。</w:t>
      </w:r>
      <w:r>
        <w:rPr>
          <w:rFonts w:hint="eastAsia" w:ascii="方正仿宋_GBK" w:eastAsia="方正仿宋_GBK"/>
          <w:sz w:val="32"/>
          <w:szCs w:val="32"/>
        </w:rPr>
        <w:t>2020年度收入总计13687.23万元，支出总计13687.23万元。收支较上年决算数增加10689.32万元，增长356.6%，主要原因是增加</w:t>
      </w:r>
      <w:r>
        <w:rPr>
          <w:rFonts w:hint="eastAsia" w:ascii="仿宋_GB2312" w:hAnsi="仿宋" w:eastAsia="仿宋_GB2312" w:cs="仿宋"/>
          <w:sz w:val="32"/>
          <w:szCs w:val="32"/>
        </w:rPr>
        <w:t>商贸企业稳增长、农贸市场改造工程、直达资金洪灾受灾商铺补助、南岸区会展发展、猪肉储备及人才培育等项目资金。</w:t>
      </w:r>
    </w:p>
    <w:p w14:paraId="2E2D91A2">
      <w:pPr>
        <w:pStyle w:val="6"/>
        <w:shd w:val="clear" w:color="auto" w:fill="FFFFFF"/>
        <w:spacing w:before="0" w:beforeAutospacing="0" w:after="0" w:afterAutospacing="0" w:line="560" w:lineRule="exact"/>
        <w:ind w:firstLine="643" w:firstLineChars="200"/>
        <w:jc w:val="both"/>
        <w:rPr>
          <w:rFonts w:ascii="方正仿宋_GBK" w:eastAsia="方正仿宋_GBK"/>
          <w:sz w:val="32"/>
          <w:szCs w:val="32"/>
        </w:rPr>
      </w:pPr>
      <w:r>
        <w:rPr>
          <w:rFonts w:hint="eastAsia" w:ascii="方正仿宋_GBK" w:eastAsia="方正仿宋_GBK"/>
          <w:b/>
          <w:sz w:val="32"/>
          <w:szCs w:val="32"/>
        </w:rPr>
        <w:t>2.收入情况。</w:t>
      </w:r>
      <w:r>
        <w:rPr>
          <w:rFonts w:hint="eastAsia" w:ascii="方正仿宋_GBK" w:eastAsia="方正仿宋_GBK"/>
          <w:sz w:val="32"/>
          <w:szCs w:val="32"/>
        </w:rPr>
        <w:t>2020年度收入合计13687.23万元，较上年决算数增加10689.32万元，增长356.6%，主要原因是增加</w:t>
      </w:r>
      <w:r>
        <w:rPr>
          <w:rFonts w:hint="eastAsia" w:ascii="仿宋_GB2312" w:hAnsi="仿宋" w:eastAsia="仿宋_GB2312" w:cs="仿宋"/>
          <w:sz w:val="32"/>
          <w:szCs w:val="32"/>
        </w:rPr>
        <w:t>商贸企业稳增长、农贸市场改造工程、直达资金洪灾受灾商铺补助、南岸区会展发展、猪肉储备及人才培育等项目资金。</w:t>
      </w:r>
    </w:p>
    <w:p w14:paraId="2538AEF9">
      <w:pPr>
        <w:pStyle w:val="6"/>
        <w:shd w:val="clear" w:color="auto" w:fill="FFFFFF"/>
        <w:spacing w:before="0" w:beforeAutospacing="0" w:after="0" w:afterAutospacing="0"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其中：财政拨款收入13687.23万元，占100%。</w:t>
      </w:r>
    </w:p>
    <w:p w14:paraId="0A9D4600">
      <w:pPr>
        <w:pStyle w:val="6"/>
        <w:shd w:val="clear" w:color="auto" w:fill="FFFFFF"/>
        <w:spacing w:before="0" w:beforeAutospacing="0" w:after="0" w:afterAutospacing="0" w:line="560" w:lineRule="exact"/>
        <w:ind w:firstLine="643" w:firstLineChars="200"/>
        <w:jc w:val="both"/>
        <w:rPr>
          <w:rFonts w:ascii="方正仿宋_GBK" w:eastAsia="方正仿宋_GBK"/>
          <w:sz w:val="32"/>
          <w:szCs w:val="32"/>
        </w:rPr>
      </w:pPr>
      <w:r>
        <w:rPr>
          <w:rFonts w:hint="eastAsia" w:ascii="方正仿宋_GBK" w:eastAsia="方正仿宋_GBK"/>
          <w:b/>
          <w:sz w:val="32"/>
          <w:szCs w:val="32"/>
        </w:rPr>
        <w:t>3.支出情况。</w:t>
      </w:r>
      <w:r>
        <w:rPr>
          <w:rFonts w:hint="eastAsia" w:ascii="方正仿宋_GBK" w:eastAsia="方正仿宋_GBK"/>
          <w:sz w:val="32"/>
          <w:szCs w:val="32"/>
        </w:rPr>
        <w:t>2020年度支出合计13687.23万元，较上年决算数增加10689.32万元，增长356.6%，主要原因是</w:t>
      </w:r>
      <w:r>
        <w:rPr>
          <w:rFonts w:hint="eastAsia" w:ascii="仿宋_GB2312" w:hAnsi="仿宋" w:eastAsia="仿宋_GB2312" w:cs="仿宋"/>
          <w:sz w:val="32"/>
          <w:szCs w:val="32"/>
        </w:rPr>
        <w:t>增加抗疫资金、直达资金洪灾受灾商铺补助、南岸区会展发展、猪肉储备及人才培育等项目资金。</w:t>
      </w:r>
    </w:p>
    <w:p w14:paraId="4E9322AD">
      <w:pPr>
        <w:pStyle w:val="6"/>
        <w:shd w:val="clear" w:color="auto" w:fill="FFFFFF"/>
        <w:spacing w:before="0" w:beforeAutospacing="0" w:after="0" w:afterAutospacing="0"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其中：基本支出780.9万元，占5.7%；项目支出12906.33万元，占94.3%。</w:t>
      </w:r>
    </w:p>
    <w:p w14:paraId="7DA614EB">
      <w:pPr>
        <w:pStyle w:val="6"/>
        <w:shd w:val="clear" w:color="auto" w:fill="FFFFFF"/>
        <w:spacing w:before="0" w:beforeAutospacing="0" w:after="0" w:afterAutospacing="0" w:line="560" w:lineRule="exact"/>
        <w:ind w:firstLine="643" w:firstLineChars="200"/>
        <w:jc w:val="both"/>
        <w:rPr>
          <w:rFonts w:ascii="方正仿宋_GBK" w:eastAsia="方正仿宋_GBK"/>
          <w:sz w:val="32"/>
          <w:szCs w:val="32"/>
        </w:rPr>
      </w:pPr>
      <w:r>
        <w:rPr>
          <w:rFonts w:hint="eastAsia" w:ascii="方正仿宋_GBK" w:eastAsia="方正仿宋_GBK"/>
          <w:b/>
          <w:sz w:val="32"/>
          <w:szCs w:val="32"/>
        </w:rPr>
        <w:t>4.结转结余情况。</w:t>
      </w:r>
      <w:r>
        <w:rPr>
          <w:rFonts w:hint="eastAsia" w:ascii="方正仿宋_GBK" w:eastAsia="方正仿宋_GBK"/>
          <w:sz w:val="32"/>
          <w:szCs w:val="32"/>
        </w:rPr>
        <w:t>2020年度年末结转和结余0万元，较上年决算数增加0万元，增长0%，主要原因是2020年度年末无结转结余。</w:t>
      </w:r>
    </w:p>
    <w:p w14:paraId="677D85E9">
      <w:pPr>
        <w:pStyle w:val="6"/>
        <w:shd w:val="clear" w:color="auto" w:fill="FFFFFF"/>
        <w:spacing w:before="0" w:beforeAutospacing="0" w:after="0" w:afterAutospacing="0" w:line="560" w:lineRule="exact"/>
        <w:ind w:firstLine="640" w:firstLineChars="200"/>
        <w:jc w:val="both"/>
        <w:outlineLvl w:val="0"/>
        <w:rPr>
          <w:rStyle w:val="9"/>
          <w:rFonts w:ascii="方正楷体_GBK" w:hAnsi="方正楷体_GBK" w:eastAsia="方正楷体_GBK" w:cs="方正楷体_GBK"/>
          <w:b w:val="0"/>
          <w:bCs w:val="0"/>
        </w:rPr>
      </w:pPr>
      <w:r>
        <w:rPr>
          <w:rStyle w:val="9"/>
          <w:rFonts w:hint="eastAsia" w:ascii="方正楷体_GBK" w:hAnsi="方正楷体_GBK" w:eastAsia="方正楷体_GBK" w:cs="方正楷体_GBK"/>
          <w:b w:val="0"/>
          <w:bCs w:val="0"/>
          <w:sz w:val="32"/>
          <w:szCs w:val="32"/>
        </w:rPr>
        <w:t>（二）财政拨款收入支出决算总体情况说明</w:t>
      </w:r>
    </w:p>
    <w:p w14:paraId="5587364D">
      <w:pPr>
        <w:pStyle w:val="6"/>
        <w:shd w:val="clear" w:color="auto" w:fill="FFFFFF"/>
        <w:spacing w:before="0" w:beforeAutospacing="0" w:after="0" w:afterAutospacing="0" w:line="560" w:lineRule="exact"/>
        <w:ind w:firstLine="643" w:firstLineChars="200"/>
        <w:jc w:val="both"/>
        <w:rPr>
          <w:rFonts w:ascii="方正仿宋_GBK" w:eastAsia="方正仿宋_GBK"/>
          <w:bCs/>
          <w:sz w:val="32"/>
          <w:szCs w:val="32"/>
        </w:rPr>
      </w:pPr>
      <w:r>
        <w:rPr>
          <w:rFonts w:hint="eastAsia" w:ascii="方正仿宋_GBK" w:eastAsia="方正仿宋_GBK"/>
          <w:b/>
          <w:sz w:val="32"/>
          <w:szCs w:val="32"/>
        </w:rPr>
        <w:t>1.收入情况：</w:t>
      </w:r>
      <w:r>
        <w:rPr>
          <w:rFonts w:hint="eastAsia" w:ascii="方正仿宋_GBK" w:eastAsia="方正仿宋_GBK"/>
          <w:bCs/>
          <w:sz w:val="32"/>
          <w:szCs w:val="32"/>
        </w:rPr>
        <w:t>2020年度财政拨款收入13687.23万元，较上年决算数</w:t>
      </w:r>
      <w:r>
        <w:rPr>
          <w:rFonts w:hint="eastAsia" w:ascii="方正仿宋_GBK" w:eastAsia="方正仿宋_GBK"/>
          <w:sz w:val="32"/>
          <w:szCs w:val="32"/>
        </w:rPr>
        <w:t>增加10689.32万元，增长356.6%，主要原因是增加</w:t>
      </w:r>
      <w:r>
        <w:rPr>
          <w:rFonts w:hint="eastAsia" w:ascii="仿宋_GB2312" w:hAnsi="仿宋" w:eastAsia="仿宋_GB2312" w:cs="仿宋"/>
          <w:sz w:val="32"/>
          <w:szCs w:val="32"/>
        </w:rPr>
        <w:t>商贸企业稳增长、农贸市场改造工程、直达资金洪灾受灾商铺补助、南岸区会展发展、猪肉储备及人才培育等项目资金</w:t>
      </w:r>
      <w:r>
        <w:rPr>
          <w:rFonts w:hint="eastAsia" w:ascii="方正仿宋_GBK" w:eastAsia="方正仿宋_GBK"/>
          <w:bCs/>
          <w:sz w:val="32"/>
          <w:szCs w:val="32"/>
        </w:rPr>
        <w:t>。</w:t>
      </w:r>
    </w:p>
    <w:p w14:paraId="3F3B0F13">
      <w:pPr>
        <w:pStyle w:val="6"/>
        <w:shd w:val="clear" w:color="auto" w:fill="FFFFFF"/>
        <w:spacing w:before="0" w:beforeAutospacing="0" w:after="0" w:afterAutospacing="0" w:line="560" w:lineRule="exact"/>
        <w:ind w:firstLine="643" w:firstLineChars="200"/>
        <w:jc w:val="both"/>
      </w:pPr>
      <w:r>
        <w:rPr>
          <w:rStyle w:val="9"/>
          <w:rFonts w:hint="eastAsia" w:ascii="方正仿宋_GBK" w:hAnsi="Times New Roman" w:eastAsia="方正仿宋_GBK" w:cs="Times New Roman"/>
          <w:sz w:val="32"/>
          <w:szCs w:val="32"/>
        </w:rPr>
        <w:t>2.支出情况：</w:t>
      </w:r>
      <w:r>
        <w:rPr>
          <w:rFonts w:hint="eastAsia" w:ascii="方正仿宋_GBK" w:eastAsia="方正仿宋_GBK"/>
          <w:bCs/>
          <w:sz w:val="32"/>
          <w:szCs w:val="32"/>
        </w:rPr>
        <w:t>2020年度财政拨款支出13687.23万元，较上年决算数</w:t>
      </w:r>
      <w:r>
        <w:rPr>
          <w:rFonts w:hint="eastAsia" w:ascii="方正仿宋_GBK" w:eastAsia="方正仿宋_GBK"/>
          <w:sz w:val="32"/>
          <w:szCs w:val="32"/>
        </w:rPr>
        <w:t>增加10689.32万元，增长356.6%</w:t>
      </w:r>
      <w:r>
        <w:rPr>
          <w:rFonts w:hint="eastAsia" w:ascii="方正仿宋_GBK" w:eastAsia="方正仿宋_GBK"/>
          <w:bCs/>
          <w:sz w:val="32"/>
          <w:szCs w:val="32"/>
        </w:rPr>
        <w:t>。</w:t>
      </w:r>
      <w:r>
        <w:rPr>
          <w:rFonts w:hint="eastAsia" w:ascii="方正仿宋_GBK" w:eastAsia="方正仿宋_GBK"/>
          <w:sz w:val="32"/>
          <w:szCs w:val="32"/>
        </w:rPr>
        <w:t>主要原因是增加</w:t>
      </w:r>
      <w:r>
        <w:rPr>
          <w:rFonts w:hint="eastAsia" w:ascii="仿宋_GB2312" w:hAnsi="仿宋" w:eastAsia="仿宋_GB2312" w:cs="仿宋"/>
          <w:sz w:val="32"/>
          <w:szCs w:val="32"/>
        </w:rPr>
        <w:t>商贸企业稳增长、农贸市场改造工程、直达资金洪灾受灾商铺补助、南岸区会展发展、猪肉储备及人才培育等项目资金。</w:t>
      </w:r>
    </w:p>
    <w:p w14:paraId="57BE2358">
      <w:pPr>
        <w:pStyle w:val="6"/>
        <w:shd w:val="clear" w:color="auto" w:fill="FFFFFF"/>
        <w:spacing w:before="0" w:beforeAutospacing="0" w:after="0" w:afterAutospacing="0" w:line="560" w:lineRule="exact"/>
        <w:ind w:firstLine="640" w:firstLineChars="200"/>
        <w:jc w:val="both"/>
        <w:outlineLvl w:val="0"/>
        <w:rPr>
          <w:rStyle w:val="9"/>
          <w:rFonts w:ascii="方正楷体_GBK" w:hAnsi="方正楷体_GBK" w:eastAsia="方正楷体_GBK" w:cs="方正楷体_GBK"/>
          <w:b w:val="0"/>
          <w:bCs w:val="0"/>
        </w:rPr>
      </w:pPr>
      <w:r>
        <w:rPr>
          <w:rStyle w:val="9"/>
          <w:rFonts w:hint="eastAsia" w:ascii="方正楷体_GBK" w:hAnsi="方正楷体_GBK" w:eastAsia="方正楷体_GBK" w:cs="方正楷体_GBK"/>
          <w:b w:val="0"/>
          <w:bCs w:val="0"/>
          <w:sz w:val="32"/>
          <w:szCs w:val="32"/>
        </w:rPr>
        <w:t>（三）一般公共预算财政拨款支出决算情况说明</w:t>
      </w:r>
    </w:p>
    <w:p w14:paraId="345EBFD6">
      <w:pPr>
        <w:pStyle w:val="6"/>
        <w:shd w:val="clear" w:color="auto" w:fill="FFFFFF"/>
        <w:spacing w:before="0" w:beforeAutospacing="0" w:after="0" w:afterAutospacing="0" w:line="560" w:lineRule="exact"/>
        <w:ind w:firstLine="643" w:firstLineChars="200"/>
        <w:jc w:val="both"/>
      </w:pPr>
      <w:r>
        <w:rPr>
          <w:rFonts w:hint="eastAsia" w:ascii="方正仿宋_GBK" w:eastAsia="方正仿宋_GBK"/>
          <w:b/>
          <w:sz w:val="32"/>
          <w:szCs w:val="32"/>
        </w:rPr>
        <w:t>1.收入情况。</w:t>
      </w:r>
      <w:r>
        <w:rPr>
          <w:rFonts w:hint="eastAsia" w:ascii="方正仿宋_GBK" w:eastAsia="方正仿宋_GBK"/>
          <w:sz w:val="32"/>
          <w:szCs w:val="32"/>
        </w:rPr>
        <w:t>2020年度一般公共预算财政拨款收入8337.46万元，较上年决算数增加5355.95万元，增长179.6%。主要原因是增加</w:t>
      </w:r>
      <w:r>
        <w:rPr>
          <w:rFonts w:hint="eastAsia" w:ascii="仿宋_GB2312" w:hAnsi="仿宋" w:eastAsia="仿宋_GB2312" w:cs="仿宋"/>
          <w:sz w:val="32"/>
          <w:szCs w:val="32"/>
        </w:rPr>
        <w:t>直达资金洪灾受灾商铺补助、南岸区会展发展、猪肉储备及人才培育等项目资金</w:t>
      </w:r>
      <w:r>
        <w:rPr>
          <w:rFonts w:hint="eastAsia" w:ascii="方正仿宋_GBK" w:eastAsia="方正仿宋_GBK"/>
          <w:sz w:val="32"/>
          <w:szCs w:val="32"/>
        </w:rPr>
        <w:t>。较年初预算数增加4758.97万元，增长133.0%。主要原因是年中追加安排</w:t>
      </w:r>
      <w:r>
        <w:rPr>
          <w:rFonts w:hint="eastAsia" w:ascii="仿宋_GB2312" w:hAnsi="仿宋" w:eastAsia="仿宋_GB2312" w:cs="仿宋"/>
          <w:sz w:val="32"/>
          <w:szCs w:val="32"/>
        </w:rPr>
        <w:t>直达资金洪灾受灾商铺补助专项等支出</w:t>
      </w:r>
      <w:r>
        <w:rPr>
          <w:rFonts w:hint="eastAsia" w:ascii="方正仿宋_GBK" w:eastAsia="方正仿宋_GBK"/>
          <w:sz w:val="32"/>
          <w:szCs w:val="32"/>
        </w:rPr>
        <w:t>。此外，年初财政拨款结转和结余0万元。</w:t>
      </w:r>
    </w:p>
    <w:p w14:paraId="31F2388E">
      <w:pPr>
        <w:pStyle w:val="6"/>
        <w:shd w:val="clear" w:color="auto" w:fill="FFFFFF"/>
        <w:spacing w:before="0" w:beforeAutospacing="0" w:after="0" w:afterAutospacing="0" w:line="560" w:lineRule="exact"/>
        <w:ind w:firstLine="643" w:firstLineChars="200"/>
        <w:jc w:val="both"/>
        <w:rPr>
          <w:rFonts w:ascii="方正仿宋_GBK" w:eastAsia="方正仿宋_GBK"/>
          <w:sz w:val="32"/>
          <w:szCs w:val="32"/>
        </w:rPr>
      </w:pPr>
      <w:r>
        <w:rPr>
          <w:rFonts w:hint="eastAsia" w:ascii="方正仿宋_GBK" w:eastAsia="方正仿宋_GBK"/>
          <w:b/>
          <w:sz w:val="32"/>
          <w:szCs w:val="32"/>
        </w:rPr>
        <w:t>2.支出情况。</w:t>
      </w:r>
      <w:r>
        <w:rPr>
          <w:rFonts w:hint="eastAsia" w:ascii="方正仿宋_GBK" w:eastAsia="方正仿宋_GBK"/>
          <w:sz w:val="32"/>
          <w:szCs w:val="32"/>
        </w:rPr>
        <w:t>2020年度一般公共预算财政拨款支出8337.46万元，较上年决算数增加5342.46万元，增长178.4%。主要原因是增加</w:t>
      </w:r>
      <w:r>
        <w:rPr>
          <w:rFonts w:hint="eastAsia" w:ascii="仿宋_GB2312" w:hAnsi="仿宋" w:eastAsia="仿宋_GB2312" w:cs="仿宋"/>
          <w:sz w:val="32"/>
          <w:szCs w:val="32"/>
        </w:rPr>
        <w:t>直达资金洪灾受灾商铺补助、南岸区会展发展专项、猪肉储备专项及人才培育专项等项目资金</w:t>
      </w:r>
      <w:r>
        <w:rPr>
          <w:rFonts w:hint="eastAsia" w:ascii="方正仿宋_GBK" w:eastAsia="方正仿宋_GBK"/>
          <w:sz w:val="32"/>
          <w:szCs w:val="32"/>
        </w:rPr>
        <w:t>。较年初预算数增加4758.97万元，增长133.0%。主要原因是年中追加</w:t>
      </w:r>
      <w:r>
        <w:rPr>
          <w:rFonts w:hint="eastAsia" w:ascii="仿宋_GB2312" w:hAnsi="仿宋" w:eastAsia="仿宋_GB2312" w:cs="仿宋"/>
          <w:sz w:val="32"/>
          <w:szCs w:val="32"/>
        </w:rPr>
        <w:t>直达资金洪灾受灾商铺补助等项目资金</w:t>
      </w:r>
      <w:r>
        <w:rPr>
          <w:rFonts w:hint="eastAsia" w:ascii="方正仿宋_GBK" w:eastAsia="方正仿宋_GBK"/>
          <w:sz w:val="32"/>
          <w:szCs w:val="32"/>
        </w:rPr>
        <w:t>。</w:t>
      </w:r>
    </w:p>
    <w:p w14:paraId="347061D3">
      <w:pPr>
        <w:pStyle w:val="6"/>
        <w:shd w:val="clear" w:color="auto" w:fill="FFFFFF"/>
        <w:spacing w:before="0" w:beforeAutospacing="0" w:after="0" w:afterAutospacing="0" w:line="560" w:lineRule="exact"/>
        <w:ind w:firstLine="643" w:firstLineChars="200"/>
        <w:jc w:val="both"/>
        <w:rPr>
          <w:rFonts w:ascii="方正仿宋_GBK" w:eastAsia="方正仿宋_GBK"/>
          <w:sz w:val="32"/>
          <w:szCs w:val="32"/>
        </w:rPr>
      </w:pPr>
      <w:r>
        <w:rPr>
          <w:rFonts w:hint="eastAsia" w:ascii="方正仿宋_GBK" w:eastAsia="方正仿宋_GBK"/>
          <w:b/>
          <w:sz w:val="32"/>
          <w:szCs w:val="32"/>
        </w:rPr>
        <w:t>3.结转结余情况。</w:t>
      </w:r>
      <w:r>
        <w:rPr>
          <w:rFonts w:hint="eastAsia" w:ascii="方正仿宋_GBK" w:eastAsia="方正仿宋_GBK"/>
          <w:sz w:val="32"/>
          <w:szCs w:val="32"/>
        </w:rPr>
        <w:t>2020年度年末一般公共预算财政拨款结转和结余0万元，较上年决算数增加0万元，增长0%，主要原因是2020年度末一般公共预算财政拨款结转和结余0万元。</w:t>
      </w:r>
    </w:p>
    <w:p w14:paraId="5665A502">
      <w:pPr>
        <w:pStyle w:val="6"/>
        <w:widowControl w:val="0"/>
        <w:shd w:val="clear" w:color="auto" w:fill="FFFFFF"/>
        <w:spacing w:before="0" w:beforeAutospacing="0" w:after="0" w:afterAutospacing="0" w:line="560" w:lineRule="exact"/>
        <w:ind w:firstLine="643" w:firstLineChars="200"/>
        <w:jc w:val="both"/>
        <w:rPr>
          <w:rFonts w:ascii="方正仿宋_GBK" w:eastAsia="方正仿宋_GBK"/>
          <w:sz w:val="32"/>
          <w:szCs w:val="32"/>
        </w:rPr>
      </w:pPr>
      <w:r>
        <w:rPr>
          <w:rFonts w:hint="eastAsia" w:ascii="方正仿宋_GBK" w:eastAsia="方正仿宋_GBK"/>
          <w:b/>
          <w:sz w:val="32"/>
          <w:szCs w:val="32"/>
        </w:rPr>
        <w:t>4.比较情况。</w:t>
      </w:r>
      <w:r>
        <w:rPr>
          <w:rFonts w:hint="eastAsia" w:ascii="方正仿宋_GBK" w:eastAsia="方正仿宋_GBK"/>
          <w:sz w:val="32"/>
          <w:szCs w:val="32"/>
        </w:rPr>
        <w:t>本部门2020年度一般公共预算财政拨款支出主要用于以下几个方面：</w:t>
      </w:r>
    </w:p>
    <w:p w14:paraId="147810E6">
      <w:pPr>
        <w:pStyle w:val="6"/>
        <w:shd w:val="clear" w:color="auto" w:fill="FFFFFF"/>
        <w:spacing w:before="0" w:beforeAutospacing="0" w:after="0" w:afterAutospacing="0"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（1）一般公共服务支出580.37万元，占7.0%，较年初预算数增加81.86万元，增长16.4%，主要原因是年中增加了争资工作经费、党建经费。</w:t>
      </w:r>
    </w:p>
    <w:p w14:paraId="5D2D12DB">
      <w:pPr>
        <w:pStyle w:val="6"/>
        <w:shd w:val="clear" w:color="auto" w:fill="FFFFFF"/>
        <w:spacing w:before="0" w:beforeAutospacing="0" w:after="0" w:afterAutospacing="0"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（2）社会保障与就业支出420.23万元，占5.0%，较年初预算数增加31.12万元，增长8.0%，主要原因是离退休人人员的生活补助提高。</w:t>
      </w:r>
    </w:p>
    <w:p w14:paraId="25394A74">
      <w:pPr>
        <w:pStyle w:val="6"/>
        <w:shd w:val="clear" w:color="auto" w:fill="FFFFFF"/>
        <w:spacing w:before="0" w:beforeAutospacing="0" w:after="0" w:afterAutospacing="0"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（3）卫生健康支出37.53万元，占0.5%，较年初预算数增加0万元，增长0%，主要原因是按规定支付医疗保险等费用。</w:t>
      </w:r>
    </w:p>
    <w:p w14:paraId="21EA1763">
      <w:pPr>
        <w:pStyle w:val="6"/>
        <w:shd w:val="clear" w:color="auto" w:fill="FFFFFF"/>
        <w:spacing w:before="0" w:beforeAutospacing="0" w:after="0" w:afterAutospacing="0"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（4）资源勘探信息等支出6.79万元，占0.1%，较年初预算数增加6.79万元，增长100%，主要原因是年中增加了</w:t>
      </w:r>
      <w:r>
        <w:rPr>
          <w:rFonts w:hint="eastAsia" w:ascii="仿宋_GB2312" w:hAnsi="仿宋" w:eastAsia="仿宋_GB2312" w:cs="仿宋"/>
          <w:sz w:val="32"/>
          <w:szCs w:val="32"/>
        </w:rPr>
        <w:t>人才培育专项</w:t>
      </w:r>
      <w:r>
        <w:rPr>
          <w:rFonts w:hint="eastAsia" w:ascii="方正仿宋_GBK" w:eastAsia="方正仿宋_GBK"/>
          <w:sz w:val="32"/>
          <w:szCs w:val="32"/>
        </w:rPr>
        <w:t>。</w:t>
      </w:r>
    </w:p>
    <w:p w14:paraId="2C90033D">
      <w:pPr>
        <w:pStyle w:val="6"/>
        <w:shd w:val="clear" w:color="auto" w:fill="FFFFFF"/>
        <w:spacing w:before="0" w:beforeAutospacing="0" w:after="0" w:afterAutospacing="0"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（5）商业服务业等支出7270.2万元，占87.1%，较年初预算数增加4639.2万元，增长176.3%，主要原因是年中增加了</w:t>
      </w:r>
      <w:r>
        <w:rPr>
          <w:rFonts w:hint="eastAsia" w:ascii="仿宋_GB2312" w:hAnsi="仿宋" w:eastAsia="仿宋_GB2312" w:cs="仿宋"/>
          <w:sz w:val="32"/>
          <w:szCs w:val="32"/>
        </w:rPr>
        <w:t>直达资金洪灾受灾商铺补助等专项</w:t>
      </w:r>
      <w:r>
        <w:rPr>
          <w:rFonts w:hint="eastAsia" w:ascii="方正仿宋_GBK" w:eastAsia="方正仿宋_GBK"/>
          <w:sz w:val="32"/>
          <w:szCs w:val="32"/>
        </w:rPr>
        <w:t>。</w:t>
      </w:r>
    </w:p>
    <w:p w14:paraId="2BD8FF92">
      <w:pPr>
        <w:pStyle w:val="6"/>
        <w:shd w:val="clear" w:color="auto" w:fill="FFFFFF"/>
        <w:spacing w:before="0" w:beforeAutospacing="0" w:after="0" w:afterAutospacing="0"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（6）住房保障支出22.34万元，占0.3%，较年初预算数增加0万元，增长0%，主要原因是按规定支付住房公积金。</w:t>
      </w:r>
    </w:p>
    <w:p w14:paraId="3ED157A9">
      <w:pPr>
        <w:pStyle w:val="6"/>
        <w:shd w:val="clear" w:color="auto" w:fill="FFFFFF"/>
        <w:spacing w:before="0" w:beforeAutospacing="0" w:after="0" w:afterAutospacing="0" w:line="560" w:lineRule="exact"/>
        <w:ind w:firstLine="640" w:firstLineChars="200"/>
        <w:jc w:val="both"/>
        <w:outlineLvl w:val="0"/>
        <w:rPr>
          <w:rFonts w:ascii="方正楷体_GBK" w:hAnsi="方正楷体_GBK" w:eastAsia="方正楷体_GBK" w:cs="方正楷体_GBK"/>
          <w:sz w:val="32"/>
          <w:szCs w:val="32"/>
        </w:rPr>
      </w:pPr>
      <w:r>
        <w:rPr>
          <w:rStyle w:val="9"/>
          <w:rFonts w:hint="eastAsia" w:ascii="方正楷体_GBK" w:hAnsi="方正楷体_GBK" w:eastAsia="方正楷体_GBK" w:cs="方正楷体_GBK"/>
          <w:b w:val="0"/>
          <w:bCs w:val="0"/>
          <w:sz w:val="32"/>
          <w:szCs w:val="32"/>
        </w:rPr>
        <w:t>（四）一般公共预算财政拨款基本支出决算情况说明</w:t>
      </w:r>
    </w:p>
    <w:p w14:paraId="001CBD26">
      <w:pPr>
        <w:pStyle w:val="15"/>
        <w:shd w:val="clear" w:color="auto" w:fill="FFFFFF"/>
        <w:spacing w:before="0" w:beforeAutospacing="0" w:after="0" w:afterAutospacing="0"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2020年度一般公共财政拨款基本支出780.9万元。其中：人员经费580.87万元，较上年决算数减少 202.76万元，下降 25.9%，主要原因是</w:t>
      </w:r>
      <w:r>
        <w:rPr>
          <w:rFonts w:hint="eastAsia" w:ascii="仿宋_GB2312" w:hAnsi="仿宋" w:eastAsia="仿宋_GB2312" w:cs="仿宋"/>
          <w:sz w:val="32"/>
          <w:szCs w:val="32"/>
        </w:rPr>
        <w:t>机构改革，人员数量减少，人员经费相应减少</w:t>
      </w:r>
      <w:r>
        <w:rPr>
          <w:rFonts w:hint="eastAsia" w:ascii="方正仿宋_GBK" w:eastAsia="方正仿宋_GBK"/>
          <w:sz w:val="32"/>
          <w:szCs w:val="32"/>
        </w:rPr>
        <w:t>。</w:t>
      </w:r>
      <w:r>
        <w:rPr>
          <w:rFonts w:hint="eastAsia" w:ascii="方正仿宋_GBK" w:hAnsi="方正仿宋_GBK" w:eastAsia="方正仿宋_GBK" w:cs="方正仿宋_GBK"/>
          <w:sz w:val="32"/>
          <w:szCs w:val="32"/>
          <w:shd w:val="clear" w:color="auto" w:fill="FFFFFF"/>
        </w:rPr>
        <w:t>人员经费用途主要包括基本工资、津贴补贴、奖金、伙食补助费、绩效工资、机关事业单位基本养老保险费、职业年金缴费、职工基本医疗保险缴费、公务员医疗补助缴费、其他社会保障缴费、住房公积金、医疗费、其他工资福利、对个人和家庭的补助等。</w:t>
      </w:r>
      <w:r>
        <w:rPr>
          <w:rFonts w:hint="eastAsia" w:ascii="方正仿宋_GBK" w:eastAsia="方正仿宋_GBK"/>
          <w:sz w:val="32"/>
          <w:szCs w:val="32"/>
        </w:rPr>
        <w:t>公用经费200.03万元，较上年决算数增加14.38万元，增长7.7%，主要原因</w:t>
      </w:r>
      <w:r>
        <w:rPr>
          <w:rFonts w:hint="eastAsia" w:ascii="仿宋_GB2312" w:hAnsi="仿宋" w:eastAsia="仿宋_GB2312" w:cs="仿宋"/>
          <w:sz w:val="32"/>
          <w:szCs w:val="32"/>
        </w:rPr>
        <w:t>是疫情期间，外出检查次数增加，办公费用、差旅费等相应增加</w:t>
      </w:r>
      <w:r>
        <w:rPr>
          <w:rFonts w:hint="eastAsia" w:ascii="方正仿宋_GBK" w:eastAsia="方正仿宋_GBK"/>
          <w:sz w:val="32"/>
          <w:szCs w:val="32"/>
        </w:rPr>
        <w:t>。公用经费用途主要包括</w:t>
      </w:r>
      <w:r>
        <w:rPr>
          <w:rFonts w:hint="eastAsia" w:ascii="方正仿宋_GBK" w:hAnsi="方正仿宋_GBK" w:eastAsia="方正仿宋_GBK" w:cs="方正仿宋_GBK"/>
          <w:sz w:val="32"/>
          <w:szCs w:val="32"/>
          <w:shd w:val="clear" w:color="auto" w:fill="FFFFFF"/>
        </w:rPr>
        <w:t>办公费、印刷费、咨询费、手续费、水费、电费、邮电费、维修费、租赁费、公务接待费、委托业务费等。</w:t>
      </w:r>
    </w:p>
    <w:p w14:paraId="69910A9B">
      <w:pPr>
        <w:pStyle w:val="6"/>
        <w:shd w:val="clear" w:color="auto" w:fill="FFFFFF"/>
        <w:spacing w:before="0" w:beforeAutospacing="0" w:after="0" w:afterAutospacing="0" w:line="560" w:lineRule="exact"/>
        <w:ind w:firstLine="640" w:firstLineChars="200"/>
        <w:jc w:val="both"/>
        <w:outlineLvl w:val="0"/>
        <w:rPr>
          <w:rStyle w:val="9"/>
          <w:rFonts w:ascii="方正楷体_GBK" w:hAnsi="方正楷体_GBK" w:eastAsia="方正楷体_GBK" w:cs="方正楷体_GBK"/>
          <w:b w:val="0"/>
          <w:bCs w:val="0"/>
        </w:rPr>
      </w:pPr>
      <w:r>
        <w:rPr>
          <w:rStyle w:val="9"/>
          <w:rFonts w:hint="eastAsia" w:ascii="方正楷体_GBK" w:hAnsi="方正楷体_GBK" w:eastAsia="方正楷体_GBK" w:cs="方正楷体_GBK"/>
          <w:b w:val="0"/>
          <w:bCs w:val="0"/>
          <w:sz w:val="32"/>
          <w:szCs w:val="32"/>
        </w:rPr>
        <w:t>（五）政府性基金预算收支决算情况说明</w:t>
      </w:r>
    </w:p>
    <w:p w14:paraId="7C50D82A">
      <w:pPr>
        <w:pStyle w:val="6"/>
        <w:shd w:val="clear" w:color="auto" w:fill="FFFFFF"/>
        <w:spacing w:before="0" w:beforeAutospacing="0" w:after="0" w:afterAutospacing="0" w:line="560" w:lineRule="exact"/>
        <w:ind w:firstLine="640" w:firstLineChars="200"/>
        <w:jc w:val="both"/>
        <w:rPr>
          <w:rFonts w:ascii="方正仿宋_GBK" w:eastAsia="方正仿宋_GBK"/>
          <w:color w:val="FF0000"/>
          <w:sz w:val="32"/>
          <w:szCs w:val="32"/>
        </w:rPr>
      </w:pPr>
      <w:r>
        <w:rPr>
          <w:rFonts w:hint="eastAsia" w:ascii="方正仿宋_GBK" w:eastAsia="方正仿宋_GBK"/>
          <w:sz w:val="32"/>
          <w:szCs w:val="32"/>
        </w:rPr>
        <w:t>2020年度政府性基金预算财政拨款年初结转结余0万元，年末结转结余0万元。本年收入5349.77万元，较上年决算数增加5346.86万元，增长183740.9%，主要原因是年中增加</w:t>
      </w:r>
      <w:r>
        <w:rPr>
          <w:rFonts w:hint="eastAsia" w:ascii="仿宋_GB2312" w:hAnsi="仿宋" w:eastAsia="仿宋_GB2312" w:cs="仿宋"/>
          <w:sz w:val="32"/>
          <w:szCs w:val="32"/>
        </w:rPr>
        <w:t>商贸企业稳增长、农贸市场改造工程专项</w:t>
      </w:r>
      <w:r>
        <w:rPr>
          <w:rFonts w:hint="eastAsia" w:ascii="方正仿宋_GBK" w:eastAsia="方正仿宋_GBK"/>
          <w:sz w:val="32"/>
          <w:szCs w:val="32"/>
        </w:rPr>
        <w:t>。本年支出5349.77万元，较上年决算数增加5346.86万元，增长183740.9%，主要原因是增加</w:t>
      </w:r>
      <w:r>
        <w:rPr>
          <w:rFonts w:hint="eastAsia" w:ascii="仿宋_GB2312" w:hAnsi="仿宋" w:eastAsia="仿宋_GB2312" w:cs="仿宋"/>
          <w:sz w:val="32"/>
          <w:szCs w:val="32"/>
        </w:rPr>
        <w:t>商贸企业稳增长、农贸市场改造工程专项</w:t>
      </w:r>
      <w:r>
        <w:rPr>
          <w:rFonts w:hint="eastAsia" w:ascii="方正仿宋_GBK" w:eastAsia="方正仿宋_GBK"/>
          <w:sz w:val="32"/>
          <w:szCs w:val="32"/>
        </w:rPr>
        <w:t>。</w:t>
      </w:r>
    </w:p>
    <w:p w14:paraId="4481B526">
      <w:pPr>
        <w:pStyle w:val="6"/>
        <w:shd w:val="clear" w:color="auto" w:fill="FFFFFF"/>
        <w:spacing w:before="0" w:beforeAutospacing="0" w:after="0" w:afterAutospacing="0" w:line="560" w:lineRule="exact"/>
        <w:ind w:firstLine="640" w:firstLineChars="200"/>
        <w:jc w:val="both"/>
        <w:outlineLvl w:val="0"/>
        <w:rPr>
          <w:rFonts w:ascii="方正楷体_GBK" w:hAnsi="方正楷体_GBK" w:eastAsia="方正楷体_GBK" w:cs="方正楷体_GBK"/>
          <w:color w:val="FF0000"/>
          <w:sz w:val="32"/>
          <w:szCs w:val="32"/>
        </w:rPr>
      </w:pPr>
      <w:r>
        <w:rPr>
          <w:rStyle w:val="9"/>
          <w:rFonts w:hint="eastAsia" w:ascii="方正楷体_GBK" w:hAnsi="方正楷体_GBK" w:eastAsia="方正楷体_GBK" w:cs="方正楷体_GBK"/>
          <w:b w:val="0"/>
          <w:bCs w:val="0"/>
          <w:sz w:val="32"/>
          <w:szCs w:val="32"/>
        </w:rPr>
        <w:t>（六）国有资本经营预算财政拨款支出决算情况说明</w:t>
      </w:r>
    </w:p>
    <w:p w14:paraId="3F0F503E">
      <w:pPr>
        <w:pStyle w:val="6"/>
        <w:shd w:val="clear" w:color="auto" w:fill="FFFFFF"/>
        <w:spacing w:before="0" w:beforeAutospacing="0" w:after="0" w:afterAutospacing="0" w:line="560" w:lineRule="exact"/>
        <w:ind w:firstLine="640" w:firstLineChars="200"/>
        <w:jc w:val="both"/>
        <w:rPr>
          <w:rFonts w:ascii="仿宋_GB2312" w:hAnsi="仿宋" w:eastAsia="仿宋_GB2312" w:cs="仿宋"/>
          <w:color w:val="000000"/>
          <w:sz w:val="32"/>
          <w:szCs w:val="32"/>
        </w:rPr>
      </w:pPr>
      <w:r>
        <w:rPr>
          <w:rFonts w:hint="eastAsia" w:ascii="仿宋_GB2312" w:hAnsi="仿宋" w:eastAsia="仿宋_GB2312" w:cs="仿宋"/>
          <w:color w:val="000000"/>
          <w:sz w:val="32"/>
          <w:szCs w:val="32"/>
        </w:rPr>
        <w:t>本部门2020年度无国有资本经营预算财政拨款支出。</w:t>
      </w:r>
    </w:p>
    <w:p w14:paraId="49862168">
      <w:pPr>
        <w:pStyle w:val="6"/>
        <w:shd w:val="clear" w:color="auto" w:fill="FFFFFF"/>
        <w:spacing w:before="0" w:beforeAutospacing="0" w:after="0" w:afterAutospacing="0" w:line="560" w:lineRule="exact"/>
        <w:ind w:firstLine="640" w:firstLineChars="200"/>
        <w:jc w:val="both"/>
        <w:outlineLvl w:val="0"/>
        <w:rPr>
          <w:rStyle w:val="9"/>
          <w:rFonts w:ascii="方正黑体_GBK" w:eastAsia="方正黑体_GBK"/>
        </w:rPr>
      </w:pPr>
      <w:r>
        <w:rPr>
          <w:rStyle w:val="9"/>
          <w:rFonts w:hint="eastAsia" w:ascii="方正黑体_GBK" w:eastAsia="方正黑体_GBK"/>
          <w:b w:val="0"/>
          <w:sz w:val="32"/>
          <w:szCs w:val="32"/>
        </w:rPr>
        <w:t>三、“三公”经费情况说明</w:t>
      </w:r>
    </w:p>
    <w:p w14:paraId="39BC662D">
      <w:pPr>
        <w:pStyle w:val="6"/>
        <w:shd w:val="clear" w:color="auto" w:fill="FFFFFF"/>
        <w:spacing w:before="0" w:beforeAutospacing="0" w:after="0" w:afterAutospacing="0" w:line="560" w:lineRule="exact"/>
        <w:ind w:firstLine="640" w:firstLineChars="200"/>
        <w:jc w:val="both"/>
        <w:outlineLvl w:val="1"/>
        <w:rPr>
          <w:rFonts w:ascii="方正楷体_GBK" w:hAnsi="方正楷体_GBK" w:eastAsia="方正楷体_GBK" w:cs="方正楷体_GBK"/>
          <w:sz w:val="32"/>
          <w:szCs w:val="32"/>
        </w:rPr>
      </w:pPr>
      <w:r>
        <w:rPr>
          <w:rStyle w:val="9"/>
          <w:rFonts w:hint="eastAsia" w:ascii="方正楷体_GBK" w:hAnsi="方正楷体_GBK" w:eastAsia="方正楷体_GBK" w:cs="方正楷体_GBK"/>
          <w:b w:val="0"/>
          <w:bCs w:val="0"/>
          <w:sz w:val="32"/>
          <w:szCs w:val="32"/>
        </w:rPr>
        <w:t>（一）“三公”经费支出总体情况说明</w:t>
      </w:r>
    </w:p>
    <w:p w14:paraId="0BA8AC8F">
      <w:pPr>
        <w:pStyle w:val="6"/>
        <w:widowControl w:val="0"/>
        <w:shd w:val="clear" w:color="auto" w:fill="FFFFFF"/>
        <w:spacing w:before="0" w:beforeAutospacing="0" w:after="0" w:afterAutospacing="0"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2020年度“三公”经费支出共计6.85万元，较年初预算数减少7.65万元，下降52.8%，主要原因是年初预算因公出国（境）费用5万元，实际2020年未发生因公出国（境）费用。较上年支出数减少 4.08万元，下降 37.3%，主要原因：一是认真贯彻落实中央八项规定精神，按照只减不增的要求从严控制“三公”经费，全年实际支出较预算和决算均有所下降。二是严格落实公车使用规定，公车运行维护成本大幅下降。三是进一步规范因公出国（境）活动，今年未安排人员出国出访。</w:t>
      </w:r>
    </w:p>
    <w:p w14:paraId="60F0A61D">
      <w:pPr>
        <w:pStyle w:val="6"/>
        <w:shd w:val="clear" w:color="auto" w:fill="FFFFFF"/>
        <w:spacing w:before="0" w:beforeAutospacing="0" w:after="0" w:afterAutospacing="0" w:line="560" w:lineRule="exact"/>
        <w:ind w:firstLine="640" w:firstLineChars="200"/>
        <w:jc w:val="both"/>
        <w:outlineLvl w:val="1"/>
        <w:rPr>
          <w:rFonts w:ascii="方正楷体_GBK" w:hAnsi="方正楷体_GBK" w:eastAsia="方正楷体_GBK" w:cs="方正楷体_GBK"/>
          <w:sz w:val="32"/>
          <w:szCs w:val="32"/>
        </w:rPr>
      </w:pPr>
      <w:r>
        <w:rPr>
          <w:rStyle w:val="9"/>
          <w:rFonts w:hint="eastAsia" w:ascii="方正楷体_GBK" w:hAnsi="方正楷体_GBK" w:eastAsia="方正楷体_GBK" w:cs="方正楷体_GBK"/>
          <w:b w:val="0"/>
          <w:bCs w:val="0"/>
          <w:sz w:val="32"/>
          <w:szCs w:val="32"/>
        </w:rPr>
        <w:t>（二）“三公”经费分项支出情况</w:t>
      </w:r>
    </w:p>
    <w:p w14:paraId="0B21A145">
      <w:pPr>
        <w:pStyle w:val="6"/>
        <w:shd w:val="clear" w:color="auto" w:fill="FFFFFF"/>
        <w:spacing w:before="0" w:beforeAutospacing="0" w:after="0" w:afterAutospacing="0" w:line="560" w:lineRule="exact"/>
        <w:ind w:firstLine="800" w:firstLineChars="250"/>
        <w:jc w:val="both"/>
        <w:rPr>
          <w:rFonts w:ascii="方正仿宋_GBK" w:eastAsia="方正仿宋_GBK"/>
          <w:bCs/>
          <w:sz w:val="32"/>
          <w:szCs w:val="32"/>
        </w:rPr>
      </w:pPr>
      <w:r>
        <w:rPr>
          <w:rFonts w:hint="eastAsia" w:ascii="方正仿宋_GBK" w:eastAsia="方正仿宋_GBK"/>
          <w:sz w:val="32"/>
          <w:szCs w:val="32"/>
        </w:rPr>
        <w:t>2020年度本部门因公出国（境）费用0万元，未安排人员出国出访。费用支出较年初预算数减少5万元，下降100%。主要原因是未安排人员出国出访，</w:t>
      </w:r>
      <w:r>
        <w:rPr>
          <w:rFonts w:hint="eastAsia" w:ascii="方正仿宋_GBK" w:eastAsia="方正仿宋_GBK"/>
          <w:bCs/>
          <w:sz w:val="32"/>
          <w:szCs w:val="32"/>
        </w:rPr>
        <w:t>与上年决算数相比，基本持平。</w:t>
      </w:r>
    </w:p>
    <w:p w14:paraId="24349BC6">
      <w:pPr>
        <w:pStyle w:val="6"/>
        <w:shd w:val="clear" w:color="auto" w:fill="FFFFFF"/>
        <w:spacing w:before="0" w:beforeAutospacing="0" w:after="0" w:afterAutospacing="0"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公务车购置费0万元，无车辆购置。费用支出较年初预算数增加0万元，增长0%。主要原因是无车辆购置，</w:t>
      </w:r>
      <w:r>
        <w:rPr>
          <w:rFonts w:hint="eastAsia" w:ascii="方正仿宋_GBK" w:eastAsia="方正仿宋_GBK"/>
          <w:bCs/>
          <w:sz w:val="32"/>
          <w:szCs w:val="32"/>
        </w:rPr>
        <w:t>与上年决算数相比，基本持平。</w:t>
      </w:r>
    </w:p>
    <w:p w14:paraId="1148CE41">
      <w:pPr>
        <w:pStyle w:val="6"/>
        <w:shd w:val="clear" w:color="auto" w:fill="FFFFFF"/>
        <w:spacing w:before="0" w:beforeAutospacing="0" w:after="0" w:afterAutospacing="0"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公务车运行维护费2.73万元，主要用于机要文件交换、市内因公出行、财政业务检查等工作所需车辆的燃料费、维修费、过桥过路费、保险费等。费用支出较年初预算数减少 0.77万元，下降 22.0%，主要原因是严格落实公车使用规定，公车运行维护成本有所下降。较上年支出数减少4.87万元，下降64.1%，主要原因是机构改革，2020年公务车保有量下降至1辆，公车运行维护成本下降。</w:t>
      </w:r>
    </w:p>
    <w:p w14:paraId="311D467E">
      <w:pPr>
        <w:pStyle w:val="6"/>
        <w:shd w:val="clear" w:color="auto" w:fill="FFFFFF"/>
        <w:spacing w:before="0" w:beforeAutospacing="0" w:after="0" w:afterAutospacing="0"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公务接待费4.12万元，主要用于商务和招商引资活动接待等支出。费用支出较年初预算数减少1.88万元，下降31.3%，主要原因是受疫情影响商务和招商引资减少，实际比预算量相对减少。较上年支出数增加0.79万元，增长23.7%，主要原因是在区招商接待次数略有增加，费用相应增加。</w:t>
      </w:r>
    </w:p>
    <w:p w14:paraId="4B261010">
      <w:pPr>
        <w:pStyle w:val="6"/>
        <w:shd w:val="clear" w:color="auto" w:fill="FFFFFF"/>
        <w:spacing w:before="0" w:beforeAutospacing="0" w:after="0" w:afterAutospacing="0" w:line="560" w:lineRule="exact"/>
        <w:ind w:firstLine="640" w:firstLineChars="200"/>
        <w:jc w:val="both"/>
        <w:outlineLvl w:val="1"/>
        <w:rPr>
          <w:rFonts w:ascii="方正楷体_GBK" w:hAnsi="方正楷体_GBK" w:eastAsia="方正楷体_GBK" w:cs="方正楷体_GBK"/>
          <w:sz w:val="32"/>
          <w:szCs w:val="32"/>
        </w:rPr>
      </w:pPr>
      <w:r>
        <w:rPr>
          <w:rStyle w:val="9"/>
          <w:rFonts w:hint="eastAsia" w:ascii="方正楷体_GBK" w:hAnsi="方正楷体_GBK" w:eastAsia="方正楷体_GBK" w:cs="方正楷体_GBK"/>
          <w:b w:val="0"/>
          <w:bCs w:val="0"/>
          <w:sz w:val="32"/>
          <w:szCs w:val="32"/>
        </w:rPr>
        <w:t>（三）“三公”经费实物量情况</w:t>
      </w:r>
    </w:p>
    <w:p w14:paraId="0E4309CF">
      <w:pPr>
        <w:pStyle w:val="6"/>
        <w:shd w:val="clear" w:color="auto" w:fill="FFFFFF"/>
        <w:spacing w:before="0" w:beforeAutospacing="0" w:after="0" w:afterAutospacing="0"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2020年度本部门因公出国（境）共计0个团组，0人；公务用车购置0辆，公务车保有量为1辆；国内公务接待55批次560人，其中：国内外事接待0批次，0人；国（境）外公务接待0批次，0人。2020年本部门人均接待费73.52元，车均购置费0万元，车均维护费2.73万元。</w:t>
      </w:r>
    </w:p>
    <w:p w14:paraId="3CDC156E">
      <w:pPr>
        <w:pStyle w:val="6"/>
        <w:shd w:val="clear" w:color="auto" w:fill="FFFFFF"/>
        <w:spacing w:before="0" w:beforeAutospacing="0" w:after="0" w:afterAutospacing="0" w:line="560" w:lineRule="exact"/>
        <w:ind w:firstLine="640" w:firstLineChars="200"/>
        <w:jc w:val="both"/>
        <w:outlineLvl w:val="0"/>
        <w:rPr>
          <w:rStyle w:val="9"/>
        </w:rPr>
      </w:pPr>
      <w:r>
        <w:rPr>
          <w:rStyle w:val="9"/>
          <w:rFonts w:hint="eastAsia" w:ascii="方正黑体_GBK" w:eastAsia="方正黑体_GBK"/>
          <w:b w:val="0"/>
          <w:sz w:val="32"/>
          <w:szCs w:val="32"/>
        </w:rPr>
        <w:t>四、其他需要说明的事项</w:t>
      </w:r>
    </w:p>
    <w:p w14:paraId="622EDE85">
      <w:pPr>
        <w:pStyle w:val="6"/>
        <w:widowControl w:val="0"/>
        <w:shd w:val="clear" w:color="auto" w:fill="FFFFFF"/>
        <w:spacing w:before="0" w:beforeAutospacing="0" w:after="0" w:afterAutospacing="0" w:line="560" w:lineRule="exact"/>
        <w:ind w:firstLine="640" w:firstLineChars="200"/>
        <w:jc w:val="both"/>
        <w:rPr>
          <w:rFonts w:ascii="方正仿宋_GBK" w:eastAsia="方正仿宋_GBK"/>
          <w:sz w:val="32"/>
          <w:szCs w:val="32"/>
        </w:rPr>
      </w:pPr>
      <w:r>
        <w:rPr>
          <w:rStyle w:val="9"/>
          <w:rFonts w:hint="eastAsia" w:ascii="方正楷体_GBK" w:hAnsi="方正楷体_GBK" w:eastAsia="方正楷体_GBK" w:cs="方正楷体_GBK"/>
          <w:b w:val="0"/>
          <w:bCs w:val="0"/>
          <w:sz w:val="32"/>
          <w:szCs w:val="32"/>
        </w:rPr>
        <w:t>（一）机关运行经费情况说明。</w:t>
      </w:r>
      <w:r>
        <w:rPr>
          <w:rFonts w:hint="eastAsia" w:ascii="方正仿宋_GBK" w:eastAsia="方正仿宋_GBK"/>
          <w:sz w:val="32"/>
          <w:szCs w:val="32"/>
        </w:rPr>
        <w:t>2020年度本部门机关运行经费支出200.03万元，机关运行经费主要用于办公费、公务车运行维护费、物业管理费、差旅费、维修（护）费、租赁费、会议费、劳务费、委托业务费、工会经费、其他商品和服务支出等。机关运行经费较上年决算数增加18.84万元，增长10.4%，主要原因是疫情期间，外出检查次数增多，差旅费、办公费用增加，机构运行费用较上年有所增长。</w:t>
      </w:r>
    </w:p>
    <w:p w14:paraId="3B1B920C">
      <w:pPr>
        <w:pStyle w:val="6"/>
        <w:shd w:val="clear" w:color="auto" w:fill="FFFFFF"/>
        <w:spacing w:before="0" w:beforeAutospacing="0" w:after="0" w:afterAutospacing="0"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其中：本年度会议费支出5.5万元，较上年决算数减少6.03万元，减少52.3%，主要原因是受疫情影响，会议次数减少。本年度培训费支出0.31万元，较上年决算数减少1万元，减少76.3%，主要原因是受疫情影响，培训次数减少。</w:t>
      </w:r>
    </w:p>
    <w:p w14:paraId="2BBEA842">
      <w:pPr>
        <w:widowControl w:val="0"/>
        <w:spacing w:line="560" w:lineRule="exact"/>
        <w:ind w:firstLine="640" w:firstLineChars="200"/>
        <w:jc w:val="both"/>
        <w:rPr>
          <w:rFonts w:ascii="方正仿宋_GBK" w:eastAsia="方正仿宋_GBK"/>
          <w:sz w:val="32"/>
          <w:szCs w:val="32"/>
        </w:rPr>
      </w:pPr>
      <w:r>
        <w:rPr>
          <w:rStyle w:val="9"/>
          <w:rFonts w:hint="eastAsia" w:ascii="方正楷体_GBK" w:hAnsi="方正楷体_GBK" w:eastAsia="方正楷体_GBK" w:cs="方正楷体_GBK"/>
          <w:b w:val="0"/>
          <w:bCs w:val="0"/>
          <w:sz w:val="32"/>
          <w:szCs w:val="32"/>
        </w:rPr>
        <w:t>（二）国有资产占用情况说明。</w:t>
      </w:r>
      <w:r>
        <w:rPr>
          <w:rFonts w:hint="eastAsia" w:ascii="方正仿宋_GBK" w:eastAsia="方正仿宋_GBK"/>
          <w:sz w:val="32"/>
          <w:szCs w:val="32"/>
        </w:rPr>
        <w:t>截至2020年12月31日，本部门共有车辆1辆，其中，副部（省）级及以上领导用车0辆、主要领导干部用车0辆、机要通信用车1辆、应急保障用车0辆、执法执勤用车0辆、特种专业技术用车0辆、离退休干部用车0辆、其他用车0辆。单价50万元（含）以上通用设备0台（套）、单价100万元（含）以上专用设备0台（套）。</w:t>
      </w:r>
    </w:p>
    <w:p w14:paraId="4C49B3E8">
      <w:pPr>
        <w:pStyle w:val="6"/>
        <w:shd w:val="clear" w:color="auto" w:fill="FFFFFF"/>
        <w:spacing w:before="0" w:beforeAutospacing="0" w:after="0" w:afterAutospacing="0" w:line="560" w:lineRule="exact"/>
        <w:ind w:firstLine="640" w:firstLineChars="200"/>
        <w:jc w:val="both"/>
        <w:rPr>
          <w:rStyle w:val="9"/>
          <w:rFonts w:ascii="方正楷体_GBK" w:hAnsi="方正楷体_GBK" w:eastAsia="方正楷体_GBK" w:cs="方正楷体_GBK"/>
          <w:b w:val="0"/>
          <w:bCs w:val="0"/>
          <w:sz w:val="32"/>
          <w:szCs w:val="32"/>
        </w:rPr>
      </w:pPr>
      <w:r>
        <w:rPr>
          <w:rStyle w:val="9"/>
          <w:rFonts w:hint="eastAsia" w:ascii="方正楷体_GBK" w:hAnsi="方正楷体_GBK" w:eastAsia="方正楷体_GBK" w:cs="方正楷体_GBK"/>
          <w:b w:val="0"/>
          <w:bCs w:val="0"/>
          <w:sz w:val="32"/>
          <w:szCs w:val="32"/>
        </w:rPr>
        <w:t>（三）政府采购支出情况说明</w:t>
      </w:r>
    </w:p>
    <w:p w14:paraId="4287B382">
      <w:pPr>
        <w:pStyle w:val="6"/>
        <w:shd w:val="clear" w:color="auto" w:fill="FFFFFF"/>
        <w:spacing w:before="0" w:beforeAutospacing="0" w:after="0" w:afterAutospacing="0"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2020年度本部门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6AFE4F1A">
      <w:pPr>
        <w:pStyle w:val="6"/>
        <w:shd w:val="clear" w:color="auto" w:fill="FFFFFF"/>
        <w:spacing w:before="0" w:beforeAutospacing="0" w:after="0" w:afterAutospacing="0" w:line="560" w:lineRule="exact"/>
        <w:ind w:firstLine="640" w:firstLineChars="200"/>
        <w:jc w:val="both"/>
        <w:rPr>
          <w:rStyle w:val="9"/>
          <w:rFonts w:ascii="方正仿宋_GBK" w:eastAsia="方正仿宋_GBK"/>
          <w:sz w:val="32"/>
          <w:szCs w:val="32"/>
        </w:rPr>
      </w:pPr>
      <w:r>
        <w:rPr>
          <w:rFonts w:hint="eastAsia" w:ascii="方正仿宋_GBK" w:eastAsia="方正仿宋_GBK"/>
          <w:sz w:val="32"/>
          <w:szCs w:val="32"/>
        </w:rPr>
        <w:t>2020年度我单位未发生政府采购事项，无相关经费支出。</w:t>
      </w:r>
    </w:p>
    <w:p w14:paraId="392D8039">
      <w:pPr>
        <w:pStyle w:val="6"/>
        <w:shd w:val="clear" w:color="auto" w:fill="FFFFFF"/>
        <w:spacing w:before="0" w:beforeAutospacing="0" w:after="0" w:afterAutospacing="0" w:line="560" w:lineRule="exact"/>
        <w:ind w:firstLine="640" w:firstLineChars="200"/>
        <w:jc w:val="both"/>
        <w:outlineLvl w:val="0"/>
        <w:rPr>
          <w:rStyle w:val="9"/>
          <w:rFonts w:ascii="方正黑体_GBK" w:eastAsia="方正黑体_GBK"/>
          <w:b w:val="0"/>
          <w:bCs w:val="0"/>
        </w:rPr>
      </w:pPr>
      <w:r>
        <w:rPr>
          <w:rStyle w:val="9"/>
          <w:rFonts w:hint="eastAsia" w:ascii="方正黑体_GBK" w:eastAsia="方正黑体_GBK"/>
          <w:b w:val="0"/>
          <w:bCs w:val="0"/>
          <w:sz w:val="32"/>
          <w:szCs w:val="32"/>
        </w:rPr>
        <w:t>五、预算绩效管理情况说明</w:t>
      </w:r>
    </w:p>
    <w:p w14:paraId="219CD437">
      <w:pPr>
        <w:pStyle w:val="13"/>
        <w:tabs>
          <w:tab w:val="center" w:pos="4153"/>
          <w:tab w:val="left" w:pos="7275"/>
        </w:tabs>
        <w:spacing w:line="560" w:lineRule="exact"/>
        <w:ind w:firstLine="640"/>
        <w:rPr>
          <w:rFonts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（一）预算绩效管理工作开展情况</w:t>
      </w:r>
    </w:p>
    <w:p w14:paraId="1885FCBA">
      <w:pPr>
        <w:pStyle w:val="13"/>
        <w:tabs>
          <w:tab w:val="center" w:pos="4153"/>
          <w:tab w:val="left" w:pos="7275"/>
        </w:tabs>
        <w:spacing w:line="560" w:lineRule="exact"/>
        <w:ind w:firstLine="640"/>
        <w:rPr>
          <w:rFonts w:eastAsia="方正仿宋_GBK"/>
          <w:sz w:val="32"/>
          <w:szCs w:val="32"/>
        </w:rPr>
      </w:pPr>
      <w:r>
        <w:rPr>
          <w:rFonts w:hint="eastAsia" w:ascii="方正仿宋_GBK" w:hAnsi="宋体" w:eastAsia="方正仿宋_GBK" w:cs="宋体"/>
          <w:kern w:val="0"/>
          <w:sz w:val="32"/>
          <w:szCs w:val="32"/>
        </w:rPr>
        <w:t>根据预算绩效管理要求，本部门对33个项目开展了绩效自评，以填报目标自评表形式开展自评33项，涉及资金12643.49万元；从评价情况来看，项目资金执行率100%，无占用、虚列、超标准开支的情况。通过多种方式较好的完成了相应绩效目标，一是通过</w:t>
      </w:r>
      <w:r>
        <w:rPr>
          <w:rFonts w:eastAsia="方正仿宋_GBK"/>
          <w:sz w:val="32"/>
          <w:szCs w:val="32"/>
        </w:rPr>
        <w:t>积极组织区内企业参与“春暖花开”“爱尚重庆云享生活”“消费节”</w:t>
      </w:r>
      <w:r>
        <w:rPr>
          <w:rFonts w:hint="eastAsia" w:eastAsia="方正仿宋_GBK"/>
          <w:sz w:val="32"/>
          <w:szCs w:val="32"/>
        </w:rPr>
        <w:t>等</w:t>
      </w:r>
      <w:r>
        <w:rPr>
          <w:rFonts w:eastAsia="方正仿宋_GBK"/>
          <w:sz w:val="32"/>
          <w:szCs w:val="32"/>
        </w:rPr>
        <w:t>活动</w:t>
      </w:r>
      <w:r>
        <w:rPr>
          <w:rFonts w:hint="eastAsia" w:eastAsia="方正仿宋_GBK"/>
          <w:sz w:val="32"/>
          <w:szCs w:val="32"/>
        </w:rPr>
        <w:t>，</w:t>
      </w:r>
      <w:r>
        <w:rPr>
          <w:rFonts w:eastAsia="方正仿宋_GBK"/>
          <w:sz w:val="32"/>
          <w:szCs w:val="32"/>
        </w:rPr>
        <w:t>引导全区大型商业综合体、百余家商贸企业让利促销</w:t>
      </w:r>
      <w:r>
        <w:rPr>
          <w:rFonts w:hint="eastAsia" w:eastAsia="方正仿宋_GBK"/>
          <w:sz w:val="32"/>
          <w:szCs w:val="32"/>
        </w:rPr>
        <w:t>，</w:t>
      </w:r>
      <w:r>
        <w:rPr>
          <w:rFonts w:eastAsia="方正仿宋_GBK"/>
          <w:sz w:val="32"/>
          <w:szCs w:val="32"/>
        </w:rPr>
        <w:t>促进消费逐步回升</w:t>
      </w:r>
      <w:r>
        <w:rPr>
          <w:rFonts w:hint="eastAsia" w:eastAsia="方正仿宋_GBK"/>
          <w:sz w:val="32"/>
          <w:szCs w:val="32"/>
        </w:rPr>
        <w:t>；二是</w:t>
      </w:r>
      <w:r>
        <w:rPr>
          <w:rFonts w:eastAsia="方正仿宋_GBK"/>
          <w:sz w:val="32"/>
          <w:szCs w:val="32"/>
        </w:rPr>
        <w:t>拓展</w:t>
      </w:r>
      <w:r>
        <w:rPr>
          <w:rFonts w:hint="eastAsia" w:eastAsia="方正仿宋_GBK"/>
          <w:sz w:val="32"/>
          <w:szCs w:val="32"/>
        </w:rPr>
        <w:t>外资利用</w:t>
      </w:r>
      <w:r>
        <w:rPr>
          <w:rFonts w:eastAsia="方正仿宋_GBK"/>
          <w:sz w:val="32"/>
          <w:szCs w:val="32"/>
        </w:rPr>
        <w:t>渠道，</w:t>
      </w:r>
      <w:r>
        <w:rPr>
          <w:rFonts w:hint="eastAsia" w:eastAsia="方正仿宋_GBK"/>
          <w:sz w:val="32"/>
          <w:szCs w:val="32"/>
        </w:rPr>
        <w:t>推动</w:t>
      </w:r>
      <w:r>
        <w:rPr>
          <w:rFonts w:eastAsia="方正仿宋_GBK"/>
          <w:sz w:val="32"/>
          <w:szCs w:val="32"/>
        </w:rPr>
        <w:t>协信远创、厚泽小贷等</w:t>
      </w:r>
      <w:r>
        <w:rPr>
          <w:rFonts w:hint="eastAsia" w:eastAsia="方正仿宋_GBK"/>
          <w:sz w:val="32"/>
          <w:szCs w:val="32"/>
        </w:rPr>
        <w:t>外资</w:t>
      </w:r>
      <w:r>
        <w:rPr>
          <w:rFonts w:eastAsia="方正仿宋_GBK"/>
          <w:sz w:val="32"/>
          <w:szCs w:val="32"/>
        </w:rPr>
        <w:t>企业</w:t>
      </w:r>
      <w:r>
        <w:rPr>
          <w:rFonts w:hint="eastAsia" w:eastAsia="方正仿宋_GBK"/>
          <w:sz w:val="32"/>
          <w:szCs w:val="32"/>
        </w:rPr>
        <w:t>增资，</w:t>
      </w:r>
      <w:r>
        <w:rPr>
          <w:rFonts w:eastAsia="方正仿宋_GBK"/>
          <w:sz w:val="32"/>
          <w:szCs w:val="32"/>
        </w:rPr>
        <w:t>着力推动</w:t>
      </w:r>
      <w:r>
        <w:rPr>
          <w:rFonts w:hint="eastAsia" w:eastAsia="方正仿宋_GBK"/>
          <w:sz w:val="32"/>
          <w:szCs w:val="32"/>
        </w:rPr>
        <w:t>开放型经济发展；三是制定一</w:t>
      </w:r>
      <w:r>
        <w:rPr>
          <w:rFonts w:eastAsia="方正仿宋_GBK"/>
          <w:sz w:val="32"/>
          <w:szCs w:val="32"/>
        </w:rPr>
        <w:t>系列措施，帮助企业</w:t>
      </w:r>
      <w:r>
        <w:rPr>
          <w:rFonts w:hint="eastAsia" w:eastAsia="方正仿宋_GBK"/>
          <w:sz w:val="32"/>
          <w:szCs w:val="32"/>
        </w:rPr>
        <w:t>渡过</w:t>
      </w:r>
      <w:r>
        <w:rPr>
          <w:rFonts w:eastAsia="方正仿宋_GBK"/>
          <w:sz w:val="32"/>
          <w:szCs w:val="32"/>
        </w:rPr>
        <w:t>难关，</w:t>
      </w:r>
      <w:r>
        <w:rPr>
          <w:rFonts w:hint="eastAsia" w:eastAsia="方正仿宋_GBK"/>
          <w:sz w:val="32"/>
          <w:szCs w:val="32"/>
        </w:rPr>
        <w:t>及时向受灾</w:t>
      </w:r>
      <w:r>
        <w:rPr>
          <w:rFonts w:eastAsia="方正仿宋_GBK"/>
          <w:sz w:val="32"/>
          <w:szCs w:val="32"/>
        </w:rPr>
        <w:t>企业</w:t>
      </w:r>
      <w:r>
        <w:rPr>
          <w:rFonts w:hint="eastAsia" w:eastAsia="方正仿宋_GBK"/>
          <w:sz w:val="32"/>
          <w:szCs w:val="32"/>
        </w:rPr>
        <w:t>发放恢复</w:t>
      </w:r>
      <w:r>
        <w:rPr>
          <w:rFonts w:eastAsia="方正仿宋_GBK"/>
          <w:sz w:val="32"/>
          <w:szCs w:val="32"/>
        </w:rPr>
        <w:t>重建补助</w:t>
      </w:r>
      <w:r>
        <w:rPr>
          <w:rFonts w:hint="eastAsia" w:eastAsia="方正仿宋_GBK"/>
          <w:sz w:val="32"/>
          <w:szCs w:val="32"/>
        </w:rPr>
        <w:t>资金，让企业尽快恢复生产工作，积极支持企业健康稳定发展；四是</w:t>
      </w:r>
      <w:r>
        <w:rPr>
          <w:rFonts w:eastAsia="方正仿宋_GBK"/>
          <w:sz w:val="32"/>
          <w:szCs w:val="32"/>
        </w:rPr>
        <w:t>按照“党委领导、政府推动和市场主导”的原则和“改造一批、转型一批、关闭一批”的总体思路，</w:t>
      </w:r>
      <w:r>
        <w:rPr>
          <w:rFonts w:hint="eastAsia" w:eastAsia="方正仿宋_GBK"/>
          <w:sz w:val="32"/>
          <w:szCs w:val="32"/>
        </w:rPr>
        <w:t>投入大量资金，促进农贸市场业主方和管理方积极开展综合整治；五是全力做好疫情防控工作，</w:t>
      </w:r>
      <w:r>
        <w:rPr>
          <w:rFonts w:eastAsia="方正仿宋_GBK"/>
          <w:sz w:val="32"/>
          <w:szCs w:val="32"/>
        </w:rPr>
        <w:t>联合区市场监管局及属地镇街成立5个专项巡查小组，实施重点区域疫情防控分组包片负责制，督促各市场主体落实“</w:t>
      </w:r>
      <w:r>
        <w:rPr>
          <w:rFonts w:hint="eastAsia" w:eastAsia="方正仿宋_GBK"/>
          <w:sz w:val="32"/>
          <w:szCs w:val="32"/>
        </w:rPr>
        <w:t>五</w:t>
      </w:r>
      <w:r>
        <w:rPr>
          <w:rFonts w:eastAsia="方正仿宋_GBK"/>
          <w:sz w:val="32"/>
          <w:szCs w:val="32"/>
        </w:rPr>
        <w:t>有</w:t>
      </w:r>
      <w:r>
        <w:rPr>
          <w:rFonts w:hint="eastAsia" w:eastAsia="方正仿宋_GBK"/>
          <w:sz w:val="32"/>
          <w:szCs w:val="32"/>
        </w:rPr>
        <w:t>一网络</w:t>
      </w:r>
      <w:r>
        <w:rPr>
          <w:rFonts w:eastAsia="方正仿宋_GBK"/>
          <w:sz w:val="32"/>
          <w:szCs w:val="32"/>
        </w:rPr>
        <w:t>”等疫</w:t>
      </w:r>
      <w:r>
        <w:rPr>
          <w:rFonts w:hint="eastAsia" w:eastAsia="方正仿宋_GBK"/>
          <w:sz w:val="32"/>
          <w:szCs w:val="32"/>
        </w:rPr>
        <w:t>情防控</w:t>
      </w:r>
      <w:r>
        <w:rPr>
          <w:rFonts w:eastAsia="方正仿宋_GBK"/>
          <w:sz w:val="32"/>
          <w:szCs w:val="32"/>
        </w:rPr>
        <w:t>措施</w:t>
      </w:r>
      <w:r>
        <w:rPr>
          <w:rFonts w:hint="eastAsia" w:eastAsia="方正仿宋_GBK"/>
          <w:sz w:val="32"/>
          <w:szCs w:val="32"/>
        </w:rPr>
        <w:t>，确保各市场主体疫情防控的各项措施落到实处。</w:t>
      </w:r>
    </w:p>
    <w:p w14:paraId="673D2EA1">
      <w:pPr>
        <w:pStyle w:val="13"/>
        <w:tabs>
          <w:tab w:val="center" w:pos="4153"/>
          <w:tab w:val="left" w:pos="7275"/>
        </w:tabs>
        <w:spacing w:line="560" w:lineRule="exact"/>
        <w:ind w:firstLine="640"/>
        <w:rPr>
          <w:rFonts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（二）绩效自评结果</w:t>
      </w:r>
    </w:p>
    <w:p w14:paraId="3132C622">
      <w:pPr>
        <w:autoSpaceDN w:val="0"/>
        <w:spacing w:line="594" w:lineRule="exact"/>
        <w:ind w:firstLine="643" w:firstLineChars="200"/>
        <w:rPr>
          <w:rFonts w:ascii="方正仿宋_GBK" w:eastAsia="方正仿宋_GBK"/>
          <w:b/>
          <w:bCs/>
          <w:color w:val="FF0000"/>
          <w:sz w:val="32"/>
          <w:szCs w:val="32"/>
        </w:rPr>
      </w:pPr>
      <w:r>
        <w:rPr>
          <w:rFonts w:hint="eastAsia" w:ascii="方正仿宋_GBK" w:eastAsia="方正仿宋_GBK"/>
          <w:b/>
          <w:sz w:val="32"/>
          <w:szCs w:val="32"/>
        </w:rPr>
        <w:t>绩效自评表</w:t>
      </w:r>
    </w:p>
    <w:tbl>
      <w:tblPr>
        <w:tblStyle w:val="7"/>
        <w:tblW w:w="8521" w:type="dxa"/>
        <w:jc w:val="center"/>
        <w:tblLayout w:type="fixed"/>
        <w:tblCellMar>
          <w:top w:w="0" w:type="dxa"/>
          <w:left w:w="108" w:type="dxa"/>
          <w:bottom w:w="0" w:type="dxa"/>
          <w:right w:w="108" w:type="dxa"/>
        </w:tblCellMar>
      </w:tblPr>
      <w:tblGrid>
        <w:gridCol w:w="634"/>
        <w:gridCol w:w="971"/>
        <w:gridCol w:w="764"/>
        <w:gridCol w:w="611"/>
        <w:gridCol w:w="676"/>
        <w:gridCol w:w="593"/>
        <w:gridCol w:w="694"/>
        <w:gridCol w:w="698"/>
        <w:gridCol w:w="459"/>
        <w:gridCol w:w="221"/>
        <w:gridCol w:w="510"/>
        <w:gridCol w:w="306"/>
        <w:gridCol w:w="297"/>
        <w:gridCol w:w="586"/>
        <w:gridCol w:w="501"/>
      </w:tblGrid>
      <w:tr w14:paraId="6F856102">
        <w:tblPrEx>
          <w:tblCellMar>
            <w:top w:w="0" w:type="dxa"/>
            <w:left w:w="108" w:type="dxa"/>
            <w:bottom w:w="0" w:type="dxa"/>
            <w:right w:w="108" w:type="dxa"/>
          </w:tblCellMar>
        </w:tblPrEx>
        <w:trPr>
          <w:trHeight w:val="601" w:hRule="atLeast"/>
          <w:jc w:val="center"/>
        </w:trPr>
        <w:tc>
          <w:tcPr>
            <w:tcW w:w="8521" w:type="dxa"/>
            <w:gridSpan w:val="15"/>
            <w:tcBorders>
              <w:top w:val="nil"/>
              <w:left w:val="nil"/>
              <w:bottom w:val="nil"/>
              <w:right w:val="nil"/>
            </w:tcBorders>
            <w:shd w:val="clear" w:color="auto" w:fill="auto"/>
            <w:vAlign w:val="center"/>
          </w:tcPr>
          <w:p w14:paraId="03E7D28F">
            <w:pPr>
              <w:autoSpaceDN w:val="0"/>
              <w:jc w:val="center"/>
              <w:rPr>
                <w:rFonts w:ascii="方正小标宋_GBK" w:hAnsi="Calibri" w:eastAsia="方正小标宋_GBK"/>
                <w:color w:val="000000"/>
                <w:sz w:val="36"/>
                <w:szCs w:val="36"/>
              </w:rPr>
            </w:pPr>
            <w:r>
              <w:rPr>
                <w:rFonts w:hint="eastAsia" w:ascii="方正小标宋_GBK" w:eastAsia="方正小标宋_GBK"/>
                <w:color w:val="000000"/>
                <w:sz w:val="36"/>
                <w:szCs w:val="36"/>
              </w:rPr>
              <w:t>绩效自评表</w:t>
            </w:r>
          </w:p>
        </w:tc>
      </w:tr>
      <w:tr w14:paraId="38868923">
        <w:tblPrEx>
          <w:tblCellMar>
            <w:top w:w="0" w:type="dxa"/>
            <w:left w:w="108" w:type="dxa"/>
            <w:bottom w:w="0" w:type="dxa"/>
            <w:right w:w="108" w:type="dxa"/>
          </w:tblCellMar>
        </w:tblPrEx>
        <w:trPr>
          <w:trHeight w:val="601" w:hRule="atLeast"/>
          <w:jc w:val="center"/>
        </w:trPr>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6AE7783E">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项目名称</w:t>
            </w:r>
          </w:p>
        </w:tc>
        <w:tc>
          <w:tcPr>
            <w:tcW w:w="1735" w:type="dxa"/>
            <w:gridSpan w:val="2"/>
            <w:tcBorders>
              <w:top w:val="single" w:color="auto" w:sz="4" w:space="0"/>
              <w:left w:val="nil"/>
              <w:bottom w:val="single" w:color="auto" w:sz="4" w:space="0"/>
              <w:right w:val="single" w:color="000000" w:sz="4" w:space="0"/>
            </w:tcBorders>
            <w:shd w:val="clear" w:color="auto" w:fill="auto"/>
            <w:vAlign w:val="center"/>
          </w:tcPr>
          <w:p w14:paraId="4CFCDFBA">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进口博览会参展补贴</w:t>
            </w:r>
          </w:p>
        </w:tc>
        <w:tc>
          <w:tcPr>
            <w:tcW w:w="611" w:type="dxa"/>
            <w:tcBorders>
              <w:top w:val="single" w:color="auto" w:sz="4" w:space="0"/>
              <w:left w:val="nil"/>
              <w:bottom w:val="single" w:color="auto" w:sz="4" w:space="0"/>
              <w:right w:val="single" w:color="auto" w:sz="4" w:space="0"/>
            </w:tcBorders>
            <w:shd w:val="clear" w:color="auto" w:fill="auto"/>
            <w:vAlign w:val="center"/>
          </w:tcPr>
          <w:p w14:paraId="1C1FD07E">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项目编码</w:t>
            </w:r>
          </w:p>
        </w:tc>
        <w:tc>
          <w:tcPr>
            <w:tcW w:w="1269" w:type="dxa"/>
            <w:gridSpan w:val="2"/>
            <w:tcBorders>
              <w:top w:val="single" w:color="auto" w:sz="4" w:space="0"/>
              <w:left w:val="nil"/>
              <w:bottom w:val="single" w:color="auto" w:sz="4" w:space="0"/>
              <w:right w:val="single" w:color="000000" w:sz="4" w:space="0"/>
            </w:tcBorders>
            <w:shd w:val="clear" w:color="auto" w:fill="auto"/>
            <w:vAlign w:val="center"/>
          </w:tcPr>
          <w:p w14:paraId="0B8E3729">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2020B1031</w:t>
            </w:r>
          </w:p>
        </w:tc>
        <w:tc>
          <w:tcPr>
            <w:tcW w:w="1392" w:type="dxa"/>
            <w:gridSpan w:val="2"/>
            <w:tcBorders>
              <w:top w:val="single" w:color="auto" w:sz="4" w:space="0"/>
              <w:left w:val="nil"/>
              <w:bottom w:val="single" w:color="auto" w:sz="4" w:space="0"/>
              <w:right w:val="single" w:color="auto" w:sz="4" w:space="0"/>
            </w:tcBorders>
            <w:shd w:val="clear" w:color="auto" w:fill="auto"/>
            <w:vAlign w:val="center"/>
          </w:tcPr>
          <w:p w14:paraId="69E6DB03">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自评总分</w:t>
            </w:r>
          </w:p>
          <w:p w14:paraId="586CE7FE">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（分）</w:t>
            </w:r>
          </w:p>
        </w:tc>
        <w:tc>
          <w:tcPr>
            <w:tcW w:w="2880" w:type="dxa"/>
            <w:gridSpan w:val="7"/>
            <w:tcBorders>
              <w:top w:val="single" w:color="auto" w:sz="4" w:space="0"/>
              <w:left w:val="nil"/>
              <w:bottom w:val="single" w:color="auto" w:sz="4" w:space="0"/>
              <w:right w:val="single" w:color="000000" w:sz="4" w:space="0"/>
            </w:tcBorders>
            <w:shd w:val="clear" w:color="auto" w:fill="auto"/>
            <w:vAlign w:val="center"/>
          </w:tcPr>
          <w:p w14:paraId="650CD64F">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100</w:t>
            </w:r>
          </w:p>
        </w:tc>
      </w:tr>
      <w:tr w14:paraId="39215661">
        <w:tblPrEx>
          <w:tblCellMar>
            <w:top w:w="0" w:type="dxa"/>
            <w:left w:w="108" w:type="dxa"/>
            <w:bottom w:w="0" w:type="dxa"/>
            <w:right w:w="108" w:type="dxa"/>
          </w:tblCellMar>
        </w:tblPrEx>
        <w:trPr>
          <w:trHeight w:val="601" w:hRule="atLeast"/>
          <w:jc w:val="center"/>
        </w:trPr>
        <w:tc>
          <w:tcPr>
            <w:tcW w:w="634" w:type="dxa"/>
            <w:tcBorders>
              <w:top w:val="nil"/>
              <w:left w:val="single" w:color="auto" w:sz="4" w:space="0"/>
              <w:bottom w:val="single" w:color="auto" w:sz="4" w:space="0"/>
              <w:right w:val="single" w:color="auto" w:sz="4" w:space="0"/>
            </w:tcBorders>
            <w:shd w:val="clear" w:color="auto" w:fill="auto"/>
            <w:vAlign w:val="center"/>
          </w:tcPr>
          <w:p w14:paraId="1C47E7E5">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主管部门</w:t>
            </w:r>
          </w:p>
        </w:tc>
        <w:tc>
          <w:tcPr>
            <w:tcW w:w="1735" w:type="dxa"/>
            <w:gridSpan w:val="2"/>
            <w:tcBorders>
              <w:top w:val="single" w:color="auto" w:sz="4" w:space="0"/>
              <w:left w:val="nil"/>
              <w:bottom w:val="single" w:color="auto" w:sz="4" w:space="0"/>
              <w:right w:val="single" w:color="000000" w:sz="4" w:space="0"/>
            </w:tcBorders>
            <w:shd w:val="clear" w:color="auto" w:fill="auto"/>
            <w:vAlign w:val="center"/>
          </w:tcPr>
          <w:p w14:paraId="0D98106A">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重庆市南岸区商务委员会</w:t>
            </w:r>
          </w:p>
        </w:tc>
        <w:tc>
          <w:tcPr>
            <w:tcW w:w="611" w:type="dxa"/>
            <w:tcBorders>
              <w:top w:val="nil"/>
              <w:left w:val="nil"/>
              <w:bottom w:val="single" w:color="auto" w:sz="4" w:space="0"/>
              <w:right w:val="single" w:color="auto" w:sz="4" w:space="0"/>
            </w:tcBorders>
            <w:shd w:val="clear" w:color="auto" w:fill="auto"/>
            <w:vAlign w:val="center"/>
          </w:tcPr>
          <w:p w14:paraId="1DBA6C48">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财政处室</w:t>
            </w:r>
          </w:p>
        </w:tc>
        <w:tc>
          <w:tcPr>
            <w:tcW w:w="1269" w:type="dxa"/>
            <w:gridSpan w:val="2"/>
            <w:tcBorders>
              <w:top w:val="single" w:color="auto" w:sz="4" w:space="0"/>
              <w:left w:val="nil"/>
              <w:bottom w:val="single" w:color="auto" w:sz="4" w:space="0"/>
              <w:right w:val="single" w:color="000000" w:sz="4" w:space="0"/>
            </w:tcBorders>
            <w:shd w:val="clear" w:color="auto" w:fill="auto"/>
            <w:vAlign w:val="center"/>
          </w:tcPr>
          <w:p w14:paraId="13D8BB5C">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企业科</w:t>
            </w:r>
          </w:p>
        </w:tc>
        <w:tc>
          <w:tcPr>
            <w:tcW w:w="1392" w:type="dxa"/>
            <w:gridSpan w:val="2"/>
            <w:tcBorders>
              <w:top w:val="nil"/>
              <w:left w:val="nil"/>
              <w:bottom w:val="single" w:color="auto" w:sz="4" w:space="0"/>
              <w:right w:val="single" w:color="auto" w:sz="4" w:space="0"/>
            </w:tcBorders>
            <w:shd w:val="clear" w:color="auto" w:fill="auto"/>
            <w:vAlign w:val="center"/>
          </w:tcPr>
          <w:p w14:paraId="7C986A8C">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项目</w:t>
            </w:r>
          </w:p>
          <w:p w14:paraId="7E3C6A8D">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联系人</w:t>
            </w:r>
          </w:p>
        </w:tc>
        <w:tc>
          <w:tcPr>
            <w:tcW w:w="680" w:type="dxa"/>
            <w:gridSpan w:val="2"/>
            <w:tcBorders>
              <w:top w:val="nil"/>
              <w:left w:val="nil"/>
              <w:bottom w:val="single" w:color="auto" w:sz="4" w:space="0"/>
              <w:right w:val="single" w:color="auto" w:sz="4" w:space="0"/>
            </w:tcBorders>
            <w:shd w:val="clear" w:color="auto" w:fill="auto"/>
            <w:vAlign w:val="center"/>
          </w:tcPr>
          <w:p w14:paraId="6ED0A06D">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彭莉</w:t>
            </w:r>
          </w:p>
        </w:tc>
        <w:tc>
          <w:tcPr>
            <w:tcW w:w="816" w:type="dxa"/>
            <w:gridSpan w:val="2"/>
            <w:tcBorders>
              <w:top w:val="nil"/>
              <w:left w:val="nil"/>
              <w:bottom w:val="single" w:color="auto" w:sz="4" w:space="0"/>
              <w:right w:val="single" w:color="auto" w:sz="4" w:space="0"/>
            </w:tcBorders>
            <w:shd w:val="clear" w:color="auto" w:fill="auto"/>
            <w:vAlign w:val="center"/>
          </w:tcPr>
          <w:p w14:paraId="54A76384">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联系电话</w:t>
            </w:r>
          </w:p>
        </w:tc>
        <w:tc>
          <w:tcPr>
            <w:tcW w:w="1384" w:type="dxa"/>
            <w:gridSpan w:val="3"/>
            <w:tcBorders>
              <w:top w:val="single" w:color="auto" w:sz="4" w:space="0"/>
              <w:left w:val="nil"/>
              <w:bottom w:val="single" w:color="auto" w:sz="4" w:space="0"/>
              <w:right w:val="single" w:color="000000" w:sz="4" w:space="0"/>
            </w:tcBorders>
            <w:shd w:val="clear" w:color="auto" w:fill="auto"/>
            <w:vAlign w:val="center"/>
          </w:tcPr>
          <w:p w14:paraId="34A1AAC7">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62801157</w:t>
            </w:r>
          </w:p>
        </w:tc>
      </w:tr>
      <w:tr w14:paraId="4F00E305">
        <w:tblPrEx>
          <w:tblCellMar>
            <w:top w:w="0" w:type="dxa"/>
            <w:left w:w="108" w:type="dxa"/>
            <w:bottom w:w="0" w:type="dxa"/>
            <w:right w:w="108" w:type="dxa"/>
          </w:tblCellMar>
        </w:tblPrEx>
        <w:trPr>
          <w:cantSplit/>
          <w:trHeight w:val="601" w:hRule="atLeast"/>
          <w:jc w:val="center"/>
        </w:trPr>
        <w:tc>
          <w:tcPr>
            <w:tcW w:w="634" w:type="dxa"/>
            <w:vMerge w:val="restart"/>
            <w:tcBorders>
              <w:top w:val="nil"/>
              <w:left w:val="single" w:color="auto" w:sz="4" w:space="0"/>
              <w:bottom w:val="single" w:color="auto" w:sz="4" w:space="0"/>
              <w:right w:val="single" w:color="auto" w:sz="4" w:space="0"/>
            </w:tcBorders>
            <w:shd w:val="clear" w:color="auto" w:fill="auto"/>
            <w:vAlign w:val="center"/>
          </w:tcPr>
          <w:p w14:paraId="4EFBA905">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项目资金（万元）</w:t>
            </w:r>
          </w:p>
        </w:tc>
        <w:tc>
          <w:tcPr>
            <w:tcW w:w="971" w:type="dxa"/>
            <w:tcBorders>
              <w:top w:val="nil"/>
              <w:left w:val="nil"/>
              <w:bottom w:val="single" w:color="auto" w:sz="4" w:space="0"/>
              <w:right w:val="nil"/>
            </w:tcBorders>
            <w:shd w:val="clear" w:color="auto" w:fill="auto"/>
            <w:vAlign w:val="center"/>
          </w:tcPr>
          <w:p w14:paraId="2790003B">
            <w:pPr>
              <w:autoSpaceDN w:val="0"/>
              <w:jc w:val="center"/>
              <w:rPr>
                <w:rFonts w:ascii="方正仿宋_GBK" w:hAnsi="Calibri" w:eastAsia="方正仿宋_GBK"/>
                <w:color w:val="000000"/>
                <w:sz w:val="18"/>
                <w:szCs w:val="18"/>
              </w:rPr>
            </w:pPr>
          </w:p>
        </w:tc>
        <w:tc>
          <w:tcPr>
            <w:tcW w:w="1375"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5A65A1FC">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年初预算数</w:t>
            </w:r>
          </w:p>
        </w:tc>
        <w:tc>
          <w:tcPr>
            <w:tcW w:w="1269" w:type="dxa"/>
            <w:gridSpan w:val="2"/>
            <w:tcBorders>
              <w:top w:val="single" w:color="auto" w:sz="4" w:space="0"/>
              <w:left w:val="nil"/>
              <w:bottom w:val="single" w:color="auto" w:sz="4" w:space="0"/>
              <w:right w:val="single" w:color="auto" w:sz="4" w:space="0"/>
            </w:tcBorders>
            <w:shd w:val="clear" w:color="auto" w:fill="auto"/>
            <w:vAlign w:val="center"/>
          </w:tcPr>
          <w:p w14:paraId="0804367D">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全年（调整）预算数</w:t>
            </w:r>
          </w:p>
        </w:tc>
        <w:tc>
          <w:tcPr>
            <w:tcW w:w="1392" w:type="dxa"/>
            <w:gridSpan w:val="2"/>
            <w:tcBorders>
              <w:top w:val="single" w:color="auto" w:sz="4" w:space="0"/>
              <w:left w:val="nil"/>
              <w:bottom w:val="single" w:color="auto" w:sz="4" w:space="0"/>
              <w:right w:val="single" w:color="auto" w:sz="4" w:space="0"/>
            </w:tcBorders>
            <w:shd w:val="clear" w:color="auto" w:fill="auto"/>
            <w:vAlign w:val="center"/>
          </w:tcPr>
          <w:p w14:paraId="24AB0924">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全年执行数</w:t>
            </w:r>
          </w:p>
        </w:tc>
        <w:tc>
          <w:tcPr>
            <w:tcW w:w="680" w:type="dxa"/>
            <w:gridSpan w:val="2"/>
            <w:tcBorders>
              <w:top w:val="nil"/>
              <w:left w:val="nil"/>
              <w:bottom w:val="single" w:color="auto" w:sz="4" w:space="0"/>
              <w:right w:val="single" w:color="auto" w:sz="4" w:space="0"/>
            </w:tcBorders>
            <w:shd w:val="clear" w:color="auto" w:fill="auto"/>
            <w:vAlign w:val="center"/>
          </w:tcPr>
          <w:p w14:paraId="508A789A">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执行率</w:t>
            </w:r>
          </w:p>
          <w:p w14:paraId="6B419392">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w:t>
            </w:r>
          </w:p>
        </w:tc>
        <w:tc>
          <w:tcPr>
            <w:tcW w:w="816" w:type="dxa"/>
            <w:gridSpan w:val="2"/>
            <w:tcBorders>
              <w:top w:val="nil"/>
              <w:left w:val="nil"/>
              <w:bottom w:val="single" w:color="auto" w:sz="4" w:space="0"/>
              <w:right w:val="single" w:color="auto" w:sz="4" w:space="0"/>
            </w:tcBorders>
            <w:shd w:val="clear" w:color="auto" w:fill="auto"/>
            <w:vAlign w:val="center"/>
          </w:tcPr>
          <w:p w14:paraId="4DC729E5">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执行率</w:t>
            </w:r>
          </w:p>
          <w:p w14:paraId="6C9F18B8">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权重</w:t>
            </w:r>
          </w:p>
        </w:tc>
        <w:tc>
          <w:tcPr>
            <w:tcW w:w="1384" w:type="dxa"/>
            <w:gridSpan w:val="3"/>
            <w:tcBorders>
              <w:top w:val="nil"/>
              <w:left w:val="nil"/>
              <w:bottom w:val="single" w:color="auto" w:sz="4" w:space="0"/>
              <w:right w:val="single" w:color="auto" w:sz="4" w:space="0"/>
            </w:tcBorders>
            <w:shd w:val="clear" w:color="auto" w:fill="auto"/>
            <w:vAlign w:val="center"/>
          </w:tcPr>
          <w:p w14:paraId="2E844594">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执行率得分</w:t>
            </w:r>
          </w:p>
          <w:p w14:paraId="236E06A0">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（分）</w:t>
            </w:r>
          </w:p>
        </w:tc>
      </w:tr>
      <w:tr w14:paraId="45BA9E9B">
        <w:tblPrEx>
          <w:tblCellMar>
            <w:top w:w="0" w:type="dxa"/>
            <w:left w:w="108" w:type="dxa"/>
            <w:bottom w:w="0" w:type="dxa"/>
            <w:right w:w="108" w:type="dxa"/>
          </w:tblCellMar>
        </w:tblPrEx>
        <w:trPr>
          <w:cantSplit/>
          <w:trHeight w:val="459" w:hRule="atLeast"/>
          <w:jc w:val="center"/>
        </w:trPr>
        <w:tc>
          <w:tcPr>
            <w:tcW w:w="634" w:type="dxa"/>
            <w:vMerge w:val="continue"/>
            <w:tcBorders>
              <w:top w:val="nil"/>
              <w:left w:val="single" w:color="auto" w:sz="4" w:space="0"/>
              <w:bottom w:val="single" w:color="auto" w:sz="4" w:space="0"/>
              <w:right w:val="single" w:color="auto" w:sz="4" w:space="0"/>
            </w:tcBorders>
            <w:vAlign w:val="center"/>
          </w:tcPr>
          <w:p w14:paraId="701207D0">
            <w:pPr>
              <w:jc w:val="center"/>
              <w:rPr>
                <w:rFonts w:ascii="方正仿宋_GBK" w:hAnsi="Calibri" w:eastAsia="方正仿宋_GBK"/>
                <w:color w:val="000000"/>
                <w:sz w:val="18"/>
                <w:szCs w:val="18"/>
              </w:rPr>
            </w:pPr>
          </w:p>
        </w:tc>
        <w:tc>
          <w:tcPr>
            <w:tcW w:w="971" w:type="dxa"/>
            <w:tcBorders>
              <w:top w:val="nil"/>
              <w:left w:val="nil"/>
              <w:bottom w:val="single" w:color="auto" w:sz="4" w:space="0"/>
              <w:right w:val="nil"/>
            </w:tcBorders>
            <w:shd w:val="clear" w:color="auto" w:fill="auto"/>
            <w:vAlign w:val="center"/>
          </w:tcPr>
          <w:p w14:paraId="7EC29DF6">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年度总金额</w:t>
            </w:r>
          </w:p>
        </w:tc>
        <w:tc>
          <w:tcPr>
            <w:tcW w:w="1375"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0B32D9AF">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30</w:t>
            </w:r>
          </w:p>
        </w:tc>
        <w:tc>
          <w:tcPr>
            <w:tcW w:w="1269" w:type="dxa"/>
            <w:gridSpan w:val="2"/>
            <w:tcBorders>
              <w:top w:val="single" w:color="auto" w:sz="4" w:space="0"/>
              <w:left w:val="nil"/>
              <w:bottom w:val="single" w:color="auto" w:sz="4" w:space="0"/>
              <w:right w:val="single" w:color="auto" w:sz="4" w:space="0"/>
            </w:tcBorders>
            <w:shd w:val="clear" w:color="auto" w:fill="auto"/>
            <w:vAlign w:val="center"/>
          </w:tcPr>
          <w:p w14:paraId="38D5D708">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30</w:t>
            </w:r>
          </w:p>
        </w:tc>
        <w:tc>
          <w:tcPr>
            <w:tcW w:w="1392" w:type="dxa"/>
            <w:gridSpan w:val="2"/>
            <w:tcBorders>
              <w:top w:val="single" w:color="auto" w:sz="4" w:space="0"/>
              <w:left w:val="nil"/>
              <w:bottom w:val="single" w:color="auto" w:sz="4" w:space="0"/>
              <w:right w:val="single" w:color="auto" w:sz="4" w:space="0"/>
            </w:tcBorders>
            <w:shd w:val="clear" w:color="auto" w:fill="auto"/>
            <w:vAlign w:val="center"/>
          </w:tcPr>
          <w:p w14:paraId="7EA71A2E">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30</w:t>
            </w:r>
          </w:p>
        </w:tc>
        <w:tc>
          <w:tcPr>
            <w:tcW w:w="680" w:type="dxa"/>
            <w:gridSpan w:val="2"/>
            <w:tcBorders>
              <w:top w:val="nil"/>
              <w:left w:val="nil"/>
              <w:bottom w:val="single" w:color="auto" w:sz="4" w:space="0"/>
              <w:right w:val="single" w:color="auto" w:sz="4" w:space="0"/>
            </w:tcBorders>
            <w:shd w:val="clear" w:color="auto" w:fill="auto"/>
            <w:vAlign w:val="center"/>
          </w:tcPr>
          <w:p w14:paraId="6BA45377">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100</w:t>
            </w:r>
          </w:p>
        </w:tc>
        <w:tc>
          <w:tcPr>
            <w:tcW w:w="816" w:type="dxa"/>
            <w:gridSpan w:val="2"/>
            <w:tcBorders>
              <w:top w:val="nil"/>
              <w:left w:val="nil"/>
              <w:bottom w:val="single" w:color="auto" w:sz="4" w:space="0"/>
              <w:right w:val="single" w:color="auto" w:sz="4" w:space="0"/>
            </w:tcBorders>
            <w:shd w:val="clear" w:color="auto" w:fill="auto"/>
            <w:vAlign w:val="center"/>
          </w:tcPr>
          <w:p w14:paraId="1A22E6B5">
            <w:pPr>
              <w:autoSpaceDN w:val="0"/>
              <w:jc w:val="center"/>
              <w:rPr>
                <w:rFonts w:ascii="方正仿宋_GBK" w:hAnsi="Calibri" w:eastAsia="方正仿宋_GBK"/>
                <w:sz w:val="18"/>
                <w:szCs w:val="18"/>
              </w:rPr>
            </w:pPr>
            <w:r>
              <w:rPr>
                <w:rFonts w:hint="eastAsia" w:ascii="方正仿宋_GBK" w:eastAsia="方正仿宋_GBK"/>
                <w:sz w:val="18"/>
                <w:szCs w:val="18"/>
              </w:rPr>
              <w:t>10</w:t>
            </w:r>
          </w:p>
        </w:tc>
        <w:tc>
          <w:tcPr>
            <w:tcW w:w="1384" w:type="dxa"/>
            <w:gridSpan w:val="3"/>
            <w:tcBorders>
              <w:top w:val="nil"/>
              <w:left w:val="nil"/>
              <w:bottom w:val="single" w:color="auto" w:sz="4" w:space="0"/>
              <w:right w:val="single" w:color="auto" w:sz="4" w:space="0"/>
            </w:tcBorders>
            <w:shd w:val="clear" w:color="auto" w:fill="auto"/>
            <w:vAlign w:val="center"/>
          </w:tcPr>
          <w:p w14:paraId="47F96593">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10</w:t>
            </w:r>
          </w:p>
        </w:tc>
      </w:tr>
      <w:tr w14:paraId="62E15764">
        <w:tblPrEx>
          <w:tblCellMar>
            <w:top w:w="0" w:type="dxa"/>
            <w:left w:w="108" w:type="dxa"/>
            <w:bottom w:w="0" w:type="dxa"/>
            <w:right w:w="108" w:type="dxa"/>
          </w:tblCellMar>
        </w:tblPrEx>
        <w:trPr>
          <w:cantSplit/>
          <w:trHeight w:val="693" w:hRule="atLeast"/>
          <w:jc w:val="center"/>
        </w:trPr>
        <w:tc>
          <w:tcPr>
            <w:tcW w:w="634" w:type="dxa"/>
            <w:vMerge w:val="continue"/>
            <w:tcBorders>
              <w:top w:val="nil"/>
              <w:left w:val="single" w:color="auto" w:sz="4" w:space="0"/>
              <w:bottom w:val="single" w:color="auto" w:sz="4" w:space="0"/>
              <w:right w:val="single" w:color="auto" w:sz="4" w:space="0"/>
            </w:tcBorders>
            <w:vAlign w:val="center"/>
          </w:tcPr>
          <w:p w14:paraId="236370DC">
            <w:pPr>
              <w:jc w:val="center"/>
              <w:rPr>
                <w:rFonts w:ascii="方正仿宋_GBK" w:hAnsi="Calibri" w:eastAsia="方正仿宋_GBK"/>
                <w:color w:val="000000"/>
                <w:sz w:val="18"/>
                <w:szCs w:val="18"/>
              </w:rPr>
            </w:pPr>
          </w:p>
        </w:tc>
        <w:tc>
          <w:tcPr>
            <w:tcW w:w="971" w:type="dxa"/>
            <w:tcBorders>
              <w:top w:val="nil"/>
              <w:left w:val="nil"/>
              <w:bottom w:val="single" w:color="auto" w:sz="4" w:space="0"/>
              <w:right w:val="nil"/>
            </w:tcBorders>
            <w:shd w:val="clear" w:color="auto" w:fill="auto"/>
            <w:vAlign w:val="center"/>
          </w:tcPr>
          <w:p w14:paraId="38ED6584">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其中：区级支出</w:t>
            </w:r>
          </w:p>
        </w:tc>
        <w:tc>
          <w:tcPr>
            <w:tcW w:w="1375"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065C3845">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30</w:t>
            </w:r>
          </w:p>
        </w:tc>
        <w:tc>
          <w:tcPr>
            <w:tcW w:w="1269" w:type="dxa"/>
            <w:gridSpan w:val="2"/>
            <w:tcBorders>
              <w:top w:val="single" w:color="auto" w:sz="4" w:space="0"/>
              <w:left w:val="nil"/>
              <w:bottom w:val="single" w:color="auto" w:sz="4" w:space="0"/>
              <w:right w:val="single" w:color="auto" w:sz="4" w:space="0"/>
            </w:tcBorders>
            <w:shd w:val="clear" w:color="auto" w:fill="auto"/>
            <w:vAlign w:val="center"/>
          </w:tcPr>
          <w:p w14:paraId="1AE77534">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30</w:t>
            </w:r>
          </w:p>
        </w:tc>
        <w:tc>
          <w:tcPr>
            <w:tcW w:w="1392" w:type="dxa"/>
            <w:gridSpan w:val="2"/>
            <w:tcBorders>
              <w:top w:val="single" w:color="auto" w:sz="4" w:space="0"/>
              <w:left w:val="nil"/>
              <w:bottom w:val="single" w:color="auto" w:sz="4" w:space="0"/>
              <w:right w:val="single" w:color="auto" w:sz="4" w:space="0"/>
            </w:tcBorders>
            <w:shd w:val="clear" w:color="auto" w:fill="auto"/>
            <w:vAlign w:val="center"/>
          </w:tcPr>
          <w:p w14:paraId="3C87FFF7">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30</w:t>
            </w:r>
          </w:p>
        </w:tc>
        <w:tc>
          <w:tcPr>
            <w:tcW w:w="680" w:type="dxa"/>
            <w:gridSpan w:val="2"/>
            <w:tcBorders>
              <w:top w:val="nil"/>
              <w:left w:val="nil"/>
              <w:bottom w:val="single" w:color="auto" w:sz="4" w:space="0"/>
              <w:right w:val="single" w:color="auto" w:sz="4" w:space="0"/>
            </w:tcBorders>
            <w:shd w:val="clear" w:color="auto" w:fill="auto"/>
            <w:vAlign w:val="center"/>
          </w:tcPr>
          <w:p w14:paraId="487389C9">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100</w:t>
            </w:r>
          </w:p>
        </w:tc>
        <w:tc>
          <w:tcPr>
            <w:tcW w:w="816" w:type="dxa"/>
            <w:gridSpan w:val="2"/>
            <w:tcBorders>
              <w:top w:val="nil"/>
              <w:left w:val="nil"/>
              <w:bottom w:val="single" w:color="auto" w:sz="4" w:space="0"/>
              <w:right w:val="single" w:color="auto" w:sz="4" w:space="0"/>
            </w:tcBorders>
            <w:shd w:val="clear" w:color="auto" w:fill="auto"/>
            <w:vAlign w:val="center"/>
          </w:tcPr>
          <w:p w14:paraId="1379C2CF">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10</w:t>
            </w:r>
          </w:p>
        </w:tc>
        <w:tc>
          <w:tcPr>
            <w:tcW w:w="1384" w:type="dxa"/>
            <w:gridSpan w:val="3"/>
            <w:tcBorders>
              <w:top w:val="nil"/>
              <w:left w:val="nil"/>
              <w:bottom w:val="single" w:color="auto" w:sz="4" w:space="0"/>
              <w:right w:val="single" w:color="auto" w:sz="4" w:space="0"/>
            </w:tcBorders>
            <w:shd w:val="clear" w:color="auto" w:fill="auto"/>
            <w:vAlign w:val="center"/>
          </w:tcPr>
          <w:p w14:paraId="41332A0F">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10</w:t>
            </w:r>
          </w:p>
        </w:tc>
      </w:tr>
      <w:tr w14:paraId="76D4AEBB">
        <w:tblPrEx>
          <w:tblCellMar>
            <w:top w:w="0" w:type="dxa"/>
            <w:left w:w="108" w:type="dxa"/>
            <w:bottom w:w="0" w:type="dxa"/>
            <w:right w:w="108" w:type="dxa"/>
          </w:tblCellMar>
        </w:tblPrEx>
        <w:trPr>
          <w:cantSplit/>
          <w:trHeight w:val="372" w:hRule="atLeast"/>
          <w:jc w:val="center"/>
        </w:trPr>
        <w:tc>
          <w:tcPr>
            <w:tcW w:w="634" w:type="dxa"/>
            <w:vMerge w:val="restart"/>
            <w:tcBorders>
              <w:top w:val="nil"/>
              <w:left w:val="single" w:color="auto" w:sz="4" w:space="0"/>
              <w:bottom w:val="single" w:color="auto" w:sz="4" w:space="0"/>
              <w:right w:val="single" w:color="auto" w:sz="4" w:space="0"/>
            </w:tcBorders>
            <w:shd w:val="clear" w:color="auto" w:fill="auto"/>
            <w:vAlign w:val="center"/>
          </w:tcPr>
          <w:p w14:paraId="79E27E47">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当年绩效目标</w:t>
            </w:r>
          </w:p>
        </w:tc>
        <w:tc>
          <w:tcPr>
            <w:tcW w:w="2346" w:type="dxa"/>
            <w:gridSpan w:val="3"/>
            <w:tcBorders>
              <w:top w:val="single" w:color="auto" w:sz="4" w:space="0"/>
              <w:left w:val="nil"/>
              <w:bottom w:val="single" w:color="auto" w:sz="4" w:space="0"/>
              <w:right w:val="single" w:color="000000" w:sz="4" w:space="0"/>
            </w:tcBorders>
            <w:shd w:val="clear" w:color="auto" w:fill="auto"/>
            <w:vAlign w:val="center"/>
          </w:tcPr>
          <w:p w14:paraId="011359AA">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年初绩效目标</w:t>
            </w:r>
          </w:p>
        </w:tc>
        <w:tc>
          <w:tcPr>
            <w:tcW w:w="2661" w:type="dxa"/>
            <w:gridSpan w:val="4"/>
            <w:tcBorders>
              <w:top w:val="single" w:color="auto" w:sz="4" w:space="0"/>
              <w:left w:val="nil"/>
              <w:bottom w:val="single" w:color="auto" w:sz="4" w:space="0"/>
              <w:right w:val="single" w:color="000000" w:sz="4" w:space="0"/>
            </w:tcBorders>
            <w:shd w:val="clear" w:color="auto" w:fill="auto"/>
            <w:vAlign w:val="center"/>
          </w:tcPr>
          <w:p w14:paraId="5E638993">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全年（调整）绩效目标</w:t>
            </w:r>
          </w:p>
        </w:tc>
        <w:tc>
          <w:tcPr>
            <w:tcW w:w="2880" w:type="dxa"/>
            <w:gridSpan w:val="7"/>
            <w:tcBorders>
              <w:top w:val="single" w:color="auto" w:sz="4" w:space="0"/>
              <w:left w:val="nil"/>
              <w:bottom w:val="single" w:color="auto" w:sz="4" w:space="0"/>
              <w:right w:val="single" w:color="000000" w:sz="4" w:space="0"/>
            </w:tcBorders>
            <w:shd w:val="clear" w:color="auto" w:fill="auto"/>
            <w:vAlign w:val="center"/>
          </w:tcPr>
          <w:p w14:paraId="2BA1BCCC">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全年目标实际完成情况</w:t>
            </w:r>
          </w:p>
        </w:tc>
      </w:tr>
      <w:tr w14:paraId="0BB4DFAF">
        <w:tblPrEx>
          <w:tblCellMar>
            <w:top w:w="0" w:type="dxa"/>
            <w:left w:w="108" w:type="dxa"/>
            <w:bottom w:w="0" w:type="dxa"/>
            <w:right w:w="108" w:type="dxa"/>
          </w:tblCellMar>
        </w:tblPrEx>
        <w:trPr>
          <w:cantSplit/>
          <w:trHeight w:val="1352" w:hRule="atLeast"/>
          <w:jc w:val="center"/>
        </w:trPr>
        <w:tc>
          <w:tcPr>
            <w:tcW w:w="634" w:type="dxa"/>
            <w:vMerge w:val="continue"/>
            <w:tcBorders>
              <w:top w:val="nil"/>
              <w:left w:val="single" w:color="auto" w:sz="4" w:space="0"/>
              <w:bottom w:val="single" w:color="auto" w:sz="4" w:space="0"/>
              <w:right w:val="single" w:color="auto" w:sz="4" w:space="0"/>
            </w:tcBorders>
            <w:vAlign w:val="center"/>
          </w:tcPr>
          <w:p w14:paraId="584026DB">
            <w:pPr>
              <w:jc w:val="center"/>
              <w:rPr>
                <w:rFonts w:ascii="方正仿宋_GBK" w:hAnsi="Calibri" w:eastAsia="方正仿宋_GBK"/>
                <w:color w:val="000000"/>
                <w:sz w:val="18"/>
                <w:szCs w:val="18"/>
              </w:rPr>
            </w:pPr>
          </w:p>
        </w:tc>
        <w:tc>
          <w:tcPr>
            <w:tcW w:w="2346" w:type="dxa"/>
            <w:gridSpan w:val="3"/>
            <w:tcBorders>
              <w:top w:val="single" w:color="auto" w:sz="4" w:space="0"/>
              <w:left w:val="nil"/>
              <w:bottom w:val="single" w:color="auto" w:sz="4" w:space="0"/>
              <w:right w:val="single" w:color="000000" w:sz="4" w:space="0"/>
            </w:tcBorders>
            <w:shd w:val="clear" w:color="auto" w:fill="auto"/>
            <w:vAlign w:val="center"/>
          </w:tcPr>
          <w:p w14:paraId="301F8131">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促进我区外经贸持续发展</w:t>
            </w:r>
          </w:p>
        </w:tc>
        <w:tc>
          <w:tcPr>
            <w:tcW w:w="2661" w:type="dxa"/>
            <w:gridSpan w:val="4"/>
            <w:tcBorders>
              <w:top w:val="single" w:color="auto" w:sz="4" w:space="0"/>
              <w:left w:val="nil"/>
              <w:bottom w:val="single" w:color="auto" w:sz="4" w:space="0"/>
              <w:right w:val="single" w:color="000000" w:sz="4" w:space="0"/>
            </w:tcBorders>
            <w:shd w:val="clear" w:color="auto" w:fill="auto"/>
            <w:vAlign w:val="center"/>
          </w:tcPr>
          <w:p w14:paraId="43AC0247">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在应对2019年非洲猪瘟疫情和今年新冠肺炎疫情防控过程中，按“淡储旺投”原则，完成冻猪肉收储，用于突发事件稳定预期、稳定猪肉价格。</w:t>
            </w:r>
          </w:p>
        </w:tc>
        <w:tc>
          <w:tcPr>
            <w:tcW w:w="2880" w:type="dxa"/>
            <w:gridSpan w:val="7"/>
            <w:tcBorders>
              <w:top w:val="single" w:color="auto" w:sz="4" w:space="0"/>
              <w:left w:val="nil"/>
              <w:bottom w:val="single" w:color="auto" w:sz="4" w:space="0"/>
              <w:right w:val="single" w:color="000000" w:sz="4" w:space="0"/>
            </w:tcBorders>
            <w:shd w:val="clear" w:color="auto" w:fill="auto"/>
            <w:vAlign w:val="center"/>
          </w:tcPr>
          <w:p w14:paraId="38E03097">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完成区级储备猪肉的收储，保障肉品市场供应、稳定猪肉价格预期。</w:t>
            </w:r>
          </w:p>
        </w:tc>
      </w:tr>
      <w:tr w14:paraId="2C348ED5">
        <w:tblPrEx>
          <w:tblCellMar>
            <w:top w:w="0" w:type="dxa"/>
            <w:left w:w="108" w:type="dxa"/>
            <w:bottom w:w="0" w:type="dxa"/>
            <w:right w:w="108" w:type="dxa"/>
          </w:tblCellMar>
        </w:tblPrEx>
        <w:trPr>
          <w:cantSplit/>
          <w:trHeight w:val="601" w:hRule="atLeast"/>
          <w:jc w:val="center"/>
        </w:trPr>
        <w:tc>
          <w:tcPr>
            <w:tcW w:w="634"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34F5F359">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绩效指标</w:t>
            </w:r>
          </w:p>
        </w:tc>
        <w:tc>
          <w:tcPr>
            <w:tcW w:w="971" w:type="dxa"/>
            <w:tcBorders>
              <w:top w:val="nil"/>
              <w:left w:val="nil"/>
              <w:bottom w:val="single" w:color="auto" w:sz="4" w:space="0"/>
              <w:right w:val="nil"/>
            </w:tcBorders>
            <w:shd w:val="clear" w:color="auto" w:fill="auto"/>
            <w:vAlign w:val="center"/>
          </w:tcPr>
          <w:p w14:paraId="5A856EB4">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指标名称</w:t>
            </w:r>
          </w:p>
        </w:tc>
        <w:tc>
          <w:tcPr>
            <w:tcW w:w="764" w:type="dxa"/>
            <w:tcBorders>
              <w:top w:val="nil"/>
              <w:left w:val="single" w:color="auto" w:sz="4" w:space="0"/>
              <w:bottom w:val="single" w:color="auto" w:sz="4" w:space="0"/>
              <w:right w:val="single" w:color="auto" w:sz="4" w:space="0"/>
            </w:tcBorders>
            <w:shd w:val="clear" w:color="auto" w:fill="auto"/>
            <w:vAlign w:val="center"/>
          </w:tcPr>
          <w:p w14:paraId="4BF4D345">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计量</w:t>
            </w:r>
          </w:p>
          <w:p w14:paraId="0A59DCC8">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单位</w:t>
            </w:r>
          </w:p>
        </w:tc>
        <w:tc>
          <w:tcPr>
            <w:tcW w:w="611" w:type="dxa"/>
            <w:tcBorders>
              <w:top w:val="nil"/>
              <w:left w:val="nil"/>
              <w:bottom w:val="single" w:color="auto" w:sz="4" w:space="0"/>
              <w:right w:val="single" w:color="auto" w:sz="4" w:space="0"/>
            </w:tcBorders>
            <w:shd w:val="clear" w:color="auto" w:fill="auto"/>
            <w:vAlign w:val="center"/>
          </w:tcPr>
          <w:p w14:paraId="3477888C">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指标</w:t>
            </w:r>
          </w:p>
          <w:p w14:paraId="68BE3CEC">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性质</w:t>
            </w:r>
          </w:p>
        </w:tc>
        <w:tc>
          <w:tcPr>
            <w:tcW w:w="676" w:type="dxa"/>
            <w:tcBorders>
              <w:top w:val="nil"/>
              <w:left w:val="nil"/>
              <w:bottom w:val="single" w:color="auto" w:sz="4" w:space="0"/>
              <w:right w:val="single" w:color="auto" w:sz="4" w:space="0"/>
            </w:tcBorders>
            <w:shd w:val="clear" w:color="auto" w:fill="auto"/>
            <w:vAlign w:val="center"/>
          </w:tcPr>
          <w:p w14:paraId="6534104F">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年初</w:t>
            </w:r>
          </w:p>
          <w:p w14:paraId="19629A17">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指标值</w:t>
            </w:r>
          </w:p>
        </w:tc>
        <w:tc>
          <w:tcPr>
            <w:tcW w:w="1287" w:type="dxa"/>
            <w:gridSpan w:val="2"/>
            <w:tcBorders>
              <w:top w:val="nil"/>
              <w:left w:val="nil"/>
              <w:bottom w:val="single" w:color="auto" w:sz="4" w:space="0"/>
              <w:right w:val="single" w:color="auto" w:sz="4" w:space="0"/>
            </w:tcBorders>
            <w:shd w:val="clear" w:color="auto" w:fill="auto"/>
            <w:vAlign w:val="center"/>
          </w:tcPr>
          <w:p w14:paraId="76BE33B4">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调整</w:t>
            </w:r>
          </w:p>
          <w:p w14:paraId="79D267F0">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指标值</w:t>
            </w:r>
          </w:p>
        </w:tc>
        <w:tc>
          <w:tcPr>
            <w:tcW w:w="1157" w:type="dxa"/>
            <w:gridSpan w:val="2"/>
            <w:tcBorders>
              <w:top w:val="nil"/>
              <w:left w:val="nil"/>
              <w:bottom w:val="single" w:color="auto" w:sz="4" w:space="0"/>
              <w:right w:val="single" w:color="auto" w:sz="4" w:space="0"/>
            </w:tcBorders>
            <w:shd w:val="clear" w:color="auto" w:fill="auto"/>
            <w:vAlign w:val="center"/>
          </w:tcPr>
          <w:p w14:paraId="17EA6397">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全年</w:t>
            </w:r>
          </w:p>
          <w:p w14:paraId="15FB6602">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完成值</w:t>
            </w:r>
          </w:p>
        </w:tc>
        <w:tc>
          <w:tcPr>
            <w:tcW w:w="731" w:type="dxa"/>
            <w:gridSpan w:val="2"/>
            <w:tcBorders>
              <w:top w:val="nil"/>
              <w:left w:val="nil"/>
              <w:bottom w:val="single" w:color="auto" w:sz="4" w:space="0"/>
              <w:right w:val="single" w:color="auto" w:sz="4" w:space="0"/>
            </w:tcBorders>
            <w:shd w:val="clear" w:color="auto" w:fill="auto"/>
            <w:vAlign w:val="center"/>
          </w:tcPr>
          <w:p w14:paraId="68851F82">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得分系数</w:t>
            </w:r>
          </w:p>
          <w:p w14:paraId="5616B4B0">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w:t>
            </w:r>
          </w:p>
        </w:tc>
        <w:tc>
          <w:tcPr>
            <w:tcW w:w="603" w:type="dxa"/>
            <w:gridSpan w:val="2"/>
            <w:tcBorders>
              <w:top w:val="nil"/>
              <w:left w:val="nil"/>
              <w:bottom w:val="single" w:color="auto" w:sz="4" w:space="0"/>
              <w:right w:val="single" w:color="auto" w:sz="4" w:space="0"/>
            </w:tcBorders>
            <w:shd w:val="clear" w:color="auto" w:fill="auto"/>
            <w:vAlign w:val="center"/>
          </w:tcPr>
          <w:p w14:paraId="401EA472">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指标权重</w:t>
            </w:r>
          </w:p>
          <w:p w14:paraId="72978174">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（分）</w:t>
            </w:r>
          </w:p>
        </w:tc>
        <w:tc>
          <w:tcPr>
            <w:tcW w:w="586" w:type="dxa"/>
            <w:tcBorders>
              <w:top w:val="nil"/>
              <w:left w:val="nil"/>
              <w:bottom w:val="single" w:color="auto" w:sz="4" w:space="0"/>
              <w:right w:val="single" w:color="auto" w:sz="4" w:space="0"/>
            </w:tcBorders>
            <w:shd w:val="clear" w:color="auto" w:fill="auto"/>
            <w:vAlign w:val="center"/>
          </w:tcPr>
          <w:p w14:paraId="394E2964">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指标得分</w:t>
            </w:r>
          </w:p>
          <w:p w14:paraId="0696AAB0">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（分）</w:t>
            </w:r>
          </w:p>
        </w:tc>
        <w:tc>
          <w:tcPr>
            <w:tcW w:w="501" w:type="dxa"/>
            <w:tcBorders>
              <w:top w:val="nil"/>
              <w:left w:val="nil"/>
              <w:bottom w:val="single" w:color="auto" w:sz="4" w:space="0"/>
              <w:right w:val="single" w:color="auto" w:sz="4" w:space="0"/>
            </w:tcBorders>
            <w:shd w:val="clear" w:color="auto" w:fill="auto"/>
            <w:vAlign w:val="center"/>
          </w:tcPr>
          <w:p w14:paraId="5D1ECEBE">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是否核心</w:t>
            </w:r>
          </w:p>
          <w:p w14:paraId="01EE40B2">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指标</w:t>
            </w:r>
          </w:p>
        </w:tc>
      </w:tr>
      <w:tr w14:paraId="5053C5C6">
        <w:tblPrEx>
          <w:tblCellMar>
            <w:top w:w="0" w:type="dxa"/>
            <w:left w:w="108" w:type="dxa"/>
            <w:bottom w:w="0" w:type="dxa"/>
            <w:right w:w="108" w:type="dxa"/>
          </w:tblCellMar>
        </w:tblPrEx>
        <w:trPr>
          <w:cantSplit/>
          <w:trHeight w:val="523" w:hRule="atLeast"/>
          <w:jc w:val="center"/>
        </w:trPr>
        <w:tc>
          <w:tcPr>
            <w:tcW w:w="634" w:type="dxa"/>
            <w:vMerge w:val="continue"/>
            <w:tcBorders>
              <w:top w:val="nil"/>
              <w:left w:val="single" w:color="auto" w:sz="4" w:space="0"/>
              <w:bottom w:val="single" w:color="auto" w:sz="4" w:space="0"/>
              <w:right w:val="single" w:color="auto" w:sz="4" w:space="0"/>
            </w:tcBorders>
            <w:vAlign w:val="center"/>
          </w:tcPr>
          <w:p w14:paraId="775854A0">
            <w:pPr>
              <w:autoSpaceDN w:val="0"/>
              <w:jc w:val="center"/>
              <w:rPr>
                <w:rFonts w:ascii="方正仿宋_GBK" w:eastAsia="方正仿宋_GBK"/>
                <w:color w:val="000000"/>
                <w:sz w:val="18"/>
                <w:szCs w:val="18"/>
              </w:rPr>
            </w:pPr>
          </w:p>
        </w:tc>
        <w:tc>
          <w:tcPr>
            <w:tcW w:w="971" w:type="dxa"/>
            <w:tcBorders>
              <w:top w:val="nil"/>
              <w:left w:val="nil"/>
              <w:bottom w:val="single" w:color="auto" w:sz="4" w:space="0"/>
              <w:right w:val="nil"/>
            </w:tcBorders>
            <w:shd w:val="clear" w:color="auto" w:fill="auto"/>
            <w:vAlign w:val="center"/>
          </w:tcPr>
          <w:p w14:paraId="12B36767">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参会家数</w:t>
            </w:r>
          </w:p>
        </w:tc>
        <w:tc>
          <w:tcPr>
            <w:tcW w:w="764" w:type="dxa"/>
            <w:tcBorders>
              <w:top w:val="nil"/>
              <w:left w:val="single" w:color="auto" w:sz="4" w:space="0"/>
              <w:bottom w:val="single" w:color="auto" w:sz="4" w:space="0"/>
              <w:right w:val="nil"/>
            </w:tcBorders>
            <w:shd w:val="clear" w:color="auto" w:fill="auto"/>
            <w:vAlign w:val="center"/>
          </w:tcPr>
          <w:p w14:paraId="079295D7">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家</w:t>
            </w:r>
          </w:p>
        </w:tc>
        <w:tc>
          <w:tcPr>
            <w:tcW w:w="611" w:type="dxa"/>
            <w:tcBorders>
              <w:top w:val="nil"/>
              <w:left w:val="single" w:color="auto" w:sz="4" w:space="0"/>
              <w:bottom w:val="single" w:color="auto" w:sz="4" w:space="0"/>
              <w:right w:val="nil"/>
            </w:tcBorders>
            <w:shd w:val="clear" w:color="auto" w:fill="auto"/>
            <w:vAlign w:val="center"/>
          </w:tcPr>
          <w:p w14:paraId="1D8B0E28">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w:t>
            </w:r>
          </w:p>
        </w:tc>
        <w:tc>
          <w:tcPr>
            <w:tcW w:w="676" w:type="dxa"/>
            <w:tcBorders>
              <w:top w:val="nil"/>
              <w:left w:val="single" w:color="auto" w:sz="4" w:space="0"/>
              <w:bottom w:val="single" w:color="auto" w:sz="4" w:space="0"/>
              <w:right w:val="nil"/>
            </w:tcBorders>
            <w:shd w:val="clear" w:color="auto" w:fill="auto"/>
            <w:vAlign w:val="center"/>
          </w:tcPr>
          <w:p w14:paraId="7AAADF15">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10</w:t>
            </w:r>
          </w:p>
        </w:tc>
        <w:tc>
          <w:tcPr>
            <w:tcW w:w="1287" w:type="dxa"/>
            <w:gridSpan w:val="2"/>
            <w:tcBorders>
              <w:top w:val="nil"/>
              <w:left w:val="single" w:color="auto" w:sz="4" w:space="0"/>
              <w:bottom w:val="single" w:color="auto" w:sz="4" w:space="0"/>
              <w:right w:val="nil"/>
            </w:tcBorders>
            <w:shd w:val="clear" w:color="auto" w:fill="auto"/>
            <w:vAlign w:val="center"/>
          </w:tcPr>
          <w:p w14:paraId="083D1E92">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储备数量220吨</w:t>
            </w:r>
          </w:p>
        </w:tc>
        <w:tc>
          <w:tcPr>
            <w:tcW w:w="1157" w:type="dxa"/>
            <w:gridSpan w:val="2"/>
            <w:tcBorders>
              <w:top w:val="nil"/>
              <w:left w:val="single" w:color="auto" w:sz="4" w:space="0"/>
              <w:bottom w:val="single" w:color="auto" w:sz="4" w:space="0"/>
              <w:right w:val="nil"/>
            </w:tcBorders>
            <w:shd w:val="clear" w:color="auto" w:fill="auto"/>
            <w:vAlign w:val="center"/>
          </w:tcPr>
          <w:p w14:paraId="2BCA76EB">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220</w:t>
            </w:r>
          </w:p>
        </w:tc>
        <w:tc>
          <w:tcPr>
            <w:tcW w:w="731" w:type="dxa"/>
            <w:gridSpan w:val="2"/>
            <w:tcBorders>
              <w:top w:val="nil"/>
              <w:left w:val="single" w:color="auto" w:sz="4" w:space="0"/>
              <w:bottom w:val="single" w:color="auto" w:sz="4" w:space="0"/>
              <w:right w:val="nil"/>
            </w:tcBorders>
            <w:shd w:val="clear" w:color="auto" w:fill="auto"/>
            <w:vAlign w:val="center"/>
          </w:tcPr>
          <w:p w14:paraId="1140F1D6">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100</w:t>
            </w:r>
          </w:p>
        </w:tc>
        <w:tc>
          <w:tcPr>
            <w:tcW w:w="603" w:type="dxa"/>
            <w:gridSpan w:val="2"/>
            <w:tcBorders>
              <w:top w:val="nil"/>
              <w:left w:val="single" w:color="auto" w:sz="4" w:space="0"/>
              <w:bottom w:val="single" w:color="auto" w:sz="4" w:space="0"/>
              <w:right w:val="nil"/>
            </w:tcBorders>
            <w:shd w:val="clear" w:color="auto" w:fill="auto"/>
            <w:vAlign w:val="center"/>
          </w:tcPr>
          <w:p w14:paraId="038A57C4">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20</w:t>
            </w:r>
          </w:p>
        </w:tc>
        <w:tc>
          <w:tcPr>
            <w:tcW w:w="586" w:type="dxa"/>
            <w:tcBorders>
              <w:top w:val="nil"/>
              <w:left w:val="single" w:color="auto" w:sz="4" w:space="0"/>
              <w:bottom w:val="single" w:color="auto" w:sz="4" w:space="0"/>
              <w:right w:val="nil"/>
            </w:tcBorders>
            <w:shd w:val="clear" w:color="auto" w:fill="auto"/>
            <w:vAlign w:val="center"/>
          </w:tcPr>
          <w:p w14:paraId="6D55B671">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20</w:t>
            </w:r>
          </w:p>
        </w:tc>
        <w:tc>
          <w:tcPr>
            <w:tcW w:w="501" w:type="dxa"/>
            <w:tcBorders>
              <w:top w:val="nil"/>
              <w:left w:val="single" w:color="auto" w:sz="4" w:space="0"/>
              <w:bottom w:val="single" w:color="auto" w:sz="4" w:space="0"/>
              <w:right w:val="single" w:color="auto" w:sz="4" w:space="0"/>
            </w:tcBorders>
            <w:shd w:val="clear" w:color="auto" w:fill="auto"/>
            <w:vAlign w:val="center"/>
          </w:tcPr>
          <w:p w14:paraId="0C450EC1">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否</w:t>
            </w:r>
          </w:p>
        </w:tc>
      </w:tr>
      <w:tr w14:paraId="0C578B30">
        <w:tblPrEx>
          <w:tblCellMar>
            <w:top w:w="0" w:type="dxa"/>
            <w:left w:w="108" w:type="dxa"/>
            <w:bottom w:w="0" w:type="dxa"/>
            <w:right w:w="108" w:type="dxa"/>
          </w:tblCellMar>
        </w:tblPrEx>
        <w:trPr>
          <w:cantSplit/>
          <w:trHeight w:val="523" w:hRule="atLeast"/>
          <w:jc w:val="center"/>
        </w:trPr>
        <w:tc>
          <w:tcPr>
            <w:tcW w:w="634" w:type="dxa"/>
            <w:vMerge w:val="continue"/>
            <w:tcBorders>
              <w:top w:val="nil"/>
              <w:left w:val="single" w:color="auto" w:sz="4" w:space="0"/>
              <w:bottom w:val="single" w:color="auto" w:sz="4" w:space="0"/>
              <w:right w:val="single" w:color="auto" w:sz="4" w:space="0"/>
            </w:tcBorders>
            <w:vAlign w:val="center"/>
          </w:tcPr>
          <w:p w14:paraId="38D71798">
            <w:pPr>
              <w:autoSpaceDN w:val="0"/>
              <w:jc w:val="center"/>
              <w:rPr>
                <w:rFonts w:ascii="方正仿宋_GBK" w:eastAsia="方正仿宋_GBK"/>
                <w:color w:val="000000"/>
                <w:sz w:val="18"/>
                <w:szCs w:val="18"/>
              </w:rPr>
            </w:pPr>
          </w:p>
        </w:tc>
        <w:tc>
          <w:tcPr>
            <w:tcW w:w="971" w:type="dxa"/>
            <w:tcBorders>
              <w:top w:val="nil"/>
              <w:left w:val="nil"/>
              <w:bottom w:val="single" w:color="auto" w:sz="4" w:space="0"/>
              <w:right w:val="nil"/>
            </w:tcBorders>
            <w:shd w:val="clear" w:color="auto" w:fill="auto"/>
            <w:vAlign w:val="center"/>
          </w:tcPr>
          <w:p w14:paraId="2EB0F3D1">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参会时间</w:t>
            </w:r>
          </w:p>
        </w:tc>
        <w:tc>
          <w:tcPr>
            <w:tcW w:w="764" w:type="dxa"/>
            <w:tcBorders>
              <w:top w:val="nil"/>
              <w:left w:val="single" w:color="auto" w:sz="4" w:space="0"/>
              <w:bottom w:val="single" w:color="auto" w:sz="4" w:space="0"/>
              <w:right w:val="nil"/>
            </w:tcBorders>
            <w:shd w:val="clear" w:color="auto" w:fill="auto"/>
            <w:vAlign w:val="center"/>
          </w:tcPr>
          <w:p w14:paraId="55866B59">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其他</w:t>
            </w:r>
          </w:p>
        </w:tc>
        <w:tc>
          <w:tcPr>
            <w:tcW w:w="611" w:type="dxa"/>
            <w:tcBorders>
              <w:top w:val="nil"/>
              <w:left w:val="single" w:color="auto" w:sz="4" w:space="0"/>
              <w:bottom w:val="single" w:color="auto" w:sz="4" w:space="0"/>
              <w:right w:val="nil"/>
            </w:tcBorders>
            <w:shd w:val="clear" w:color="auto" w:fill="auto"/>
            <w:vAlign w:val="center"/>
          </w:tcPr>
          <w:p w14:paraId="20D107AE">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无</w:t>
            </w:r>
          </w:p>
        </w:tc>
        <w:tc>
          <w:tcPr>
            <w:tcW w:w="676" w:type="dxa"/>
            <w:tcBorders>
              <w:top w:val="nil"/>
              <w:left w:val="single" w:color="auto" w:sz="4" w:space="0"/>
              <w:bottom w:val="single" w:color="auto" w:sz="4" w:space="0"/>
              <w:right w:val="nil"/>
            </w:tcBorders>
            <w:shd w:val="clear" w:color="auto" w:fill="auto"/>
            <w:vAlign w:val="center"/>
          </w:tcPr>
          <w:p w14:paraId="0E206998">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及时参加</w:t>
            </w:r>
          </w:p>
        </w:tc>
        <w:tc>
          <w:tcPr>
            <w:tcW w:w="1287" w:type="dxa"/>
            <w:gridSpan w:val="2"/>
            <w:tcBorders>
              <w:top w:val="nil"/>
              <w:left w:val="single" w:color="auto" w:sz="4" w:space="0"/>
              <w:bottom w:val="single" w:color="auto" w:sz="4" w:space="0"/>
              <w:right w:val="nil"/>
            </w:tcBorders>
            <w:shd w:val="clear" w:color="auto" w:fill="auto"/>
            <w:vAlign w:val="center"/>
          </w:tcPr>
          <w:p w14:paraId="0C7F955C">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保障猪肉质量</w:t>
            </w:r>
          </w:p>
        </w:tc>
        <w:tc>
          <w:tcPr>
            <w:tcW w:w="1157" w:type="dxa"/>
            <w:gridSpan w:val="2"/>
            <w:tcBorders>
              <w:top w:val="nil"/>
              <w:left w:val="single" w:color="auto" w:sz="4" w:space="0"/>
              <w:bottom w:val="single" w:color="auto" w:sz="4" w:space="0"/>
              <w:right w:val="nil"/>
            </w:tcBorders>
            <w:shd w:val="clear" w:color="auto" w:fill="auto"/>
            <w:vAlign w:val="center"/>
          </w:tcPr>
          <w:p w14:paraId="15919330">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保障猪肉质量</w:t>
            </w:r>
          </w:p>
        </w:tc>
        <w:tc>
          <w:tcPr>
            <w:tcW w:w="731" w:type="dxa"/>
            <w:gridSpan w:val="2"/>
            <w:tcBorders>
              <w:top w:val="nil"/>
              <w:left w:val="single" w:color="auto" w:sz="4" w:space="0"/>
              <w:bottom w:val="single" w:color="auto" w:sz="4" w:space="0"/>
              <w:right w:val="nil"/>
            </w:tcBorders>
            <w:shd w:val="clear" w:color="auto" w:fill="auto"/>
            <w:vAlign w:val="center"/>
          </w:tcPr>
          <w:p w14:paraId="0CC844B9">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100</w:t>
            </w:r>
          </w:p>
        </w:tc>
        <w:tc>
          <w:tcPr>
            <w:tcW w:w="603" w:type="dxa"/>
            <w:gridSpan w:val="2"/>
            <w:tcBorders>
              <w:top w:val="nil"/>
              <w:left w:val="single" w:color="auto" w:sz="4" w:space="0"/>
              <w:bottom w:val="single" w:color="auto" w:sz="4" w:space="0"/>
              <w:right w:val="nil"/>
            </w:tcBorders>
            <w:shd w:val="clear" w:color="auto" w:fill="auto"/>
            <w:vAlign w:val="center"/>
          </w:tcPr>
          <w:p w14:paraId="7A012E17">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20</w:t>
            </w:r>
          </w:p>
        </w:tc>
        <w:tc>
          <w:tcPr>
            <w:tcW w:w="586" w:type="dxa"/>
            <w:tcBorders>
              <w:top w:val="nil"/>
              <w:left w:val="single" w:color="auto" w:sz="4" w:space="0"/>
              <w:bottom w:val="single" w:color="auto" w:sz="4" w:space="0"/>
              <w:right w:val="nil"/>
            </w:tcBorders>
            <w:shd w:val="clear" w:color="auto" w:fill="auto"/>
            <w:vAlign w:val="center"/>
          </w:tcPr>
          <w:p w14:paraId="1A523419">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20</w:t>
            </w:r>
          </w:p>
        </w:tc>
        <w:tc>
          <w:tcPr>
            <w:tcW w:w="501" w:type="dxa"/>
            <w:tcBorders>
              <w:top w:val="nil"/>
              <w:left w:val="single" w:color="auto" w:sz="4" w:space="0"/>
              <w:bottom w:val="single" w:color="auto" w:sz="4" w:space="0"/>
              <w:right w:val="single" w:color="auto" w:sz="4" w:space="0"/>
            </w:tcBorders>
            <w:shd w:val="clear" w:color="auto" w:fill="auto"/>
            <w:vAlign w:val="center"/>
          </w:tcPr>
          <w:p w14:paraId="5EA573C7">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否</w:t>
            </w:r>
          </w:p>
        </w:tc>
      </w:tr>
      <w:tr w14:paraId="5F8C7766">
        <w:tblPrEx>
          <w:tblCellMar>
            <w:top w:w="0" w:type="dxa"/>
            <w:left w:w="108" w:type="dxa"/>
            <w:bottom w:w="0" w:type="dxa"/>
            <w:right w:w="108" w:type="dxa"/>
          </w:tblCellMar>
        </w:tblPrEx>
        <w:trPr>
          <w:cantSplit/>
          <w:trHeight w:val="523" w:hRule="atLeast"/>
          <w:jc w:val="center"/>
        </w:trPr>
        <w:tc>
          <w:tcPr>
            <w:tcW w:w="634" w:type="dxa"/>
            <w:vMerge w:val="continue"/>
            <w:tcBorders>
              <w:top w:val="nil"/>
              <w:left w:val="single" w:color="auto" w:sz="4" w:space="0"/>
              <w:bottom w:val="single" w:color="auto" w:sz="4" w:space="0"/>
              <w:right w:val="single" w:color="auto" w:sz="4" w:space="0"/>
            </w:tcBorders>
            <w:vAlign w:val="center"/>
          </w:tcPr>
          <w:p w14:paraId="15836783">
            <w:pPr>
              <w:autoSpaceDN w:val="0"/>
              <w:jc w:val="center"/>
              <w:rPr>
                <w:rFonts w:ascii="方正仿宋_GBK" w:eastAsia="方正仿宋_GBK"/>
                <w:color w:val="000000"/>
                <w:sz w:val="18"/>
                <w:szCs w:val="18"/>
              </w:rPr>
            </w:pPr>
          </w:p>
        </w:tc>
        <w:tc>
          <w:tcPr>
            <w:tcW w:w="971" w:type="dxa"/>
            <w:tcBorders>
              <w:top w:val="nil"/>
              <w:left w:val="nil"/>
              <w:bottom w:val="single" w:color="auto" w:sz="4" w:space="0"/>
              <w:right w:val="nil"/>
            </w:tcBorders>
            <w:shd w:val="clear" w:color="auto" w:fill="auto"/>
            <w:vAlign w:val="center"/>
          </w:tcPr>
          <w:p w14:paraId="6D26D378">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参会积极性</w:t>
            </w:r>
          </w:p>
        </w:tc>
        <w:tc>
          <w:tcPr>
            <w:tcW w:w="764" w:type="dxa"/>
            <w:tcBorders>
              <w:top w:val="nil"/>
              <w:left w:val="single" w:color="auto" w:sz="4" w:space="0"/>
              <w:bottom w:val="single" w:color="auto" w:sz="4" w:space="0"/>
              <w:right w:val="nil"/>
            </w:tcBorders>
            <w:shd w:val="clear" w:color="auto" w:fill="auto"/>
            <w:vAlign w:val="center"/>
          </w:tcPr>
          <w:p w14:paraId="058B9C5B">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其他</w:t>
            </w:r>
          </w:p>
        </w:tc>
        <w:tc>
          <w:tcPr>
            <w:tcW w:w="611" w:type="dxa"/>
            <w:tcBorders>
              <w:top w:val="nil"/>
              <w:left w:val="single" w:color="auto" w:sz="4" w:space="0"/>
              <w:bottom w:val="single" w:color="auto" w:sz="4" w:space="0"/>
              <w:right w:val="nil"/>
            </w:tcBorders>
            <w:shd w:val="clear" w:color="auto" w:fill="auto"/>
            <w:vAlign w:val="center"/>
          </w:tcPr>
          <w:p w14:paraId="57FA08FA">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无</w:t>
            </w:r>
          </w:p>
        </w:tc>
        <w:tc>
          <w:tcPr>
            <w:tcW w:w="676" w:type="dxa"/>
            <w:tcBorders>
              <w:top w:val="nil"/>
              <w:left w:val="single" w:color="auto" w:sz="4" w:space="0"/>
              <w:bottom w:val="single" w:color="auto" w:sz="4" w:space="0"/>
              <w:right w:val="nil"/>
            </w:tcBorders>
            <w:shd w:val="clear" w:color="auto" w:fill="auto"/>
            <w:vAlign w:val="center"/>
          </w:tcPr>
          <w:p w14:paraId="2E374852">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提升</w:t>
            </w:r>
          </w:p>
        </w:tc>
        <w:tc>
          <w:tcPr>
            <w:tcW w:w="1287" w:type="dxa"/>
            <w:gridSpan w:val="2"/>
            <w:tcBorders>
              <w:top w:val="nil"/>
              <w:left w:val="single" w:color="auto" w:sz="4" w:space="0"/>
              <w:bottom w:val="single" w:color="auto" w:sz="4" w:space="0"/>
              <w:right w:val="nil"/>
            </w:tcBorders>
            <w:shd w:val="clear" w:color="auto" w:fill="auto"/>
            <w:vAlign w:val="center"/>
          </w:tcPr>
          <w:p w14:paraId="19DE420A">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提高猪肉储备能力</w:t>
            </w:r>
          </w:p>
        </w:tc>
        <w:tc>
          <w:tcPr>
            <w:tcW w:w="1157" w:type="dxa"/>
            <w:gridSpan w:val="2"/>
            <w:tcBorders>
              <w:top w:val="nil"/>
              <w:left w:val="single" w:color="auto" w:sz="4" w:space="0"/>
              <w:bottom w:val="single" w:color="auto" w:sz="4" w:space="0"/>
              <w:right w:val="nil"/>
            </w:tcBorders>
            <w:shd w:val="clear" w:color="auto" w:fill="auto"/>
            <w:vAlign w:val="center"/>
          </w:tcPr>
          <w:p w14:paraId="7E9841B6">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提高猪肉储备能力</w:t>
            </w:r>
          </w:p>
        </w:tc>
        <w:tc>
          <w:tcPr>
            <w:tcW w:w="731" w:type="dxa"/>
            <w:gridSpan w:val="2"/>
            <w:tcBorders>
              <w:top w:val="nil"/>
              <w:left w:val="single" w:color="auto" w:sz="4" w:space="0"/>
              <w:bottom w:val="single" w:color="auto" w:sz="4" w:space="0"/>
              <w:right w:val="nil"/>
            </w:tcBorders>
            <w:shd w:val="clear" w:color="auto" w:fill="auto"/>
            <w:vAlign w:val="center"/>
          </w:tcPr>
          <w:p w14:paraId="321DD948">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100</w:t>
            </w:r>
          </w:p>
        </w:tc>
        <w:tc>
          <w:tcPr>
            <w:tcW w:w="603" w:type="dxa"/>
            <w:gridSpan w:val="2"/>
            <w:tcBorders>
              <w:top w:val="nil"/>
              <w:left w:val="single" w:color="auto" w:sz="4" w:space="0"/>
              <w:bottom w:val="single" w:color="auto" w:sz="4" w:space="0"/>
              <w:right w:val="nil"/>
            </w:tcBorders>
            <w:shd w:val="clear" w:color="auto" w:fill="auto"/>
            <w:vAlign w:val="center"/>
          </w:tcPr>
          <w:p w14:paraId="3E2563DE">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15</w:t>
            </w:r>
          </w:p>
        </w:tc>
        <w:tc>
          <w:tcPr>
            <w:tcW w:w="586" w:type="dxa"/>
            <w:tcBorders>
              <w:top w:val="nil"/>
              <w:left w:val="single" w:color="auto" w:sz="4" w:space="0"/>
              <w:bottom w:val="single" w:color="auto" w:sz="4" w:space="0"/>
              <w:right w:val="nil"/>
            </w:tcBorders>
            <w:shd w:val="clear" w:color="auto" w:fill="auto"/>
            <w:vAlign w:val="center"/>
          </w:tcPr>
          <w:p w14:paraId="3B7504C7">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15</w:t>
            </w:r>
          </w:p>
        </w:tc>
        <w:tc>
          <w:tcPr>
            <w:tcW w:w="501" w:type="dxa"/>
            <w:tcBorders>
              <w:top w:val="nil"/>
              <w:left w:val="single" w:color="auto" w:sz="4" w:space="0"/>
              <w:bottom w:val="single" w:color="auto" w:sz="4" w:space="0"/>
              <w:right w:val="single" w:color="auto" w:sz="4" w:space="0"/>
            </w:tcBorders>
            <w:shd w:val="clear" w:color="auto" w:fill="auto"/>
            <w:vAlign w:val="center"/>
          </w:tcPr>
          <w:p w14:paraId="13452AED">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否</w:t>
            </w:r>
          </w:p>
        </w:tc>
      </w:tr>
      <w:tr w14:paraId="2356EA36">
        <w:tblPrEx>
          <w:tblCellMar>
            <w:top w:w="0" w:type="dxa"/>
            <w:left w:w="108" w:type="dxa"/>
            <w:bottom w:w="0" w:type="dxa"/>
            <w:right w:w="108" w:type="dxa"/>
          </w:tblCellMar>
        </w:tblPrEx>
        <w:trPr>
          <w:cantSplit/>
          <w:trHeight w:val="523" w:hRule="atLeast"/>
          <w:jc w:val="center"/>
        </w:trPr>
        <w:tc>
          <w:tcPr>
            <w:tcW w:w="634" w:type="dxa"/>
            <w:vMerge w:val="continue"/>
            <w:tcBorders>
              <w:top w:val="nil"/>
              <w:left w:val="single" w:color="auto" w:sz="4" w:space="0"/>
              <w:bottom w:val="single" w:color="auto" w:sz="4" w:space="0"/>
              <w:right w:val="single" w:color="auto" w:sz="4" w:space="0"/>
            </w:tcBorders>
            <w:vAlign w:val="center"/>
          </w:tcPr>
          <w:p w14:paraId="2ACD71D4">
            <w:pPr>
              <w:jc w:val="center"/>
              <w:rPr>
                <w:rFonts w:ascii="方正仿宋_GBK" w:hAnsi="Calibri" w:eastAsia="方正仿宋_GBK"/>
                <w:color w:val="000000"/>
                <w:sz w:val="18"/>
                <w:szCs w:val="18"/>
              </w:rPr>
            </w:pPr>
          </w:p>
        </w:tc>
        <w:tc>
          <w:tcPr>
            <w:tcW w:w="971" w:type="dxa"/>
            <w:tcBorders>
              <w:top w:val="nil"/>
              <w:left w:val="nil"/>
              <w:bottom w:val="single" w:color="auto" w:sz="4" w:space="0"/>
              <w:right w:val="nil"/>
            </w:tcBorders>
            <w:shd w:val="clear" w:color="auto" w:fill="auto"/>
            <w:vAlign w:val="center"/>
          </w:tcPr>
          <w:p w14:paraId="26948977">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外贸进出口完成额</w:t>
            </w:r>
          </w:p>
        </w:tc>
        <w:tc>
          <w:tcPr>
            <w:tcW w:w="764" w:type="dxa"/>
            <w:tcBorders>
              <w:top w:val="nil"/>
              <w:left w:val="single" w:color="auto" w:sz="4" w:space="0"/>
              <w:bottom w:val="single" w:color="auto" w:sz="4" w:space="0"/>
              <w:right w:val="nil"/>
            </w:tcBorders>
            <w:shd w:val="clear" w:color="auto" w:fill="auto"/>
            <w:vAlign w:val="center"/>
          </w:tcPr>
          <w:p w14:paraId="2B6A5D98">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亿美元</w:t>
            </w:r>
          </w:p>
        </w:tc>
        <w:tc>
          <w:tcPr>
            <w:tcW w:w="611" w:type="dxa"/>
            <w:tcBorders>
              <w:top w:val="nil"/>
              <w:left w:val="single" w:color="auto" w:sz="4" w:space="0"/>
              <w:bottom w:val="single" w:color="auto" w:sz="4" w:space="0"/>
              <w:right w:val="nil"/>
            </w:tcBorders>
            <w:shd w:val="clear" w:color="auto" w:fill="auto"/>
            <w:vAlign w:val="center"/>
          </w:tcPr>
          <w:p w14:paraId="2A954F03">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w:t>
            </w:r>
          </w:p>
        </w:tc>
        <w:tc>
          <w:tcPr>
            <w:tcW w:w="676" w:type="dxa"/>
            <w:tcBorders>
              <w:top w:val="nil"/>
              <w:left w:val="single" w:color="auto" w:sz="4" w:space="0"/>
              <w:bottom w:val="single" w:color="auto" w:sz="4" w:space="0"/>
              <w:right w:val="nil"/>
            </w:tcBorders>
            <w:shd w:val="clear" w:color="auto" w:fill="auto"/>
            <w:vAlign w:val="center"/>
          </w:tcPr>
          <w:p w14:paraId="3D04E1CF">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15</w:t>
            </w:r>
          </w:p>
        </w:tc>
        <w:tc>
          <w:tcPr>
            <w:tcW w:w="1287" w:type="dxa"/>
            <w:gridSpan w:val="2"/>
            <w:tcBorders>
              <w:top w:val="nil"/>
              <w:left w:val="single" w:color="auto" w:sz="4" w:space="0"/>
              <w:bottom w:val="single" w:color="auto" w:sz="4" w:space="0"/>
              <w:right w:val="nil"/>
            </w:tcBorders>
            <w:shd w:val="clear" w:color="auto" w:fill="auto"/>
            <w:vAlign w:val="center"/>
          </w:tcPr>
          <w:p w14:paraId="7F57931E">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商户满意度90%</w:t>
            </w:r>
          </w:p>
        </w:tc>
        <w:tc>
          <w:tcPr>
            <w:tcW w:w="1157" w:type="dxa"/>
            <w:gridSpan w:val="2"/>
            <w:tcBorders>
              <w:top w:val="nil"/>
              <w:left w:val="single" w:color="auto" w:sz="4" w:space="0"/>
              <w:bottom w:val="single" w:color="auto" w:sz="4" w:space="0"/>
              <w:right w:val="nil"/>
            </w:tcBorders>
            <w:shd w:val="clear" w:color="auto" w:fill="auto"/>
            <w:vAlign w:val="center"/>
          </w:tcPr>
          <w:p w14:paraId="5DB3ECB1">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90%</w:t>
            </w:r>
          </w:p>
        </w:tc>
        <w:tc>
          <w:tcPr>
            <w:tcW w:w="731" w:type="dxa"/>
            <w:gridSpan w:val="2"/>
            <w:tcBorders>
              <w:top w:val="nil"/>
              <w:left w:val="single" w:color="auto" w:sz="4" w:space="0"/>
              <w:bottom w:val="single" w:color="auto" w:sz="4" w:space="0"/>
              <w:right w:val="nil"/>
            </w:tcBorders>
            <w:shd w:val="clear" w:color="auto" w:fill="auto"/>
            <w:vAlign w:val="center"/>
          </w:tcPr>
          <w:p w14:paraId="5A8C39CF">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100</w:t>
            </w:r>
          </w:p>
        </w:tc>
        <w:tc>
          <w:tcPr>
            <w:tcW w:w="603" w:type="dxa"/>
            <w:gridSpan w:val="2"/>
            <w:tcBorders>
              <w:top w:val="nil"/>
              <w:left w:val="single" w:color="auto" w:sz="4" w:space="0"/>
              <w:bottom w:val="single" w:color="auto" w:sz="4" w:space="0"/>
              <w:right w:val="nil"/>
            </w:tcBorders>
            <w:shd w:val="clear" w:color="auto" w:fill="auto"/>
            <w:vAlign w:val="center"/>
          </w:tcPr>
          <w:p w14:paraId="5092AF89">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15</w:t>
            </w:r>
          </w:p>
        </w:tc>
        <w:tc>
          <w:tcPr>
            <w:tcW w:w="586" w:type="dxa"/>
            <w:tcBorders>
              <w:top w:val="nil"/>
              <w:left w:val="single" w:color="auto" w:sz="4" w:space="0"/>
              <w:bottom w:val="single" w:color="auto" w:sz="4" w:space="0"/>
              <w:right w:val="nil"/>
            </w:tcBorders>
            <w:shd w:val="clear" w:color="auto" w:fill="auto"/>
            <w:vAlign w:val="center"/>
          </w:tcPr>
          <w:p w14:paraId="266505D8">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15</w:t>
            </w:r>
          </w:p>
        </w:tc>
        <w:tc>
          <w:tcPr>
            <w:tcW w:w="501" w:type="dxa"/>
            <w:tcBorders>
              <w:top w:val="nil"/>
              <w:left w:val="single" w:color="auto" w:sz="4" w:space="0"/>
              <w:bottom w:val="single" w:color="auto" w:sz="4" w:space="0"/>
              <w:right w:val="single" w:color="auto" w:sz="4" w:space="0"/>
            </w:tcBorders>
            <w:shd w:val="clear" w:color="auto" w:fill="auto"/>
            <w:vAlign w:val="center"/>
          </w:tcPr>
          <w:p w14:paraId="0C9DF89A">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否</w:t>
            </w:r>
          </w:p>
        </w:tc>
      </w:tr>
      <w:tr w14:paraId="182F3903">
        <w:tblPrEx>
          <w:tblCellMar>
            <w:top w:w="0" w:type="dxa"/>
            <w:left w:w="108" w:type="dxa"/>
            <w:bottom w:w="0" w:type="dxa"/>
            <w:right w:w="108" w:type="dxa"/>
          </w:tblCellMar>
        </w:tblPrEx>
        <w:trPr>
          <w:cantSplit/>
          <w:trHeight w:val="523" w:hRule="atLeast"/>
          <w:jc w:val="center"/>
        </w:trPr>
        <w:tc>
          <w:tcPr>
            <w:tcW w:w="634" w:type="dxa"/>
            <w:vMerge w:val="continue"/>
            <w:tcBorders>
              <w:top w:val="nil"/>
              <w:left w:val="single" w:color="auto" w:sz="4" w:space="0"/>
              <w:bottom w:val="single" w:color="auto" w:sz="4" w:space="0"/>
              <w:right w:val="single" w:color="auto" w:sz="4" w:space="0"/>
            </w:tcBorders>
            <w:vAlign w:val="center"/>
          </w:tcPr>
          <w:p w14:paraId="5863F148">
            <w:pPr>
              <w:jc w:val="center"/>
              <w:rPr>
                <w:rFonts w:ascii="方正仿宋_GBK" w:hAnsi="Calibri" w:eastAsia="方正仿宋_GBK"/>
                <w:color w:val="000000"/>
                <w:sz w:val="18"/>
                <w:szCs w:val="18"/>
              </w:rPr>
            </w:pPr>
          </w:p>
        </w:tc>
        <w:tc>
          <w:tcPr>
            <w:tcW w:w="971" w:type="dxa"/>
            <w:tcBorders>
              <w:top w:val="nil"/>
              <w:left w:val="nil"/>
              <w:bottom w:val="single" w:color="auto" w:sz="4" w:space="0"/>
              <w:right w:val="nil"/>
            </w:tcBorders>
            <w:shd w:val="clear" w:color="auto" w:fill="auto"/>
            <w:vAlign w:val="center"/>
          </w:tcPr>
          <w:p w14:paraId="0D2C44EE">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参会企业投诉人次</w:t>
            </w:r>
          </w:p>
        </w:tc>
        <w:tc>
          <w:tcPr>
            <w:tcW w:w="764" w:type="dxa"/>
            <w:tcBorders>
              <w:top w:val="nil"/>
              <w:left w:val="single" w:color="auto" w:sz="4" w:space="0"/>
              <w:bottom w:val="single" w:color="auto" w:sz="4" w:space="0"/>
              <w:right w:val="nil"/>
            </w:tcBorders>
            <w:shd w:val="clear" w:color="auto" w:fill="auto"/>
            <w:vAlign w:val="center"/>
          </w:tcPr>
          <w:p w14:paraId="765D15E8">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人次</w:t>
            </w:r>
          </w:p>
        </w:tc>
        <w:tc>
          <w:tcPr>
            <w:tcW w:w="611" w:type="dxa"/>
            <w:tcBorders>
              <w:top w:val="nil"/>
              <w:left w:val="single" w:color="auto" w:sz="4" w:space="0"/>
              <w:bottom w:val="single" w:color="auto" w:sz="4" w:space="0"/>
              <w:right w:val="nil"/>
            </w:tcBorders>
            <w:shd w:val="clear" w:color="auto" w:fill="auto"/>
            <w:vAlign w:val="center"/>
          </w:tcPr>
          <w:p w14:paraId="6C1E4F01">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w:t>
            </w:r>
          </w:p>
        </w:tc>
        <w:tc>
          <w:tcPr>
            <w:tcW w:w="676" w:type="dxa"/>
            <w:tcBorders>
              <w:top w:val="nil"/>
              <w:left w:val="single" w:color="auto" w:sz="4" w:space="0"/>
              <w:bottom w:val="single" w:color="auto" w:sz="4" w:space="0"/>
              <w:right w:val="nil"/>
            </w:tcBorders>
            <w:shd w:val="clear" w:color="auto" w:fill="auto"/>
            <w:vAlign w:val="center"/>
          </w:tcPr>
          <w:p w14:paraId="61C9BE97">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5</w:t>
            </w:r>
          </w:p>
        </w:tc>
        <w:tc>
          <w:tcPr>
            <w:tcW w:w="1287" w:type="dxa"/>
            <w:gridSpan w:val="2"/>
            <w:tcBorders>
              <w:top w:val="nil"/>
              <w:left w:val="single" w:color="auto" w:sz="4" w:space="0"/>
              <w:bottom w:val="single" w:color="auto" w:sz="4" w:space="0"/>
              <w:right w:val="nil"/>
            </w:tcBorders>
            <w:shd w:val="clear" w:color="auto" w:fill="auto"/>
            <w:vAlign w:val="center"/>
          </w:tcPr>
          <w:p w14:paraId="13A18FFC">
            <w:pPr>
              <w:autoSpaceDN w:val="0"/>
              <w:jc w:val="center"/>
              <w:rPr>
                <w:rFonts w:ascii="方正仿宋_GBK" w:eastAsia="方正仿宋_GBK"/>
                <w:color w:val="000000"/>
                <w:sz w:val="18"/>
                <w:szCs w:val="18"/>
              </w:rPr>
            </w:pPr>
            <w:r>
              <w:rPr>
                <w:rFonts w:hint="eastAsia" w:ascii="方正仿宋_GBK" w:eastAsia="方正仿宋_GBK"/>
                <w:color w:val="000000"/>
                <w:sz w:val="18"/>
                <w:szCs w:val="18"/>
              </w:rPr>
              <w:t>受益人数大于10万人</w:t>
            </w:r>
          </w:p>
        </w:tc>
        <w:tc>
          <w:tcPr>
            <w:tcW w:w="1157" w:type="dxa"/>
            <w:gridSpan w:val="2"/>
            <w:tcBorders>
              <w:top w:val="nil"/>
              <w:left w:val="single" w:color="auto" w:sz="4" w:space="0"/>
              <w:bottom w:val="single" w:color="auto" w:sz="4" w:space="0"/>
              <w:right w:val="nil"/>
            </w:tcBorders>
            <w:shd w:val="clear" w:color="auto" w:fill="auto"/>
            <w:vAlign w:val="center"/>
          </w:tcPr>
          <w:p w14:paraId="381D63F4">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10万人</w:t>
            </w:r>
          </w:p>
        </w:tc>
        <w:tc>
          <w:tcPr>
            <w:tcW w:w="731" w:type="dxa"/>
            <w:gridSpan w:val="2"/>
            <w:tcBorders>
              <w:top w:val="nil"/>
              <w:left w:val="single" w:color="auto" w:sz="4" w:space="0"/>
              <w:bottom w:val="single" w:color="auto" w:sz="4" w:space="0"/>
              <w:right w:val="nil"/>
            </w:tcBorders>
            <w:shd w:val="clear" w:color="auto" w:fill="auto"/>
            <w:vAlign w:val="center"/>
          </w:tcPr>
          <w:p w14:paraId="5A906453">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100</w:t>
            </w:r>
          </w:p>
        </w:tc>
        <w:tc>
          <w:tcPr>
            <w:tcW w:w="603" w:type="dxa"/>
            <w:gridSpan w:val="2"/>
            <w:tcBorders>
              <w:top w:val="nil"/>
              <w:left w:val="single" w:color="auto" w:sz="4" w:space="0"/>
              <w:bottom w:val="single" w:color="auto" w:sz="4" w:space="0"/>
              <w:right w:val="nil"/>
            </w:tcBorders>
            <w:shd w:val="clear" w:color="auto" w:fill="auto"/>
            <w:vAlign w:val="center"/>
          </w:tcPr>
          <w:p w14:paraId="7065B870">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20</w:t>
            </w:r>
          </w:p>
        </w:tc>
        <w:tc>
          <w:tcPr>
            <w:tcW w:w="586" w:type="dxa"/>
            <w:tcBorders>
              <w:top w:val="nil"/>
              <w:left w:val="single" w:color="auto" w:sz="4" w:space="0"/>
              <w:bottom w:val="single" w:color="auto" w:sz="4" w:space="0"/>
              <w:right w:val="nil"/>
            </w:tcBorders>
            <w:shd w:val="clear" w:color="auto" w:fill="auto"/>
            <w:vAlign w:val="center"/>
          </w:tcPr>
          <w:p w14:paraId="09619D4C">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20</w:t>
            </w:r>
          </w:p>
        </w:tc>
        <w:tc>
          <w:tcPr>
            <w:tcW w:w="501" w:type="dxa"/>
            <w:tcBorders>
              <w:top w:val="nil"/>
              <w:left w:val="single" w:color="auto" w:sz="4" w:space="0"/>
              <w:bottom w:val="single" w:color="auto" w:sz="4" w:space="0"/>
              <w:right w:val="single" w:color="auto" w:sz="4" w:space="0"/>
            </w:tcBorders>
            <w:shd w:val="clear" w:color="auto" w:fill="auto"/>
            <w:vAlign w:val="center"/>
          </w:tcPr>
          <w:p w14:paraId="00DC22C9">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否</w:t>
            </w:r>
          </w:p>
        </w:tc>
      </w:tr>
      <w:tr w14:paraId="730AE00D">
        <w:tblPrEx>
          <w:tblCellMar>
            <w:top w:w="0" w:type="dxa"/>
            <w:left w:w="108" w:type="dxa"/>
            <w:bottom w:w="0" w:type="dxa"/>
            <w:right w:w="108" w:type="dxa"/>
          </w:tblCellMar>
        </w:tblPrEx>
        <w:trPr>
          <w:trHeight w:val="558" w:hRule="atLeast"/>
          <w:jc w:val="center"/>
        </w:trPr>
        <w:tc>
          <w:tcPr>
            <w:tcW w:w="634" w:type="dxa"/>
            <w:tcBorders>
              <w:top w:val="nil"/>
              <w:left w:val="single" w:color="auto" w:sz="4" w:space="0"/>
              <w:bottom w:val="single" w:color="auto" w:sz="4" w:space="0"/>
              <w:right w:val="single" w:color="auto" w:sz="4" w:space="0"/>
            </w:tcBorders>
            <w:shd w:val="clear" w:color="auto" w:fill="auto"/>
            <w:vAlign w:val="center"/>
          </w:tcPr>
          <w:p w14:paraId="66AAE036">
            <w:pPr>
              <w:autoSpaceDN w:val="0"/>
              <w:jc w:val="center"/>
              <w:rPr>
                <w:rFonts w:ascii="方正仿宋_GBK" w:hAnsi="Calibri" w:eastAsia="方正仿宋_GBK"/>
                <w:color w:val="000000"/>
                <w:sz w:val="18"/>
                <w:szCs w:val="18"/>
              </w:rPr>
            </w:pPr>
            <w:r>
              <w:rPr>
                <w:rFonts w:hint="eastAsia" w:ascii="方正仿宋_GBK" w:eastAsia="方正仿宋_GBK"/>
                <w:color w:val="000000"/>
                <w:sz w:val="18"/>
                <w:szCs w:val="18"/>
              </w:rPr>
              <w:t>说明</w:t>
            </w:r>
          </w:p>
        </w:tc>
        <w:tc>
          <w:tcPr>
            <w:tcW w:w="7887" w:type="dxa"/>
            <w:gridSpan w:val="14"/>
            <w:tcBorders>
              <w:top w:val="single" w:color="auto" w:sz="4" w:space="0"/>
              <w:left w:val="nil"/>
              <w:bottom w:val="single" w:color="auto" w:sz="4" w:space="0"/>
              <w:right w:val="single" w:color="auto" w:sz="4" w:space="0"/>
            </w:tcBorders>
            <w:shd w:val="clear" w:color="auto" w:fill="auto"/>
            <w:vAlign w:val="center"/>
          </w:tcPr>
          <w:p w14:paraId="44685ED5">
            <w:pPr>
              <w:autoSpaceDN w:val="0"/>
              <w:jc w:val="center"/>
              <w:rPr>
                <w:rFonts w:ascii="方正仿宋_GBK" w:hAnsi="Calibri" w:eastAsia="方正仿宋_GBK"/>
                <w:color w:val="000000"/>
                <w:sz w:val="18"/>
                <w:szCs w:val="18"/>
              </w:rPr>
            </w:pPr>
          </w:p>
        </w:tc>
      </w:tr>
    </w:tbl>
    <w:p w14:paraId="0342484A">
      <w:pPr>
        <w:pStyle w:val="6"/>
        <w:shd w:val="clear" w:color="auto" w:fill="FFFFFF"/>
        <w:spacing w:before="0" w:beforeAutospacing="0" w:after="0" w:afterAutospacing="0" w:line="600" w:lineRule="exact"/>
        <w:ind w:firstLine="640" w:firstLineChars="200"/>
        <w:jc w:val="both"/>
        <w:outlineLvl w:val="0"/>
        <w:rPr>
          <w:rStyle w:val="9"/>
          <w:rFonts w:ascii="方正黑体_GBK" w:eastAsia="方正黑体_GBK"/>
        </w:rPr>
      </w:pPr>
      <w:r>
        <w:rPr>
          <w:rStyle w:val="9"/>
          <w:rFonts w:hint="eastAsia" w:ascii="方正黑体_GBK" w:eastAsia="方正黑体_GBK"/>
          <w:b w:val="0"/>
          <w:sz w:val="32"/>
          <w:szCs w:val="32"/>
        </w:rPr>
        <w:t>六、专业名词解释</w:t>
      </w:r>
    </w:p>
    <w:p w14:paraId="20DBF236">
      <w:pPr>
        <w:pStyle w:val="6"/>
        <w:shd w:val="clear" w:color="auto" w:fill="FFFFFF"/>
        <w:spacing w:before="0" w:beforeAutospacing="0" w:after="0" w:afterAutospacing="0" w:line="600" w:lineRule="exact"/>
        <w:ind w:firstLine="640" w:firstLineChars="200"/>
        <w:jc w:val="both"/>
        <w:rPr>
          <w:rFonts w:ascii="方正仿宋_GBK" w:eastAsia="方正仿宋_GBK"/>
          <w:sz w:val="32"/>
          <w:szCs w:val="32"/>
        </w:rPr>
      </w:pPr>
      <w:r>
        <w:rPr>
          <w:rStyle w:val="9"/>
          <w:rFonts w:hint="eastAsia" w:ascii="方正楷体_GBK" w:hAnsi="方正楷体_GBK" w:eastAsia="方正楷体_GBK" w:cs="方正楷体_GBK"/>
          <w:b w:val="0"/>
          <w:bCs w:val="0"/>
          <w:sz w:val="32"/>
          <w:szCs w:val="32"/>
        </w:rPr>
        <w:t>（一）财政拨款收入</w:t>
      </w:r>
      <w:r>
        <w:rPr>
          <w:rFonts w:hint="eastAsia" w:ascii="方正楷体_GBK" w:hAnsi="方正楷体_GBK" w:eastAsia="方正楷体_GBK" w:cs="方正楷体_GBK"/>
          <w:sz w:val="32"/>
          <w:szCs w:val="32"/>
        </w:rPr>
        <w:t>：</w:t>
      </w:r>
      <w:r>
        <w:rPr>
          <w:rFonts w:hint="eastAsia" w:ascii="方正仿宋_GBK" w:eastAsia="方正仿宋_GBK"/>
          <w:sz w:val="32"/>
          <w:szCs w:val="32"/>
        </w:rPr>
        <w:t>指本年度从本级财政部门取得的财政拨款，包括一般公共预算财政拨款和政府性基金预算财政拨款。</w:t>
      </w:r>
    </w:p>
    <w:p w14:paraId="30E7C55B">
      <w:pPr>
        <w:pStyle w:val="6"/>
        <w:shd w:val="clear" w:color="auto" w:fill="FFFFFF"/>
        <w:spacing w:before="0" w:beforeAutospacing="0" w:after="0" w:afterAutospacing="0" w:line="600" w:lineRule="exact"/>
        <w:ind w:firstLine="640" w:firstLineChars="200"/>
        <w:jc w:val="both"/>
        <w:rPr>
          <w:rFonts w:ascii="方正仿宋_GBK" w:eastAsia="方正仿宋_GBK"/>
          <w:sz w:val="32"/>
          <w:szCs w:val="32"/>
        </w:rPr>
      </w:pPr>
      <w:r>
        <w:rPr>
          <w:rStyle w:val="9"/>
          <w:rFonts w:hint="eastAsia" w:ascii="方正楷体_GBK" w:hAnsi="方正楷体_GBK" w:eastAsia="方正楷体_GBK" w:cs="方正楷体_GBK"/>
          <w:b w:val="0"/>
          <w:bCs w:val="0"/>
          <w:sz w:val="32"/>
          <w:szCs w:val="32"/>
        </w:rPr>
        <w:t>（二）事业收入</w:t>
      </w:r>
      <w:r>
        <w:rPr>
          <w:rFonts w:hint="eastAsia" w:ascii="方正楷体_GBK" w:hAnsi="方正楷体_GBK" w:eastAsia="方正楷体_GBK" w:cs="方正楷体_GBK"/>
          <w:sz w:val="32"/>
          <w:szCs w:val="32"/>
        </w:rPr>
        <w:t>：</w:t>
      </w:r>
      <w:r>
        <w:rPr>
          <w:rFonts w:hint="eastAsia" w:ascii="方正仿宋_GBK" w:eastAsia="方正仿宋_GBK"/>
          <w:sz w:val="32"/>
          <w:szCs w:val="32"/>
        </w:rPr>
        <w:t>指事业单位开展专业业务活动及其辅助活动取得的现金流入；事业单位收到的财政专户实际核拨的教育收费等资金在此反映。</w:t>
      </w:r>
    </w:p>
    <w:p w14:paraId="468B0654">
      <w:pPr>
        <w:pStyle w:val="6"/>
        <w:shd w:val="clear" w:color="auto" w:fill="FFFFFF"/>
        <w:spacing w:before="0" w:beforeAutospacing="0" w:after="0" w:afterAutospacing="0" w:line="600" w:lineRule="exact"/>
        <w:ind w:firstLine="640" w:firstLineChars="200"/>
        <w:jc w:val="both"/>
        <w:rPr>
          <w:rFonts w:ascii="方正仿宋_GBK" w:eastAsia="方正仿宋_GBK"/>
          <w:sz w:val="32"/>
          <w:szCs w:val="32"/>
        </w:rPr>
      </w:pPr>
      <w:r>
        <w:rPr>
          <w:rStyle w:val="9"/>
          <w:rFonts w:hint="eastAsia" w:ascii="方正楷体_GBK" w:hAnsi="方正楷体_GBK" w:eastAsia="方正楷体_GBK" w:cs="方正楷体_GBK"/>
          <w:b w:val="0"/>
          <w:bCs w:val="0"/>
          <w:sz w:val="32"/>
          <w:szCs w:val="32"/>
        </w:rPr>
        <w:t>（三）经营收入</w:t>
      </w:r>
      <w:r>
        <w:rPr>
          <w:rFonts w:hint="eastAsia" w:ascii="方正楷体_GBK" w:hAnsi="方正楷体_GBK" w:eastAsia="方正楷体_GBK" w:cs="方正楷体_GBK"/>
          <w:sz w:val="32"/>
          <w:szCs w:val="32"/>
        </w:rPr>
        <w:t>：</w:t>
      </w:r>
      <w:r>
        <w:rPr>
          <w:rFonts w:hint="eastAsia" w:ascii="方正仿宋_GBK" w:eastAsia="方正仿宋_GBK"/>
          <w:sz w:val="32"/>
          <w:szCs w:val="32"/>
        </w:rPr>
        <w:t>指事业单位在专业业务活动及其辅助活动之外开展非独立核算经营活动取得的现金流入。</w:t>
      </w:r>
    </w:p>
    <w:p w14:paraId="5E7EAF49">
      <w:pPr>
        <w:pStyle w:val="6"/>
        <w:shd w:val="clear" w:color="auto" w:fill="FFFFFF"/>
        <w:spacing w:before="0" w:beforeAutospacing="0" w:after="0" w:afterAutospacing="0" w:line="600" w:lineRule="exact"/>
        <w:ind w:firstLine="640" w:firstLineChars="200"/>
        <w:jc w:val="both"/>
        <w:rPr>
          <w:rFonts w:ascii="方正仿宋_GBK" w:eastAsia="方正仿宋_GBK"/>
          <w:sz w:val="32"/>
          <w:szCs w:val="32"/>
        </w:rPr>
      </w:pPr>
      <w:r>
        <w:rPr>
          <w:rStyle w:val="9"/>
          <w:rFonts w:hint="eastAsia" w:ascii="方正楷体_GBK" w:hAnsi="方正楷体_GBK" w:eastAsia="方正楷体_GBK" w:cs="方正楷体_GBK"/>
          <w:b w:val="0"/>
          <w:bCs w:val="0"/>
          <w:sz w:val="32"/>
          <w:szCs w:val="32"/>
        </w:rPr>
        <w:t>（四）其他收入</w:t>
      </w:r>
      <w:r>
        <w:rPr>
          <w:rFonts w:hint="eastAsia" w:ascii="方正楷体_GBK" w:hAnsi="方正楷体_GBK" w:eastAsia="方正楷体_GBK" w:cs="方正楷体_GBK"/>
          <w:sz w:val="32"/>
          <w:szCs w:val="32"/>
        </w:rPr>
        <w:t>：</w:t>
      </w:r>
      <w:r>
        <w:rPr>
          <w:rFonts w:hint="eastAsia" w:ascii="方正仿宋_GBK" w:eastAsia="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D177D81">
      <w:pPr>
        <w:pStyle w:val="6"/>
        <w:shd w:val="clear" w:color="auto" w:fill="FFFFFF"/>
        <w:spacing w:before="0" w:beforeAutospacing="0" w:after="0" w:afterAutospacing="0" w:line="600" w:lineRule="exact"/>
        <w:ind w:firstLine="640" w:firstLineChars="200"/>
        <w:jc w:val="both"/>
        <w:rPr>
          <w:rFonts w:ascii="方正仿宋_GBK" w:eastAsia="方正仿宋_GBK"/>
          <w:sz w:val="32"/>
          <w:szCs w:val="32"/>
        </w:rPr>
      </w:pPr>
      <w:r>
        <w:rPr>
          <w:rStyle w:val="9"/>
          <w:rFonts w:hint="eastAsia" w:ascii="方正楷体_GBK" w:hAnsi="方正楷体_GBK" w:eastAsia="方正楷体_GBK" w:cs="方正楷体_GBK"/>
          <w:b w:val="0"/>
          <w:bCs w:val="0"/>
          <w:sz w:val="32"/>
          <w:szCs w:val="32"/>
        </w:rPr>
        <w:t>（五）用事业基金弥补收支差额</w:t>
      </w:r>
      <w:r>
        <w:rPr>
          <w:rFonts w:hint="eastAsia" w:ascii="方正楷体_GBK" w:hAnsi="方正楷体_GBK" w:eastAsia="方正楷体_GBK" w:cs="方正楷体_GBK"/>
          <w:sz w:val="32"/>
          <w:szCs w:val="32"/>
        </w:rPr>
        <w:t>：</w:t>
      </w:r>
      <w:r>
        <w:rPr>
          <w:rFonts w:hint="eastAsia" w:ascii="方正仿宋_GBK" w:eastAsia="方正仿宋_GBK"/>
          <w:sz w:val="32"/>
          <w:szCs w:val="32"/>
        </w:rPr>
        <w:t>指事业单位在当年的“财政拨款收入”、“事业收入”、“经营收入”、“其他收入”等不足以安排当年支出的情况下，使用以前年度积累的事业基金（事业单位当年收支相抵后按国家规定提取、用于弥补以后年度收支差额的基金）弥补本年度收支缺口的资金。</w:t>
      </w:r>
    </w:p>
    <w:p w14:paraId="49368C9D">
      <w:pPr>
        <w:pStyle w:val="6"/>
        <w:shd w:val="clear" w:color="auto" w:fill="FFFFFF"/>
        <w:spacing w:before="0" w:beforeAutospacing="0" w:after="0" w:afterAutospacing="0" w:line="600" w:lineRule="exact"/>
        <w:ind w:firstLine="640" w:firstLineChars="200"/>
        <w:jc w:val="both"/>
        <w:rPr>
          <w:rFonts w:ascii="方正仿宋_GBK" w:eastAsia="方正仿宋_GBK"/>
          <w:sz w:val="32"/>
          <w:szCs w:val="32"/>
        </w:rPr>
      </w:pPr>
      <w:r>
        <w:rPr>
          <w:rStyle w:val="9"/>
          <w:rFonts w:hint="eastAsia" w:ascii="方正楷体_GBK" w:hAnsi="方正楷体_GBK" w:eastAsia="方正楷体_GBK" w:cs="方正楷体_GBK"/>
          <w:b w:val="0"/>
          <w:bCs w:val="0"/>
          <w:sz w:val="32"/>
          <w:szCs w:val="32"/>
        </w:rPr>
        <w:t>（六）年初结转和结余</w:t>
      </w:r>
      <w:r>
        <w:rPr>
          <w:rFonts w:hint="eastAsia" w:ascii="方正楷体_GBK" w:hAnsi="方正楷体_GBK" w:eastAsia="方正楷体_GBK" w:cs="方正楷体_GBK"/>
          <w:sz w:val="32"/>
          <w:szCs w:val="32"/>
        </w:rPr>
        <w:t>：</w:t>
      </w:r>
      <w:r>
        <w:rPr>
          <w:rFonts w:hint="eastAsia" w:ascii="方正仿宋_GBK" w:eastAsia="方正仿宋_GBK"/>
          <w:sz w:val="32"/>
          <w:szCs w:val="32"/>
        </w:rPr>
        <w:t>指单位上年结转本年使用的基本支出结转、项目支出结转和结余、经营结余。</w:t>
      </w:r>
    </w:p>
    <w:p w14:paraId="4CBD3934">
      <w:pPr>
        <w:pStyle w:val="6"/>
        <w:shd w:val="clear" w:color="auto" w:fill="FFFFFF"/>
        <w:spacing w:before="0" w:beforeAutospacing="0" w:after="0" w:afterAutospacing="0" w:line="600" w:lineRule="exact"/>
        <w:ind w:firstLine="640" w:firstLineChars="200"/>
        <w:jc w:val="both"/>
        <w:rPr>
          <w:rFonts w:ascii="方正仿宋_GBK" w:eastAsia="方正仿宋_GBK"/>
          <w:sz w:val="32"/>
          <w:szCs w:val="32"/>
        </w:rPr>
      </w:pPr>
      <w:r>
        <w:rPr>
          <w:rStyle w:val="9"/>
          <w:rFonts w:hint="eastAsia" w:ascii="方正楷体_GBK" w:hAnsi="方正楷体_GBK" w:eastAsia="方正楷体_GBK" w:cs="方正楷体_GBK"/>
          <w:b w:val="0"/>
          <w:bCs w:val="0"/>
          <w:sz w:val="32"/>
          <w:szCs w:val="32"/>
        </w:rPr>
        <w:t>（七）结余分配</w:t>
      </w:r>
      <w:r>
        <w:rPr>
          <w:rFonts w:hint="eastAsia" w:ascii="方正楷体_GBK" w:hAnsi="方正楷体_GBK" w:eastAsia="方正楷体_GBK" w:cs="方正楷体_GBK"/>
          <w:sz w:val="32"/>
          <w:szCs w:val="32"/>
        </w:rPr>
        <w:t>：</w:t>
      </w:r>
      <w:r>
        <w:rPr>
          <w:rFonts w:hint="eastAsia" w:ascii="方正仿宋_GBK" w:eastAsia="方正仿宋_GBK"/>
          <w:sz w:val="32"/>
          <w:szCs w:val="32"/>
        </w:rPr>
        <w:t>指单位按照国家有关规定，缴纳所得税、提取专用基金、转入事业基金等当年结余的分配情况。</w:t>
      </w:r>
    </w:p>
    <w:p w14:paraId="12485563">
      <w:pPr>
        <w:pStyle w:val="6"/>
        <w:shd w:val="clear" w:color="auto" w:fill="FFFFFF"/>
        <w:spacing w:before="0" w:beforeAutospacing="0" w:after="0" w:afterAutospacing="0" w:line="600" w:lineRule="exact"/>
        <w:ind w:firstLine="640" w:firstLineChars="200"/>
        <w:jc w:val="both"/>
        <w:rPr>
          <w:rFonts w:ascii="方正仿宋_GBK" w:eastAsia="方正仿宋_GBK"/>
          <w:sz w:val="32"/>
          <w:szCs w:val="32"/>
        </w:rPr>
      </w:pPr>
      <w:r>
        <w:rPr>
          <w:rStyle w:val="9"/>
          <w:rFonts w:hint="eastAsia" w:ascii="方正楷体_GBK" w:hAnsi="方正楷体_GBK" w:eastAsia="方正楷体_GBK" w:cs="方正楷体_GBK"/>
          <w:b w:val="0"/>
          <w:bCs w:val="0"/>
          <w:sz w:val="32"/>
          <w:szCs w:val="32"/>
        </w:rPr>
        <w:t>（八）年末结转和结余</w:t>
      </w:r>
      <w:r>
        <w:rPr>
          <w:rFonts w:hint="eastAsia" w:ascii="方正楷体_GBK" w:hAnsi="方正楷体_GBK" w:eastAsia="方正楷体_GBK" w:cs="方正楷体_GBK"/>
          <w:sz w:val="32"/>
          <w:szCs w:val="32"/>
        </w:rPr>
        <w:t>：</w:t>
      </w:r>
      <w:r>
        <w:rPr>
          <w:rFonts w:hint="eastAsia" w:ascii="方正仿宋_GBK" w:eastAsia="方正仿宋_GBK"/>
          <w:sz w:val="32"/>
          <w:szCs w:val="32"/>
        </w:rPr>
        <w:t>指单位结转下年的基本支出结转、项目支出结转和结余、经营结余。</w:t>
      </w:r>
    </w:p>
    <w:p w14:paraId="7C00741A">
      <w:pPr>
        <w:pStyle w:val="6"/>
        <w:shd w:val="clear" w:color="auto" w:fill="FFFFFF"/>
        <w:spacing w:before="0" w:beforeAutospacing="0" w:after="0" w:afterAutospacing="0" w:line="600" w:lineRule="exact"/>
        <w:ind w:firstLine="640" w:firstLineChars="200"/>
        <w:jc w:val="both"/>
        <w:rPr>
          <w:rFonts w:ascii="方正仿宋_GBK" w:eastAsia="方正仿宋_GBK"/>
          <w:sz w:val="32"/>
          <w:szCs w:val="32"/>
        </w:rPr>
      </w:pPr>
      <w:r>
        <w:rPr>
          <w:rStyle w:val="9"/>
          <w:rFonts w:hint="eastAsia" w:ascii="方正楷体_GBK" w:hAnsi="方正楷体_GBK" w:eastAsia="方正楷体_GBK" w:cs="方正楷体_GBK"/>
          <w:b w:val="0"/>
          <w:bCs w:val="0"/>
          <w:sz w:val="32"/>
          <w:szCs w:val="32"/>
        </w:rPr>
        <w:t>（九）基本支出</w:t>
      </w:r>
      <w:r>
        <w:rPr>
          <w:rFonts w:hint="eastAsia" w:ascii="方正楷体_GBK" w:hAnsi="方正楷体_GBK" w:eastAsia="方正楷体_GBK" w:cs="方正楷体_GBK"/>
          <w:sz w:val="32"/>
          <w:szCs w:val="32"/>
        </w:rPr>
        <w:t>：</w:t>
      </w:r>
      <w:r>
        <w:rPr>
          <w:rFonts w:hint="eastAsia" w:ascii="方正仿宋_GBK" w:eastAsia="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873120A">
      <w:pPr>
        <w:pStyle w:val="6"/>
        <w:shd w:val="clear" w:color="auto" w:fill="FFFFFF"/>
        <w:spacing w:before="0" w:beforeAutospacing="0" w:after="0" w:afterAutospacing="0" w:line="600" w:lineRule="exact"/>
        <w:ind w:firstLine="640" w:firstLineChars="200"/>
        <w:jc w:val="both"/>
        <w:rPr>
          <w:rFonts w:ascii="方正仿宋_GBK" w:eastAsia="方正仿宋_GBK"/>
          <w:sz w:val="32"/>
          <w:szCs w:val="32"/>
        </w:rPr>
      </w:pPr>
      <w:r>
        <w:rPr>
          <w:rStyle w:val="9"/>
          <w:rFonts w:hint="eastAsia" w:ascii="方正楷体_GBK" w:hAnsi="方正楷体_GBK" w:eastAsia="方正楷体_GBK" w:cs="方正楷体_GBK"/>
          <w:b w:val="0"/>
          <w:bCs w:val="0"/>
          <w:sz w:val="32"/>
          <w:szCs w:val="32"/>
        </w:rPr>
        <w:t>（十）项目支出</w:t>
      </w:r>
      <w:r>
        <w:rPr>
          <w:rFonts w:hint="eastAsia" w:ascii="方正楷体_GBK" w:hAnsi="方正楷体_GBK" w:eastAsia="方正楷体_GBK" w:cs="方正楷体_GBK"/>
          <w:sz w:val="32"/>
          <w:szCs w:val="32"/>
        </w:rPr>
        <w:t>：</w:t>
      </w:r>
      <w:r>
        <w:rPr>
          <w:rFonts w:hint="eastAsia" w:ascii="方正仿宋_GBK" w:eastAsia="方正仿宋_GBK"/>
          <w:sz w:val="32"/>
          <w:szCs w:val="32"/>
        </w:rPr>
        <w:t>指在基本支出之外为完成特定行政任务和事业发展目标所发生的支出。</w:t>
      </w:r>
    </w:p>
    <w:p w14:paraId="3187E891">
      <w:pPr>
        <w:pStyle w:val="6"/>
        <w:shd w:val="clear" w:color="auto" w:fill="FFFFFF"/>
        <w:spacing w:before="0" w:beforeAutospacing="0" w:after="0" w:afterAutospacing="0" w:line="600" w:lineRule="exact"/>
        <w:ind w:firstLine="640" w:firstLineChars="200"/>
        <w:jc w:val="both"/>
        <w:rPr>
          <w:rFonts w:ascii="方正仿宋_GBK" w:eastAsia="方正仿宋_GBK"/>
          <w:sz w:val="32"/>
          <w:szCs w:val="32"/>
        </w:rPr>
      </w:pPr>
      <w:r>
        <w:rPr>
          <w:rStyle w:val="9"/>
          <w:rFonts w:hint="eastAsia" w:ascii="方正楷体_GBK" w:hAnsi="方正楷体_GBK" w:eastAsia="方正楷体_GBK" w:cs="方正楷体_GBK"/>
          <w:b w:val="0"/>
          <w:bCs w:val="0"/>
          <w:sz w:val="32"/>
          <w:szCs w:val="32"/>
        </w:rPr>
        <w:t>（十一）经营支出</w:t>
      </w:r>
      <w:r>
        <w:rPr>
          <w:rFonts w:hint="eastAsia" w:ascii="方正楷体_GBK" w:hAnsi="方正楷体_GBK" w:eastAsia="方正楷体_GBK" w:cs="方正楷体_GBK"/>
          <w:sz w:val="32"/>
          <w:szCs w:val="32"/>
        </w:rPr>
        <w:t>：</w:t>
      </w:r>
      <w:r>
        <w:rPr>
          <w:rFonts w:hint="eastAsia" w:ascii="方正仿宋_GBK" w:eastAsia="方正仿宋_GBK"/>
          <w:sz w:val="32"/>
          <w:szCs w:val="32"/>
        </w:rPr>
        <w:t>指事业单位在专业业务活动及其辅助活动之外开展非独立核算经营活动发生的支出。</w:t>
      </w:r>
    </w:p>
    <w:p w14:paraId="45F1E1D6">
      <w:pPr>
        <w:pStyle w:val="6"/>
        <w:shd w:val="clear" w:color="auto" w:fill="FFFFFF"/>
        <w:spacing w:before="0" w:beforeAutospacing="0" w:after="0" w:afterAutospacing="0" w:line="600" w:lineRule="exact"/>
        <w:ind w:firstLine="640" w:firstLineChars="200"/>
        <w:jc w:val="both"/>
        <w:rPr>
          <w:rFonts w:ascii="方正仿宋_GBK" w:eastAsia="方正仿宋_GBK"/>
          <w:sz w:val="32"/>
          <w:szCs w:val="32"/>
        </w:rPr>
      </w:pPr>
      <w:r>
        <w:rPr>
          <w:rStyle w:val="9"/>
          <w:rFonts w:hint="eastAsia" w:ascii="方正楷体_GBK" w:hAnsi="方正楷体_GBK" w:eastAsia="方正楷体_GBK" w:cs="方正楷体_GBK"/>
          <w:b w:val="0"/>
          <w:bCs w:val="0"/>
          <w:sz w:val="32"/>
          <w:szCs w:val="32"/>
        </w:rPr>
        <w:t>（十二）“三公”经费</w:t>
      </w:r>
      <w:r>
        <w:rPr>
          <w:rFonts w:hint="eastAsia" w:ascii="方正楷体_GBK" w:hAnsi="方正楷体_GBK" w:eastAsia="方正楷体_GBK" w:cs="方正楷体_GBK"/>
          <w:sz w:val="32"/>
          <w:szCs w:val="32"/>
        </w:rPr>
        <w:t>：</w:t>
      </w:r>
      <w:r>
        <w:rPr>
          <w:rFonts w:hint="eastAsia" w:ascii="方正仿宋_GBK"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B719C71">
      <w:pPr>
        <w:pStyle w:val="6"/>
        <w:shd w:val="clear" w:color="auto" w:fill="FFFFFF"/>
        <w:spacing w:before="0" w:beforeAutospacing="0" w:after="0" w:afterAutospacing="0" w:line="600" w:lineRule="exact"/>
        <w:ind w:firstLine="640" w:firstLineChars="200"/>
        <w:jc w:val="both"/>
        <w:rPr>
          <w:rFonts w:ascii="方正仿宋_GBK" w:eastAsia="方正仿宋_GBK"/>
          <w:sz w:val="32"/>
          <w:szCs w:val="32"/>
        </w:rPr>
      </w:pPr>
      <w:r>
        <w:rPr>
          <w:rStyle w:val="9"/>
          <w:rFonts w:hint="eastAsia" w:ascii="方正楷体_GBK" w:hAnsi="方正楷体_GBK" w:eastAsia="方正楷体_GBK" w:cs="方正楷体_GBK"/>
          <w:b w:val="0"/>
          <w:bCs w:val="0"/>
          <w:sz w:val="32"/>
          <w:szCs w:val="32"/>
        </w:rPr>
        <w:t>（十三）机关运行经费</w:t>
      </w:r>
      <w:r>
        <w:rPr>
          <w:rFonts w:hint="eastAsia" w:ascii="方正楷体_GBK" w:hAnsi="方正楷体_GBK" w:eastAsia="方正楷体_GBK" w:cs="方正楷体_GBK"/>
          <w:sz w:val="32"/>
          <w:szCs w:val="32"/>
        </w:rPr>
        <w:t>：</w:t>
      </w:r>
      <w:r>
        <w:rPr>
          <w:rFonts w:hint="eastAsia" w:ascii="方正仿宋_GBK" w:eastAsia="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08B82C1">
      <w:pPr>
        <w:pStyle w:val="6"/>
        <w:widowControl w:val="0"/>
        <w:shd w:val="clear" w:color="auto" w:fill="FFFFFF"/>
        <w:spacing w:before="0" w:beforeAutospacing="0" w:after="0" w:afterAutospacing="0" w:line="600" w:lineRule="exact"/>
        <w:ind w:firstLine="640" w:firstLineChars="200"/>
        <w:jc w:val="both"/>
        <w:rPr>
          <w:rFonts w:ascii="方正仿宋_GBK" w:eastAsia="方正仿宋_GBK"/>
          <w:sz w:val="32"/>
          <w:szCs w:val="32"/>
        </w:rPr>
      </w:pPr>
      <w:r>
        <w:rPr>
          <w:rStyle w:val="9"/>
          <w:rFonts w:hint="eastAsia" w:ascii="方正楷体_GBK" w:hAnsi="方正楷体_GBK" w:eastAsia="方正楷体_GBK" w:cs="方正楷体_GBK"/>
          <w:b w:val="0"/>
          <w:bCs w:val="0"/>
          <w:sz w:val="32"/>
          <w:szCs w:val="32"/>
        </w:rPr>
        <w:t>（十四）工资福利支出（支出经济分类科目类级）</w:t>
      </w:r>
      <w:r>
        <w:rPr>
          <w:rFonts w:hint="eastAsia" w:ascii="方正楷体_GBK" w:hAnsi="方正楷体_GBK" w:eastAsia="方正楷体_GBK" w:cs="方正楷体_GBK"/>
          <w:sz w:val="32"/>
          <w:szCs w:val="32"/>
        </w:rPr>
        <w:t>：</w:t>
      </w:r>
      <w:r>
        <w:rPr>
          <w:rFonts w:hint="eastAsia" w:ascii="方正仿宋_GBK" w:eastAsia="方正仿宋_GBK"/>
          <w:sz w:val="32"/>
          <w:szCs w:val="32"/>
        </w:rPr>
        <w:t>反映单位开支的在职职工和编制外长期聘用人员的各类劳动报酬，以及为上述人员缴纳的各项社会保险费等。</w:t>
      </w:r>
    </w:p>
    <w:p w14:paraId="0323E894">
      <w:pPr>
        <w:pStyle w:val="6"/>
        <w:widowControl w:val="0"/>
        <w:shd w:val="clear" w:color="auto" w:fill="FFFFFF"/>
        <w:spacing w:before="0" w:beforeAutospacing="0" w:after="0" w:afterAutospacing="0" w:line="600" w:lineRule="exact"/>
        <w:ind w:firstLine="640" w:firstLineChars="200"/>
        <w:jc w:val="both"/>
        <w:rPr>
          <w:rFonts w:ascii="方正仿宋_GBK" w:eastAsia="方正仿宋_GBK"/>
          <w:sz w:val="32"/>
          <w:szCs w:val="32"/>
        </w:rPr>
      </w:pPr>
      <w:r>
        <w:rPr>
          <w:rStyle w:val="9"/>
          <w:rFonts w:hint="eastAsia" w:ascii="方正楷体_GBK" w:hAnsi="方正楷体_GBK" w:eastAsia="方正楷体_GBK" w:cs="方正楷体_GBK"/>
          <w:b w:val="0"/>
          <w:bCs w:val="0"/>
          <w:sz w:val="32"/>
          <w:szCs w:val="32"/>
        </w:rPr>
        <w:t>（十五）商品和服务支出（支出经济分类科目类级）</w:t>
      </w:r>
      <w:r>
        <w:rPr>
          <w:rFonts w:hint="eastAsia" w:ascii="方正楷体_GBK" w:hAnsi="方正楷体_GBK" w:eastAsia="方正楷体_GBK" w:cs="方正楷体_GBK"/>
          <w:sz w:val="32"/>
          <w:szCs w:val="32"/>
        </w:rPr>
        <w:t>：</w:t>
      </w:r>
      <w:r>
        <w:rPr>
          <w:rFonts w:hint="eastAsia" w:ascii="方正仿宋_GBK" w:eastAsia="方正仿宋_GBK"/>
          <w:sz w:val="32"/>
          <w:szCs w:val="32"/>
        </w:rPr>
        <w:t>反映单位购买商品和服务的支出（不包括用于购置固定资产的支出、战略性和应急储备支出）。</w:t>
      </w:r>
    </w:p>
    <w:p w14:paraId="139E2DAB">
      <w:pPr>
        <w:pStyle w:val="6"/>
        <w:shd w:val="clear" w:color="auto" w:fill="FFFFFF"/>
        <w:spacing w:before="0" w:beforeAutospacing="0" w:after="0" w:afterAutospacing="0" w:line="600" w:lineRule="exact"/>
        <w:ind w:firstLine="640" w:firstLineChars="200"/>
        <w:jc w:val="both"/>
        <w:rPr>
          <w:rFonts w:ascii="方正仿宋_GBK" w:eastAsia="方正仿宋_GBK"/>
          <w:sz w:val="32"/>
          <w:szCs w:val="32"/>
        </w:rPr>
      </w:pPr>
      <w:r>
        <w:rPr>
          <w:rStyle w:val="9"/>
          <w:rFonts w:hint="eastAsia" w:ascii="方正楷体_GBK" w:hAnsi="方正楷体_GBK" w:eastAsia="方正楷体_GBK" w:cs="方正楷体_GBK"/>
          <w:b w:val="0"/>
          <w:bCs w:val="0"/>
          <w:sz w:val="32"/>
          <w:szCs w:val="32"/>
        </w:rPr>
        <w:t>（十六）对个人和家庭的补助（支出经济分类科目类级）</w:t>
      </w:r>
      <w:r>
        <w:rPr>
          <w:rFonts w:hint="eastAsia" w:ascii="方正楷体_GBK" w:hAnsi="方正楷体_GBK" w:eastAsia="方正楷体_GBK" w:cs="方正楷体_GBK"/>
          <w:sz w:val="32"/>
          <w:szCs w:val="32"/>
        </w:rPr>
        <w:t>：</w:t>
      </w:r>
      <w:r>
        <w:rPr>
          <w:rFonts w:hint="eastAsia" w:ascii="方正仿宋_GBK" w:eastAsia="方正仿宋_GBK"/>
          <w:sz w:val="32"/>
          <w:szCs w:val="32"/>
        </w:rPr>
        <w:t>反映用于对个人和家庭的补助支出。</w:t>
      </w:r>
    </w:p>
    <w:p w14:paraId="364AA511">
      <w:pPr>
        <w:pStyle w:val="6"/>
        <w:shd w:val="clear" w:color="auto" w:fill="FFFFFF"/>
        <w:spacing w:before="0" w:beforeAutospacing="0" w:after="0" w:afterAutospacing="0" w:line="600" w:lineRule="exact"/>
        <w:ind w:firstLine="640" w:firstLineChars="200"/>
        <w:jc w:val="both"/>
        <w:rPr>
          <w:rFonts w:ascii="方正仿宋_GBK" w:eastAsia="方正仿宋_GBK"/>
          <w:sz w:val="32"/>
          <w:szCs w:val="32"/>
        </w:rPr>
      </w:pPr>
      <w:r>
        <w:rPr>
          <w:rStyle w:val="9"/>
          <w:rFonts w:hint="eastAsia" w:ascii="方正楷体_GBK" w:hAnsi="方正楷体_GBK" w:eastAsia="方正楷体_GBK" w:cs="方正楷体_GBK"/>
          <w:b w:val="0"/>
          <w:bCs w:val="0"/>
          <w:sz w:val="32"/>
          <w:szCs w:val="32"/>
        </w:rPr>
        <w:t>（十七）其他资本性支出（支出经济分类科目类级）</w:t>
      </w:r>
      <w:r>
        <w:rPr>
          <w:rFonts w:hint="eastAsia" w:ascii="方正楷体_GBK" w:hAnsi="方正楷体_GBK" w:eastAsia="方正楷体_GBK" w:cs="方正楷体_GBK"/>
          <w:sz w:val="32"/>
          <w:szCs w:val="32"/>
        </w:rPr>
        <w:t>：</w:t>
      </w:r>
      <w:r>
        <w:rPr>
          <w:rFonts w:hint="eastAsia" w:ascii="方正仿宋_GBK" w:eastAsia="方正仿宋_GBK"/>
          <w:sz w:val="32"/>
          <w:szCs w:val="32"/>
        </w:rPr>
        <w:t>反映非各级发展与改革部门集中安排的用于购置固定资产、战略性和应急性储备、土地和无形资产，以及构建基础设施、大型修缮和财政支持企业更新改造所发生的支出。</w:t>
      </w:r>
    </w:p>
    <w:p w14:paraId="68AB413F">
      <w:pPr>
        <w:pStyle w:val="6"/>
        <w:shd w:val="clear" w:color="auto" w:fill="FFFFFF"/>
        <w:spacing w:before="0" w:beforeAutospacing="0" w:after="0" w:afterAutospacing="0" w:line="600" w:lineRule="exact"/>
        <w:ind w:firstLine="640" w:firstLineChars="200"/>
        <w:jc w:val="both"/>
        <w:outlineLvl w:val="0"/>
        <w:rPr>
          <w:rFonts w:ascii="方正黑体_GBK" w:eastAsia="方正黑体_GBK"/>
          <w:b/>
          <w:sz w:val="32"/>
          <w:szCs w:val="32"/>
        </w:rPr>
      </w:pPr>
      <w:r>
        <w:rPr>
          <w:rStyle w:val="9"/>
          <w:rFonts w:hint="eastAsia" w:ascii="方正黑体_GBK" w:eastAsia="方正黑体_GBK"/>
          <w:b w:val="0"/>
          <w:sz w:val="32"/>
          <w:szCs w:val="32"/>
        </w:rPr>
        <w:t>七、决算公开联系方式及信息反馈渠道</w:t>
      </w:r>
    </w:p>
    <w:p w14:paraId="0CF2FBBC">
      <w:pPr>
        <w:pStyle w:val="6"/>
        <w:shd w:val="clear" w:color="auto" w:fill="FFFFFF"/>
        <w:spacing w:before="0" w:beforeAutospacing="0" w:after="0" w:afterAutospacing="0" w:line="600" w:lineRule="exact"/>
        <w:ind w:firstLine="640" w:firstLineChars="200"/>
        <w:jc w:val="both"/>
        <w:rPr>
          <w:rFonts w:ascii="方正仿宋_GBK" w:eastAsia="方正仿宋_GBK"/>
          <w:sz w:val="32"/>
          <w:szCs w:val="32"/>
        </w:rPr>
      </w:pPr>
      <w:r>
        <w:rPr>
          <w:rFonts w:hint="eastAsia" w:ascii="方正仿宋_GBK" w:eastAsia="方正仿宋_GBK"/>
          <w:sz w:val="32"/>
          <w:szCs w:val="32"/>
        </w:rPr>
        <w:t>本单位决算公开信息反馈和联系方式：023-62826416。</w:t>
      </w:r>
    </w:p>
    <w:p w14:paraId="60B019B6">
      <w:pPr>
        <w:pStyle w:val="6"/>
        <w:shd w:val="clear" w:color="auto" w:fill="FFFFFF"/>
        <w:spacing w:before="0" w:beforeAutospacing="0" w:after="0" w:afterAutospacing="0" w:line="600" w:lineRule="exact"/>
        <w:ind w:firstLine="640" w:firstLineChars="200"/>
        <w:jc w:val="both"/>
        <w:rPr>
          <w:rFonts w:ascii="方正仿宋_GBK" w:eastAsia="方正仿宋_GBK"/>
          <w:sz w:val="32"/>
          <w:szCs w:val="32"/>
        </w:rPr>
      </w:pPr>
    </w:p>
    <w:sectPr>
      <w:footerReference r:id="rId3" w:type="default"/>
      <w:pgSz w:w="11907" w:h="16840"/>
      <w:pgMar w:top="2098" w:right="1701" w:bottom="1985" w:left="181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32487"/>
    </w:sdtPr>
    <w:sdtContent>
      <w:p w14:paraId="23664F40">
        <w:pPr>
          <w:pStyle w:val="4"/>
          <w:jc w:val="center"/>
        </w:pPr>
      </w:p>
      <w:p w14:paraId="26FB2298">
        <w:pPr>
          <w:pStyle w:val="4"/>
          <w:jc w:val="cente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11</w:t>
        </w:r>
        <w:r>
          <w:rPr>
            <w:rFonts w:ascii="Times New Roman" w:hAnsi="Times New Roman" w:cs="Times New Roman"/>
            <w:sz w:val="21"/>
            <w:szCs w:val="21"/>
          </w:rPr>
          <w:fldChar w:fldCharType="end"/>
        </w:r>
      </w:p>
    </w:sdtContent>
  </w:sdt>
  <w:p w14:paraId="0B6ADA9E">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1FA"/>
    <w:rsid w:val="000478A4"/>
    <w:rsid w:val="00065022"/>
    <w:rsid w:val="00115962"/>
    <w:rsid w:val="00221A09"/>
    <w:rsid w:val="0030438F"/>
    <w:rsid w:val="00316F52"/>
    <w:rsid w:val="00317DE3"/>
    <w:rsid w:val="00323DC8"/>
    <w:rsid w:val="003269CF"/>
    <w:rsid w:val="003463D8"/>
    <w:rsid w:val="00420E29"/>
    <w:rsid w:val="0063459A"/>
    <w:rsid w:val="006B3A67"/>
    <w:rsid w:val="006F08AE"/>
    <w:rsid w:val="007813B9"/>
    <w:rsid w:val="0087676C"/>
    <w:rsid w:val="009A41FA"/>
    <w:rsid w:val="009D65BE"/>
    <w:rsid w:val="009F4585"/>
    <w:rsid w:val="00B40B61"/>
    <w:rsid w:val="00B61C9F"/>
    <w:rsid w:val="00C56A80"/>
    <w:rsid w:val="00C947A8"/>
    <w:rsid w:val="00D33E16"/>
    <w:rsid w:val="00D73116"/>
    <w:rsid w:val="00E07898"/>
    <w:rsid w:val="00E10F9A"/>
    <w:rsid w:val="00E6642C"/>
    <w:rsid w:val="00F364CA"/>
    <w:rsid w:val="00FB285E"/>
    <w:rsid w:val="0334480A"/>
    <w:rsid w:val="037270E4"/>
    <w:rsid w:val="06867D41"/>
    <w:rsid w:val="08A41020"/>
    <w:rsid w:val="0B4B7E79"/>
    <w:rsid w:val="0C2F32F7"/>
    <w:rsid w:val="0C71008E"/>
    <w:rsid w:val="0C9E4BDC"/>
    <w:rsid w:val="0D8C22D8"/>
    <w:rsid w:val="0DD506AB"/>
    <w:rsid w:val="0DD63A86"/>
    <w:rsid w:val="0E6F3E7F"/>
    <w:rsid w:val="13B54A2A"/>
    <w:rsid w:val="13C95AD5"/>
    <w:rsid w:val="16290DB7"/>
    <w:rsid w:val="16F4042C"/>
    <w:rsid w:val="17873D27"/>
    <w:rsid w:val="18044425"/>
    <w:rsid w:val="1A7E5BBC"/>
    <w:rsid w:val="1E392382"/>
    <w:rsid w:val="1E9E60BA"/>
    <w:rsid w:val="208A2D9A"/>
    <w:rsid w:val="212D61A0"/>
    <w:rsid w:val="28444010"/>
    <w:rsid w:val="28E44168"/>
    <w:rsid w:val="29293E76"/>
    <w:rsid w:val="2AB733C7"/>
    <w:rsid w:val="2C66788A"/>
    <w:rsid w:val="2CE73722"/>
    <w:rsid w:val="2EB9467E"/>
    <w:rsid w:val="2F3C2412"/>
    <w:rsid w:val="301B44C1"/>
    <w:rsid w:val="32774104"/>
    <w:rsid w:val="3281224F"/>
    <w:rsid w:val="33734DA5"/>
    <w:rsid w:val="35221255"/>
    <w:rsid w:val="35BD37FC"/>
    <w:rsid w:val="370501F6"/>
    <w:rsid w:val="3E94330A"/>
    <w:rsid w:val="3EAC4F55"/>
    <w:rsid w:val="3F9F44E5"/>
    <w:rsid w:val="42366C53"/>
    <w:rsid w:val="43E837B0"/>
    <w:rsid w:val="44FC4BC5"/>
    <w:rsid w:val="46AD5CA4"/>
    <w:rsid w:val="47157679"/>
    <w:rsid w:val="483D40CA"/>
    <w:rsid w:val="4E236CAA"/>
    <w:rsid w:val="51775271"/>
    <w:rsid w:val="527E074E"/>
    <w:rsid w:val="54B14AB0"/>
    <w:rsid w:val="54C60781"/>
    <w:rsid w:val="55901489"/>
    <w:rsid w:val="587655E7"/>
    <w:rsid w:val="5D6D4FFA"/>
    <w:rsid w:val="5F1540E6"/>
    <w:rsid w:val="60F93CB5"/>
    <w:rsid w:val="65971F7A"/>
    <w:rsid w:val="65B43EFB"/>
    <w:rsid w:val="65C1007B"/>
    <w:rsid w:val="6EF07839"/>
    <w:rsid w:val="6FED7B26"/>
    <w:rsid w:val="72AA67AE"/>
    <w:rsid w:val="72B92290"/>
    <w:rsid w:val="759C4277"/>
    <w:rsid w:val="75D65BB0"/>
    <w:rsid w:val="77667943"/>
    <w:rsid w:val="7E2650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2"/>
    <w:semiHidden/>
    <w:unhideWhenUsed/>
    <w:qFormat/>
    <w:uiPriority w:val="99"/>
    <w:rPr>
      <w:sz w:val="18"/>
      <w:szCs w:val="18"/>
    </w:rPr>
  </w:style>
  <w:style w:type="paragraph" w:styleId="3">
    <w:name w:val="Balloon Text"/>
    <w:basedOn w:val="1"/>
    <w:link w:val="16"/>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100" w:beforeAutospacing="1" w:after="100" w:afterAutospacing="1"/>
    </w:pPr>
  </w:style>
  <w:style w:type="character" w:styleId="9">
    <w:name w:val="Strong"/>
    <w:basedOn w:val="8"/>
    <w:qFormat/>
    <w:uiPriority w:val="22"/>
    <w:rPr>
      <w:b/>
      <w:bCs/>
    </w:rPr>
  </w:style>
  <w:style w:type="character" w:customStyle="1" w:styleId="10">
    <w:name w:val="页眉 字符"/>
    <w:basedOn w:val="8"/>
    <w:link w:val="5"/>
    <w:semiHidden/>
    <w:qFormat/>
    <w:locked/>
    <w:uiPriority w:val="99"/>
    <w:rPr>
      <w:rFonts w:hint="eastAsia" w:ascii="宋体" w:hAnsi="宋体" w:eastAsia="宋体" w:cs="宋体"/>
      <w:sz w:val="18"/>
      <w:szCs w:val="18"/>
    </w:rPr>
  </w:style>
  <w:style w:type="character" w:customStyle="1" w:styleId="11">
    <w:name w:val="页脚 字符"/>
    <w:basedOn w:val="8"/>
    <w:link w:val="4"/>
    <w:qFormat/>
    <w:locked/>
    <w:uiPriority w:val="99"/>
    <w:rPr>
      <w:rFonts w:hint="eastAsia" w:ascii="宋体" w:hAnsi="宋体" w:eastAsia="宋体" w:cs="宋体"/>
      <w:sz w:val="18"/>
      <w:szCs w:val="18"/>
    </w:rPr>
  </w:style>
  <w:style w:type="character" w:customStyle="1" w:styleId="12">
    <w:name w:val="文档结构图 字符"/>
    <w:basedOn w:val="8"/>
    <w:link w:val="2"/>
    <w:semiHidden/>
    <w:qFormat/>
    <w:locked/>
    <w:uiPriority w:val="99"/>
    <w:rPr>
      <w:rFonts w:hint="eastAsia" w:ascii="宋体" w:hAnsi="宋体" w:eastAsia="宋体" w:cs="宋体"/>
      <w:sz w:val="18"/>
      <w:szCs w:val="18"/>
    </w:rPr>
  </w:style>
  <w:style w:type="paragraph" w:styleId="13">
    <w:name w:val="List Paragraph"/>
    <w:basedOn w:val="1"/>
    <w:qFormat/>
    <w:uiPriority w:val="34"/>
    <w:pPr>
      <w:widowControl w:val="0"/>
      <w:ind w:firstLine="420" w:firstLineChars="200"/>
      <w:jc w:val="both"/>
    </w:pPr>
    <w:rPr>
      <w:rFonts w:ascii="Calibri" w:hAnsi="Calibri" w:cs="Times New Roman"/>
      <w:kern w:val="2"/>
      <w:sz w:val="21"/>
      <w:szCs w:val="22"/>
    </w:rPr>
  </w:style>
  <w:style w:type="paragraph" w:customStyle="1" w:styleId="14">
    <w:name w:val="msonormal"/>
    <w:basedOn w:val="1"/>
    <w:semiHidden/>
    <w:qFormat/>
    <w:uiPriority w:val="99"/>
    <w:pPr>
      <w:spacing w:before="100" w:beforeAutospacing="1" w:after="100" w:afterAutospacing="1"/>
    </w:pPr>
  </w:style>
  <w:style w:type="paragraph" w:customStyle="1" w:styleId="15">
    <w:name w:val="普通(网站) Char"/>
    <w:basedOn w:val="14"/>
    <w:qFormat/>
    <w:uiPriority w:val="0"/>
  </w:style>
  <w:style w:type="character" w:customStyle="1" w:styleId="16">
    <w:name w:val="批注框文本 字符"/>
    <w:basedOn w:val="8"/>
    <w:link w:val="3"/>
    <w:semiHidden/>
    <w:qFormat/>
    <w:uiPriority w:val="99"/>
    <w:rPr>
      <w:rFonts w:ascii="宋体" w:hAnsi="宋体" w:cs="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99550-B257-4546-AB00-96699E81D5B1}">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16</Pages>
  <Words>3371</Words>
  <Characters>3816</Characters>
  <Lines>57</Lines>
  <Paragraphs>16</Paragraphs>
  <TotalTime>86</TotalTime>
  <ScaleCrop>false</ScaleCrop>
  <LinksUpToDate>false</LinksUpToDate>
  <CharactersWithSpaces>3818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2021-09-08T03:29:00Z</dcterms:created>
  <dc:creator>Administrator</dc:creator>
  <cp:lastModifiedBy>Jian聃</cp:lastModifiedBy>
  <cp:lastPrinted>2021-11-19T02:50:00Z</cp:lastPrinted>
  <dcterms:modified xsi:type="dcterms:W3CDTF">2026-01-28T03:01:03Z</dcterms:modified>
  <dc:title>公开报告模板</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D83B5548214A491FA5E7B0178A11B435</vt:lpwstr>
  </property>
  <property fmtid="{D5CDD505-2E9C-101B-9397-08002B2CF9AE}" pid="4" name="KSOTemplateDocerSaveRecord">
    <vt:lpwstr>eyJoZGlkIjoiMTJkNjc3YjA1N2FmNWU2ZmZmOWI3ZGM3OTIxM2QzZGEiLCJ1c2VySWQiOiI5MzM5OTU4NjgifQ==</vt:lpwstr>
  </property>
</Properties>
</file>