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3062" w:rightChars="969"/>
        <w:rPr>
          <w:rFonts w:hint="eastAsia" w:eastAsia="方正小标宋_GBK"/>
          <w:color w:val="000000"/>
          <w:spacing w:val="80"/>
          <w:w w:val="80"/>
        </w:rPr>
      </w:pPr>
    </w:p>
    <w:p>
      <w:pPr>
        <w:spacing w:line="340" w:lineRule="exact"/>
        <w:ind w:right="3062" w:rightChars="969"/>
        <w:rPr>
          <w:rFonts w:hint="eastAsia" w:eastAsia="方正小标宋_GBK"/>
          <w:color w:val="000000"/>
          <w:spacing w:val="80"/>
          <w:w w:val="80"/>
        </w:rPr>
      </w:pPr>
    </w:p>
    <w:p>
      <w:pPr>
        <w:spacing w:line="340" w:lineRule="exact"/>
        <w:ind w:right="3062" w:rightChars="969"/>
        <w:rPr>
          <w:rFonts w:hint="eastAsia" w:eastAsia="方正小标宋_GBK"/>
          <w:color w:val="000000"/>
          <w:spacing w:val="80"/>
          <w:w w:val="80"/>
        </w:rPr>
      </w:pPr>
    </w:p>
    <w:p>
      <w:pPr>
        <w:spacing w:line="960" w:lineRule="exact"/>
        <w:rPr>
          <w:rFonts w:hint="eastAsia" w:eastAsia="方正小标宋_GBK"/>
          <w:b/>
          <w:bCs/>
          <w:color w:val="000000"/>
          <w:spacing w:val="8"/>
          <w:w w:val="50"/>
          <w:sz w:val="120"/>
          <w:szCs w:val="120"/>
        </w:rPr>
      </w:pPr>
    </w:p>
    <w:p>
      <w:pPr>
        <w:spacing w:line="1540" w:lineRule="exact"/>
        <w:rPr>
          <w:rFonts w:hint="eastAsia" w:eastAsia="方正小标宋_GBK"/>
          <w:b/>
          <w:bCs/>
          <w:color w:val="FF0000"/>
          <w:w w:val="50"/>
          <w:sz w:val="140"/>
          <w:szCs w:val="140"/>
        </w:rPr>
      </w:pPr>
      <w:r>
        <w:rPr>
          <w:rFonts w:eastAsia="方正小标宋_GBK"/>
          <w:b/>
          <w:bCs/>
          <w:color w:val="FF0000"/>
          <w:w w:val="50"/>
          <w:sz w:val="140"/>
          <w:szCs w:val="140"/>
        </w:rPr>
        <mc:AlternateContent>
          <mc:Choice Requires="wps">
            <w:drawing>
              <wp:anchor distT="0" distB="0" distL="114300" distR="114300" simplePos="0" relativeHeight="251660288" behindDoc="0" locked="0" layoutInCell="1" allowOverlap="1">
                <wp:simplePos x="0" y="0"/>
                <wp:positionH relativeFrom="column">
                  <wp:posOffset>4629150</wp:posOffset>
                </wp:positionH>
                <wp:positionV relativeFrom="paragraph">
                  <wp:posOffset>327660</wp:posOffset>
                </wp:positionV>
                <wp:extent cx="1543050" cy="1470660"/>
                <wp:effectExtent l="0" t="0" r="0" b="15240"/>
                <wp:wrapNone/>
                <wp:docPr id="2" name="文本框 88"/>
                <wp:cNvGraphicFramePr/>
                <a:graphic xmlns:a="http://schemas.openxmlformats.org/drawingml/2006/main">
                  <a:graphicData uri="http://schemas.microsoft.com/office/word/2010/wordprocessingShape">
                    <wps:wsp>
                      <wps:cNvSpPr txBox="1"/>
                      <wps:spPr>
                        <a:xfrm>
                          <a:off x="0" y="0"/>
                          <a:ext cx="1543050" cy="1470660"/>
                        </a:xfrm>
                        <a:prstGeom prst="rect">
                          <a:avLst/>
                        </a:prstGeom>
                        <a:solidFill>
                          <a:srgbClr val="FFFFFF"/>
                        </a:solidFill>
                        <a:ln>
                          <a:noFill/>
                        </a:ln>
                      </wps:spPr>
                      <wps:txbx>
                        <w:txbxContent>
                          <w:p>
                            <w:pPr>
                              <w:spacing w:line="1800" w:lineRule="exact"/>
                              <w:rPr>
                                <w:color w:val="FF0000"/>
                                <w:w w:val="50"/>
                                <w:sz w:val="140"/>
                                <w:szCs w:val="140"/>
                              </w:rPr>
                            </w:pPr>
                            <w:r>
                              <w:rPr>
                                <w:rFonts w:hint="eastAsia" w:eastAsia="方正小标宋_GBK"/>
                                <w:b/>
                                <w:bCs/>
                                <w:color w:val="FF0000"/>
                                <w:spacing w:val="80"/>
                                <w:w w:val="50"/>
                                <w:sz w:val="140"/>
                                <w:szCs w:val="140"/>
                              </w:rPr>
                              <w:t>文件</w:t>
                            </w:r>
                            <w:r>
                              <w:rPr>
                                <w:rFonts w:hint="eastAsia" w:eastAsia="方正小标宋_GBK"/>
                                <w:b/>
                                <w:bCs/>
                                <w:color w:val="FF0000"/>
                                <w:w w:val="50"/>
                                <w:sz w:val="140"/>
                                <w:szCs w:val="140"/>
                              </w:rPr>
                              <w:t xml:space="preserve"> </w:t>
                            </w:r>
                          </w:p>
                        </w:txbxContent>
                      </wps:txbx>
                      <wps:bodyPr wrap="square" upright="1"/>
                    </wps:wsp>
                  </a:graphicData>
                </a:graphic>
              </wp:anchor>
            </w:drawing>
          </mc:Choice>
          <mc:Fallback>
            <w:pict>
              <v:shape id="文本框 88" o:spid="_x0000_s1026" o:spt="202" type="#_x0000_t202" style="position:absolute;left:0pt;margin-left:364.5pt;margin-top:25.8pt;height:115.8pt;width:121.5pt;z-index:251660288;mso-width-relative:page;mso-height-relative:page;" fillcolor="#FFFFFF" filled="t" stroked="f" coordsize="21600,21600" o:gfxdata="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im+yNgAAAAKAQAADwAAAAAAAAABACAAAAAiAAAA&#10;ZHJzL2Rvd25yZXYueG1sUEsBAhQAFAAAAAgAh07iQFIr2ofOAQAAhwMAAA4AAAAAAAAAAQAgAAAA&#10;JwEAAGRycy9lMm9Eb2MueG1sUEsFBgAAAAAGAAYAWQEAAGcFAAAAAA==&#10;">
                <v:fill on="t" focussize="0,0"/>
                <v:stroke on="f"/>
                <v:imagedata o:title=""/>
                <o:lock v:ext="edit" aspectratio="f"/>
                <v:textbox>
                  <w:txbxContent>
                    <w:p>
                      <w:pPr>
                        <w:spacing w:line="1800" w:lineRule="exact"/>
                        <w:rPr>
                          <w:color w:val="FF0000"/>
                          <w:w w:val="50"/>
                          <w:sz w:val="140"/>
                          <w:szCs w:val="140"/>
                        </w:rPr>
                      </w:pPr>
                      <w:r>
                        <w:rPr>
                          <w:rFonts w:hint="eastAsia" w:eastAsia="方正小标宋_GBK"/>
                          <w:b/>
                          <w:bCs/>
                          <w:color w:val="FF0000"/>
                          <w:spacing w:val="80"/>
                          <w:w w:val="50"/>
                          <w:sz w:val="140"/>
                          <w:szCs w:val="140"/>
                        </w:rPr>
                        <w:t>文件</w:t>
                      </w:r>
                      <w:r>
                        <w:rPr>
                          <w:rFonts w:hint="eastAsia" w:eastAsia="方正小标宋_GBK"/>
                          <w:b/>
                          <w:bCs/>
                          <w:color w:val="FF0000"/>
                          <w:w w:val="50"/>
                          <w:sz w:val="140"/>
                          <w:szCs w:val="140"/>
                        </w:rPr>
                        <w:t xml:space="preserve"> </w:t>
                      </w:r>
                    </w:p>
                  </w:txbxContent>
                </v:textbox>
              </v:shape>
            </w:pict>
          </mc:Fallback>
        </mc:AlternateContent>
      </w:r>
      <w:r>
        <w:rPr>
          <w:rFonts w:hint="eastAsia" w:eastAsia="方正小标宋_GBK"/>
          <w:b/>
          <w:bCs/>
          <w:color w:val="FF0000"/>
          <w:w w:val="50"/>
          <w:sz w:val="140"/>
          <w:szCs w:val="140"/>
        </w:rPr>
        <w:t>重庆市农业农村委员会</w:t>
      </w:r>
    </w:p>
    <w:p>
      <w:pPr>
        <w:spacing w:line="240" w:lineRule="exact"/>
        <w:rPr>
          <w:rFonts w:hint="eastAsia" w:eastAsia="方正小标宋_GBK"/>
          <w:b/>
          <w:bCs/>
          <w:color w:val="FF0000"/>
          <w:spacing w:val="-40"/>
          <w:w w:val="50"/>
          <w:sz w:val="140"/>
          <w:szCs w:val="140"/>
        </w:rPr>
      </w:pPr>
    </w:p>
    <w:p>
      <w:pPr>
        <w:spacing w:line="1540" w:lineRule="exact"/>
        <w:rPr>
          <w:rFonts w:hint="eastAsia" w:eastAsia="方正小标宋_GBK"/>
          <w:b/>
          <w:bCs/>
          <w:color w:val="FF0000"/>
          <w:spacing w:val="-24"/>
          <w:w w:val="50"/>
          <w:sz w:val="140"/>
          <w:szCs w:val="140"/>
        </w:rPr>
      </w:pPr>
      <w:r>
        <w:rPr>
          <w:rFonts w:hint="eastAsia" w:eastAsia="方正小标宋_GBK"/>
          <w:b/>
          <w:bCs/>
          <w:color w:val="FF0000"/>
          <w:spacing w:val="-24"/>
          <w:w w:val="50"/>
          <w:sz w:val="140"/>
          <w:szCs w:val="140"/>
        </w:rPr>
        <w:t>重  庆  市  财  政  局</w:t>
      </w:r>
    </w:p>
    <w:p>
      <w:pPr>
        <w:spacing w:line="500" w:lineRule="exact"/>
        <w:jc w:val="center"/>
        <w:rPr>
          <w:rFonts w:hint="eastAsia"/>
        </w:rPr>
      </w:pPr>
    </w:p>
    <w:p>
      <w:pPr>
        <w:spacing w:line="360" w:lineRule="exact"/>
        <w:jc w:val="center"/>
        <w:rPr>
          <w:rFonts w:hint="eastAsia"/>
        </w:rPr>
      </w:pPr>
    </w:p>
    <w:p>
      <w:pPr>
        <w:spacing w:line="360" w:lineRule="exact"/>
        <w:jc w:val="center"/>
        <w:rPr>
          <w:rFonts w:hint="eastAsia" w:ascii="方正仿宋_GBK" w:eastAsia="方正仿宋_GBK"/>
        </w:rPr>
      </w:pPr>
      <w:r>
        <w:rPr>
          <w:rFonts w:hint="eastAsia" w:ascii="方正仿宋_GBK" w:eastAsia="方正仿宋_GBK"/>
        </w:rPr>
        <w:t>渝农发</w:t>
      </w:r>
      <w:r>
        <w:rPr>
          <w:rFonts w:hint="eastAsia" w:ascii="方正仿宋_GBK" w:eastAsia="方正仿宋_GBK"/>
          <w:spacing w:val="-10"/>
          <w:szCs w:val="32"/>
        </w:rPr>
        <w:t>〔20</w:t>
      </w:r>
      <w:r>
        <w:rPr>
          <w:rFonts w:hint="eastAsia" w:ascii="方正仿宋_GBK" w:eastAsia="方正仿宋_GBK"/>
          <w:spacing w:val="-10"/>
          <w:szCs w:val="32"/>
          <w:lang w:val="en-US" w:eastAsia="zh-CN"/>
        </w:rPr>
        <w:t>23</w:t>
      </w:r>
      <w:r>
        <w:rPr>
          <w:rFonts w:hint="eastAsia" w:ascii="方正仿宋_GBK" w:eastAsia="方正仿宋_GBK"/>
          <w:spacing w:val="-10"/>
          <w:szCs w:val="32"/>
        </w:rPr>
        <w:t>〕</w:t>
      </w:r>
      <w:r>
        <w:rPr>
          <w:rFonts w:hint="eastAsia" w:ascii="方正仿宋_GBK" w:eastAsia="方正仿宋_GBK"/>
          <w:spacing w:val="-10"/>
          <w:szCs w:val="32"/>
          <w:lang w:val="en-US" w:eastAsia="zh-CN"/>
        </w:rPr>
        <w:t>79</w:t>
      </w:r>
      <w:r>
        <w:rPr>
          <w:rFonts w:hint="eastAsia" w:ascii="方正仿宋_GBK" w:eastAsia="方正仿宋_GBK"/>
        </w:rPr>
        <w:t>号</w:t>
      </w:r>
    </w:p>
    <w:p>
      <w:pPr>
        <w:spacing w:line="200" w:lineRule="exact"/>
        <w:rPr>
          <w:rFonts w:hint="eastAsia" w:eastAsia="楷体_GB2312"/>
          <w:u w:val="single"/>
        </w:rPr>
      </w:pPr>
    </w:p>
    <w:p>
      <w:pPr>
        <w:rPr>
          <w:rFonts w:hint="eastAsia" w:eastAsia="楷体_GB2312"/>
        </w:rPr>
      </w:pPr>
      <w:r>
        <w:rPr>
          <w:color w:val="FF0000"/>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734050" cy="0"/>
                <wp:effectExtent l="0" t="9525" r="0" b="9525"/>
                <wp:wrapNone/>
                <wp:docPr id="1" name="直线 61"/>
                <wp:cNvGraphicFramePr/>
                <a:graphic xmlns:a="http://schemas.openxmlformats.org/drawingml/2006/main">
                  <a:graphicData uri="http://schemas.microsoft.com/office/word/2010/wordprocessingShape">
                    <wps:wsp>
                      <wps:cNvSpPr/>
                      <wps:spPr>
                        <a:xfrm>
                          <a:off x="0" y="0"/>
                          <a:ext cx="57340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0pt;margin-top:-0.4pt;height:0pt;width:451.5pt;z-index:251659264;mso-width-relative:page;mso-height-relative:page;" filled="f" stroked="t" coordsize="21600,21600" o:gfxdata="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O9oI0gAAAAQB&#10;AAAPAAAAAAAAAAEAIAAAACIAAABkcnMvZG93bnJldi54bWxQSwECFAAUAAAACACHTuJApFf0rugB&#10;AADdAwAADgAAAAAAAAABACAAAAAhAQAAZHJzL2Uyb0RvYy54bWxQSwUGAAAAAAYABgBZAQAAewUA&#10;AAAA&#10;">
                <v:fill on="f" focussize="0,0"/>
                <v:stroke weight="1.5pt" color="#FF0000" joinstyle="round"/>
                <v:imagedata o:title=""/>
                <o:lock v:ext="edit" aspectratio="f"/>
              </v:line>
            </w:pict>
          </mc:Fallback>
        </mc:AlternateContent>
      </w:r>
    </w:p>
    <w:p>
      <w:pPr>
        <w:spacing w:line="560" w:lineRule="exact"/>
        <w:jc w:val="center"/>
        <w:rPr>
          <w:rFonts w:hint="eastAsia" w:eastAsia="方正小标宋_GBK"/>
          <w:spacing w:val="14"/>
          <w:sz w:val="44"/>
          <w:szCs w:val="44"/>
        </w:rPr>
      </w:pPr>
      <w:bookmarkStart w:id="0" w:name="OLE_LINK1"/>
    </w:p>
    <w:p>
      <w:pPr>
        <w:keepNext w:val="0"/>
        <w:keepLines w:val="0"/>
        <w:pageBreakBefore w:val="0"/>
        <w:widowControl w:val="0"/>
        <w:tabs>
          <w:tab w:val="left" w:pos="1508"/>
          <w:tab w:val="center" w:pos="4503"/>
        </w:tabs>
        <w:kinsoku/>
        <w:wordWrap/>
        <w:overflowPunct/>
        <w:topLinePunct w:val="0"/>
        <w:autoSpaceDE/>
        <w:autoSpaceDN/>
        <w:bidi w:val="0"/>
        <w:adjustRightInd/>
        <w:snapToGrid/>
        <w:spacing w:line="580" w:lineRule="exact"/>
        <w:ind w:left="1896" w:leftChars="600" w:right="1896" w:rightChars="600" w:firstLine="0" w:firstLineChars="0"/>
        <w:jc w:val="distribute"/>
        <w:textAlignment w:val="auto"/>
        <w:rPr>
          <w:rFonts w:hint="eastAsia" w:ascii="方正小标宋_GBK" w:hAnsi="宋体" w:eastAsia="方正小标宋_GBK" w:cs="方正仿宋_GBK"/>
          <w:kern w:val="0"/>
          <w:sz w:val="44"/>
          <w:szCs w:val="44"/>
        </w:rPr>
      </w:pPr>
      <w:r>
        <w:rPr>
          <w:rFonts w:hint="eastAsia" w:ascii="方正小标宋_GBK" w:hAnsi="宋体" w:eastAsia="方正小标宋_GBK" w:cs="方正仿宋_GBK"/>
          <w:kern w:val="0"/>
          <w:sz w:val="44"/>
          <w:szCs w:val="44"/>
        </w:rPr>
        <w:t>重庆市农业农村委员会</w:t>
      </w:r>
    </w:p>
    <w:p>
      <w:pPr>
        <w:keepNext w:val="0"/>
        <w:keepLines w:val="0"/>
        <w:pageBreakBefore w:val="0"/>
        <w:widowControl w:val="0"/>
        <w:tabs>
          <w:tab w:val="left" w:pos="1508"/>
          <w:tab w:val="center" w:pos="4503"/>
        </w:tabs>
        <w:kinsoku/>
        <w:wordWrap/>
        <w:overflowPunct/>
        <w:topLinePunct w:val="0"/>
        <w:autoSpaceDE/>
        <w:autoSpaceDN/>
        <w:bidi w:val="0"/>
        <w:adjustRightInd/>
        <w:snapToGrid/>
        <w:spacing w:line="580" w:lineRule="exact"/>
        <w:ind w:left="1896" w:leftChars="600" w:right="1896" w:rightChars="600" w:firstLine="0" w:firstLineChars="0"/>
        <w:jc w:val="distribute"/>
        <w:textAlignment w:val="auto"/>
        <w:rPr>
          <w:rFonts w:ascii="方正小标宋_GBK" w:hAnsi="宋体" w:eastAsia="方正小标宋_GBK" w:cs="方正仿宋_GBK"/>
          <w:spacing w:val="-12"/>
          <w:kern w:val="0"/>
          <w:sz w:val="44"/>
          <w:szCs w:val="44"/>
        </w:rPr>
      </w:pPr>
      <w:r>
        <w:rPr>
          <w:rFonts w:hint="eastAsia" w:ascii="方正小标宋_GBK" w:hAnsi="宋体" w:eastAsia="方正小标宋_GBK" w:cs="方正仿宋_GBK"/>
          <w:kern w:val="0"/>
          <w:sz w:val="44"/>
          <w:szCs w:val="44"/>
        </w:rPr>
        <w:t>重</w:t>
      </w:r>
      <w:r>
        <w:rPr>
          <w:rFonts w:hint="eastAsia" w:ascii="方正小标宋_GBK" w:hAnsi="宋体" w:eastAsia="方正小标宋_GBK" w:cs="方正仿宋_GBK"/>
          <w:kern w:val="0"/>
          <w:sz w:val="44"/>
          <w:szCs w:val="44"/>
          <w:lang w:val="en-US" w:eastAsia="zh-CN"/>
        </w:rPr>
        <w:t xml:space="preserve"> </w:t>
      </w:r>
      <w:r>
        <w:rPr>
          <w:rFonts w:hint="eastAsia" w:ascii="方正小标宋_GBK" w:hAnsi="宋体" w:eastAsia="方正小标宋_GBK" w:cs="方正仿宋_GBK"/>
          <w:kern w:val="0"/>
          <w:sz w:val="44"/>
          <w:szCs w:val="44"/>
        </w:rPr>
        <w:t>庆</w:t>
      </w:r>
      <w:r>
        <w:rPr>
          <w:rFonts w:hint="eastAsia" w:ascii="方正小标宋_GBK" w:hAnsi="宋体" w:eastAsia="方正小标宋_GBK" w:cs="方正仿宋_GBK"/>
          <w:kern w:val="0"/>
          <w:sz w:val="44"/>
          <w:szCs w:val="44"/>
          <w:lang w:val="en-US" w:eastAsia="zh-CN"/>
        </w:rPr>
        <w:t xml:space="preserve"> </w:t>
      </w:r>
      <w:r>
        <w:rPr>
          <w:rFonts w:hint="eastAsia" w:ascii="方正小标宋_GBK" w:hAnsi="宋体" w:eastAsia="方正小标宋_GBK" w:cs="方正仿宋_GBK"/>
          <w:kern w:val="0"/>
          <w:sz w:val="44"/>
          <w:szCs w:val="44"/>
        </w:rPr>
        <w:t>市</w:t>
      </w:r>
      <w:r>
        <w:rPr>
          <w:rFonts w:hint="eastAsia" w:ascii="方正小标宋_GBK" w:hAnsi="宋体" w:eastAsia="方正小标宋_GBK" w:cs="方正仿宋_GBK"/>
          <w:kern w:val="0"/>
          <w:sz w:val="44"/>
          <w:szCs w:val="44"/>
          <w:lang w:val="en-US" w:eastAsia="zh-CN"/>
        </w:rPr>
        <w:t xml:space="preserve"> </w:t>
      </w:r>
      <w:r>
        <w:rPr>
          <w:rFonts w:hint="eastAsia" w:ascii="方正小标宋_GBK" w:hAnsi="宋体" w:eastAsia="方正小标宋_GBK" w:cs="方正仿宋_GBK"/>
          <w:kern w:val="0"/>
          <w:sz w:val="44"/>
          <w:szCs w:val="44"/>
        </w:rPr>
        <w:t>财</w:t>
      </w:r>
      <w:r>
        <w:rPr>
          <w:rFonts w:hint="eastAsia" w:ascii="方正小标宋_GBK" w:hAnsi="宋体" w:eastAsia="方正小标宋_GBK" w:cs="方正仿宋_GBK"/>
          <w:kern w:val="0"/>
          <w:sz w:val="44"/>
          <w:szCs w:val="44"/>
          <w:lang w:val="en-US" w:eastAsia="zh-CN"/>
        </w:rPr>
        <w:t xml:space="preserve"> </w:t>
      </w:r>
      <w:r>
        <w:rPr>
          <w:rFonts w:hint="eastAsia" w:ascii="方正小标宋_GBK" w:hAnsi="宋体" w:eastAsia="方正小标宋_GBK" w:cs="方正仿宋_GBK"/>
          <w:kern w:val="0"/>
          <w:sz w:val="44"/>
          <w:szCs w:val="44"/>
        </w:rPr>
        <w:t>政</w:t>
      </w:r>
      <w:r>
        <w:rPr>
          <w:rFonts w:hint="eastAsia" w:ascii="方正小标宋_GBK" w:hAnsi="宋体" w:eastAsia="方正小标宋_GBK" w:cs="方正仿宋_GBK"/>
          <w:kern w:val="0"/>
          <w:sz w:val="44"/>
          <w:szCs w:val="44"/>
          <w:lang w:val="en-US" w:eastAsia="zh-CN"/>
        </w:rPr>
        <w:t xml:space="preserve"> </w:t>
      </w:r>
      <w:r>
        <w:rPr>
          <w:rFonts w:hint="eastAsia" w:ascii="方正小标宋_GBK" w:hAnsi="宋体" w:eastAsia="方正小标宋_GBK" w:cs="方正仿宋_GBK"/>
          <w:kern w:val="0"/>
          <w:sz w:val="44"/>
          <w:szCs w:val="44"/>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宋体" w:eastAsia="方正小标宋_GBK"/>
          <w:color w:val="000000"/>
          <w:kern w:val="0"/>
          <w:sz w:val="44"/>
          <w:szCs w:val="44"/>
        </w:rPr>
      </w:pPr>
      <w:r>
        <w:rPr>
          <w:rFonts w:hint="eastAsia" w:ascii="方正小标宋_GBK" w:hAnsi="宋体" w:eastAsia="方正小标宋_GBK" w:cs="方正仿宋_GBK"/>
          <w:spacing w:val="-12"/>
          <w:kern w:val="0"/>
          <w:sz w:val="44"/>
          <w:szCs w:val="44"/>
        </w:rPr>
        <w:t>关于印发2023年重庆市耕地地力保护补贴</w:t>
      </w:r>
      <w:r>
        <w:rPr>
          <w:rFonts w:hint="eastAsia" w:ascii="方正小标宋_GBK" w:hAnsi="宋体" w:eastAsia="方正小标宋_GBK" w:cs="方正小标宋_GBK"/>
          <w:color w:val="000000"/>
          <w:kern w:val="0"/>
          <w:sz w:val="44"/>
          <w:szCs w:val="44"/>
        </w:rPr>
        <w:t>工作实施方案的通知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仿宋_GBK" w:hAnsi="宋体"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_GBK" w:hAnsi="宋体" w:eastAsia="方正仿宋_GBK" w:cs="方正仿宋_GBK"/>
          <w:color w:val="000000"/>
          <w:kern w:val="0"/>
          <w:sz w:val="32"/>
          <w:szCs w:val="32"/>
        </w:rPr>
      </w:pPr>
      <w:r>
        <w:rPr>
          <w:rFonts w:hint="eastAsia" w:ascii="方正仿宋_GBK" w:hAnsi="宋体" w:eastAsia="方正仿宋_GBK" w:cs="方正仿宋_GBK"/>
          <w:color w:val="000000"/>
          <w:kern w:val="0"/>
          <w:sz w:val="32"/>
          <w:szCs w:val="32"/>
        </w:rPr>
        <w:t>各相关区县（自治县）农业农村委、财政局，西部科学城重庆高新区改革发展局、财政局，万盛经开区农林局、财政局：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仿宋_GBK" w:hAnsi="宋体" w:eastAsia="方正仿宋_GBK" w:cs="方正仿宋_GBK"/>
          <w:color w:val="000000"/>
          <w:kern w:val="0"/>
          <w:sz w:val="32"/>
          <w:szCs w:val="32"/>
        </w:rPr>
      </w:pPr>
      <w:r>
        <w:rPr>
          <w:rFonts w:hint="eastAsia" w:ascii="方正仿宋_GBK" w:hAnsi="宋体" w:eastAsia="方正仿宋_GBK" w:cs="方正仿宋_GBK"/>
          <w:color w:val="000000"/>
          <w:kern w:val="0"/>
          <w:sz w:val="32"/>
          <w:szCs w:val="32"/>
        </w:rPr>
        <w:t>现将《2023年重庆市耕地地力保护补贴工作实施方案》印发给你们，请认真遵照执行。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仿宋_GBK" w:hAnsi="宋体"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仿宋_GBK" w:hAnsi="宋体"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仿宋_GBK" w:hAnsi="宋体" w:eastAsia="方正仿宋_GBK"/>
          <w:kern w:val="0"/>
          <w:sz w:val="32"/>
          <w:szCs w:val="32"/>
        </w:rPr>
      </w:pPr>
      <w:r>
        <w:rPr>
          <w:rFonts w:hint="eastAsia" w:ascii="方正仿宋_GBK" w:hAnsi="宋体" w:eastAsia="方正仿宋_GBK" w:cs="方正仿宋_GBK"/>
          <w:color w:val="000000"/>
          <w:kern w:val="0"/>
          <w:sz w:val="32"/>
          <w:szCs w:val="32"/>
        </w:rPr>
        <w:t xml:space="preserve">重庆市农业农村委员会       </w:t>
      </w:r>
      <w:r>
        <w:rPr>
          <w:rFonts w:hint="eastAsia" w:ascii="方正仿宋_GBK" w:hAnsi="宋体" w:eastAsia="方正仿宋_GBK"/>
          <w:kern w:val="0"/>
          <w:sz w:val="32"/>
          <w:szCs w:val="32"/>
        </w:rPr>
        <w:t xml:space="preserve">      重庆市财政局</w:t>
      </w:r>
    </w:p>
    <w:p>
      <w:pPr>
        <w:keepNext w:val="0"/>
        <w:keepLines w:val="0"/>
        <w:pageBreakBefore w:val="0"/>
        <w:widowControl/>
        <w:kinsoku/>
        <w:wordWrap/>
        <w:overflowPunct/>
        <w:topLinePunct w:val="0"/>
        <w:autoSpaceDE/>
        <w:autoSpaceDN/>
        <w:bidi w:val="0"/>
        <w:adjustRightInd/>
        <w:snapToGrid/>
        <w:spacing w:line="240" w:lineRule="auto"/>
        <w:ind w:firstLine="5688" w:firstLineChars="1800"/>
        <w:textAlignment w:val="auto"/>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2023年</w:t>
      </w:r>
      <w:r>
        <w:rPr>
          <w:rFonts w:ascii="方正仿宋_GBK" w:hAnsi="宋体" w:eastAsia="方正仿宋_GBK" w:cs="方正仿宋_GBK"/>
          <w:kern w:val="0"/>
          <w:sz w:val="32"/>
          <w:szCs w:val="32"/>
        </w:rPr>
        <w:t>6</w:t>
      </w:r>
      <w:r>
        <w:rPr>
          <w:rFonts w:hint="eastAsia" w:ascii="方正仿宋_GBK" w:hAnsi="宋体" w:eastAsia="方正仿宋_GBK" w:cs="方正仿宋_GBK"/>
          <w:kern w:val="0"/>
          <w:sz w:val="32"/>
          <w:szCs w:val="32"/>
        </w:rPr>
        <w:t>月</w:t>
      </w:r>
      <w:r>
        <w:rPr>
          <w:rFonts w:hint="eastAsia" w:ascii="方正仿宋_GBK" w:hAnsi="宋体" w:eastAsia="方正仿宋_GBK" w:cs="方正仿宋_GBK"/>
          <w:kern w:val="0"/>
          <w:sz w:val="32"/>
          <w:szCs w:val="32"/>
          <w:lang w:val="en-US" w:eastAsia="zh-CN"/>
        </w:rPr>
        <w:t>7</w:t>
      </w:r>
      <w:r>
        <w:rPr>
          <w:rFonts w:hint="eastAsia" w:ascii="方正仿宋_GBK" w:hAnsi="宋体" w:eastAsia="方正仿宋_GBK" w:cs="方正仿宋_GBK"/>
          <w:kern w:val="0"/>
          <w:sz w:val="32"/>
          <w:szCs w:val="32"/>
        </w:rPr>
        <w:t>日</w:t>
      </w: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宋体" w:eastAsia="方正小标宋_GBK" w:cs="Times New Roman"/>
          <w:color w:val="000000"/>
          <w:kern w:val="0"/>
          <w:sz w:val="44"/>
        </w:rPr>
      </w:pPr>
      <w:r>
        <w:rPr>
          <w:rFonts w:hint="eastAsia" w:ascii="方正小标宋_GBK" w:hAnsi="宋体" w:eastAsia="方正小标宋_GBK" w:cs="Times New Roman"/>
          <w:color w:val="000000"/>
          <w:kern w:val="0"/>
          <w:sz w:val="44"/>
        </w:rPr>
        <w:t>2023年重庆市耕地地力保护补贴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Times New Roman" w:eastAsia="方正仿宋_GBK" w:cs="Times New Roman"/>
          <w:sz w:val="32"/>
          <w:szCs w:val="32"/>
        </w:rPr>
      </w:pPr>
      <w:r>
        <w:rPr>
          <w:rFonts w:hint="eastAsia" w:ascii="方正小标宋_GBK" w:hAnsi="宋体" w:eastAsia="方正小标宋_GBK" w:cs="Times New Roman"/>
          <w:color w:val="000000"/>
          <w:kern w:val="0"/>
          <w:sz w:val="44"/>
        </w:rPr>
        <w:t>工作实施方案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根据《耕地建设与利用资金管理办法》（财农〔2023〕12号）、《财政部关于提前下达2023年农业</w:t>
      </w:r>
      <w:r>
        <w:rPr>
          <w:rFonts w:ascii="方正仿宋_GBK" w:hAnsi="Times New Roman" w:eastAsia="方正仿宋_GBK" w:cs="Times New Roman"/>
          <w:sz w:val="32"/>
        </w:rPr>
        <w:t>相关转移支付</w:t>
      </w:r>
      <w:r>
        <w:rPr>
          <w:rFonts w:hint="eastAsia" w:ascii="方正仿宋_GBK" w:hAnsi="Times New Roman" w:eastAsia="方正仿宋_GBK" w:cs="Times New Roman"/>
          <w:sz w:val="32"/>
        </w:rPr>
        <w:t>资金</w:t>
      </w:r>
      <w:r>
        <w:rPr>
          <w:rFonts w:ascii="方正仿宋_GBK" w:hAnsi="Times New Roman" w:eastAsia="方正仿宋_GBK" w:cs="Times New Roman"/>
          <w:sz w:val="32"/>
        </w:rPr>
        <w:t>预算的通知</w:t>
      </w:r>
      <w:r>
        <w:rPr>
          <w:rFonts w:hint="eastAsia" w:ascii="方正仿宋_GBK" w:hAnsi="Times New Roman" w:eastAsia="方正仿宋_GBK" w:cs="Times New Roman"/>
          <w:sz w:val="32"/>
        </w:rPr>
        <w:t>》（财农〔202</w:t>
      </w:r>
      <w:r>
        <w:rPr>
          <w:rFonts w:ascii="方正仿宋_GBK" w:hAnsi="Times New Roman" w:eastAsia="方正仿宋_GBK" w:cs="Times New Roman"/>
          <w:sz w:val="32"/>
        </w:rPr>
        <w:t>2</w:t>
      </w:r>
      <w:r>
        <w:rPr>
          <w:rFonts w:hint="eastAsia" w:ascii="方正仿宋_GBK" w:hAnsi="Times New Roman" w:eastAsia="方正仿宋_GBK" w:cs="Times New Roman"/>
          <w:sz w:val="32"/>
        </w:rPr>
        <w:t>〕</w:t>
      </w:r>
      <w:r>
        <w:rPr>
          <w:rFonts w:ascii="方正仿宋_GBK" w:hAnsi="Times New Roman" w:eastAsia="方正仿宋_GBK" w:cs="Times New Roman"/>
          <w:sz w:val="32"/>
        </w:rPr>
        <w:t>82</w:t>
      </w:r>
      <w:r>
        <w:rPr>
          <w:rFonts w:hint="eastAsia" w:ascii="方正仿宋_GBK" w:hAnsi="Times New Roman" w:eastAsia="方正仿宋_GBK" w:cs="Times New Roman"/>
          <w:sz w:val="32"/>
        </w:rPr>
        <w:t>号）、《农业农村部财政部关于做好2023年粮油生产保障</w:t>
      </w:r>
      <w:r>
        <w:rPr>
          <w:rFonts w:ascii="方正仿宋_GBK" w:hAnsi="Times New Roman" w:eastAsia="方正仿宋_GBK" w:cs="Times New Roman"/>
          <w:sz w:val="32"/>
        </w:rPr>
        <w:t>等项目</w:t>
      </w:r>
      <w:r>
        <w:rPr>
          <w:rFonts w:hint="eastAsia" w:ascii="方正仿宋_GBK" w:hAnsi="Times New Roman" w:eastAsia="方正仿宋_GBK" w:cs="Times New Roman"/>
          <w:sz w:val="32"/>
        </w:rPr>
        <w:t>实施</w:t>
      </w:r>
      <w:r>
        <w:rPr>
          <w:rFonts w:ascii="方正仿宋_GBK" w:hAnsi="Times New Roman" w:eastAsia="方正仿宋_GBK" w:cs="Times New Roman"/>
          <w:sz w:val="32"/>
        </w:rPr>
        <w:t>工作</w:t>
      </w:r>
      <w:r>
        <w:rPr>
          <w:rFonts w:hint="eastAsia" w:ascii="方正仿宋_GBK" w:hAnsi="Times New Roman" w:eastAsia="方正仿宋_GBK" w:cs="Times New Roman"/>
          <w:sz w:val="32"/>
        </w:rPr>
        <w:t>的通知》（农计财发〔2023〕</w:t>
      </w:r>
      <w:r>
        <w:rPr>
          <w:rFonts w:ascii="方正仿宋_GBK" w:hAnsi="Times New Roman" w:eastAsia="方正仿宋_GBK" w:cs="Times New Roman"/>
          <w:sz w:val="32"/>
        </w:rPr>
        <w:t>4</w:t>
      </w:r>
      <w:r>
        <w:rPr>
          <w:rFonts w:hint="eastAsia" w:ascii="方正仿宋_GBK" w:hAnsi="Times New Roman" w:eastAsia="方正仿宋_GBK" w:cs="Times New Roman"/>
          <w:sz w:val="32"/>
        </w:rPr>
        <w:t>号）、《财政部关于下达2023年耕地建设与利用资金预算的通知》（财农〔2023〕19号）要求，市财政局已将202</w:t>
      </w:r>
      <w:r>
        <w:rPr>
          <w:rFonts w:ascii="方正仿宋_GBK" w:hAnsi="Times New Roman" w:eastAsia="方正仿宋_GBK" w:cs="Times New Roman"/>
          <w:bCs w:val="0"/>
          <w:color w:val="auto"/>
          <w:sz w:val="32"/>
        </w:rPr>
        <w:t>3年耕地地力保护资金下达各</w:t>
      </w:r>
      <w:r>
        <w:rPr>
          <w:rFonts w:hint="eastAsia" w:ascii="方正仿宋_GBK" w:hAnsi="Times New Roman" w:eastAsia="方正仿宋_GBK" w:cs="Times New Roman"/>
          <w:bCs w:val="0"/>
          <w:color w:val="auto"/>
          <w:sz w:val="32"/>
        </w:rPr>
        <w:t>相关区县（自治县，以下简称区县）。为做好补贴兑付工作</w:t>
      </w:r>
      <w:r>
        <w:rPr>
          <w:rFonts w:hint="eastAsia" w:ascii="方正仿宋_GBK" w:hAnsi="Times New Roman" w:eastAsia="方正仿宋_GBK" w:cs="Times New Roman"/>
          <w:sz w:val="32"/>
        </w:rPr>
        <w:t>，制订本实施方案。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黑体_GBK" w:hAnsi="Times New Roman" w:eastAsia="方正黑体_GBK" w:cs="Times New Roman"/>
          <w:sz w:val="32"/>
        </w:rPr>
      </w:pPr>
      <w:r>
        <w:rPr>
          <w:rFonts w:hint="eastAsia" w:ascii="方正黑体_GBK" w:hAnsi="Times New Roman" w:eastAsia="方正黑体_GBK" w:cs="Times New Roman"/>
          <w:sz w:val="32"/>
        </w:rPr>
        <w:t>一、总体原则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（一）耕地地力保护补贴用于支持耕地地力保护。对非农征（占）用耕地、已作为畜牧养殖场使用的耕地、林地、草地、成片粮田转为设施农业用地等已改变用途的耕地，以及抛</w:t>
      </w:r>
      <w:r>
        <w:rPr>
          <w:rFonts w:ascii="方正仿宋_GBK" w:hAnsi="Times New Roman" w:eastAsia="方正仿宋_GBK" w:cs="Times New Roman"/>
          <w:sz w:val="32"/>
        </w:rPr>
        <w:t>荒</w:t>
      </w:r>
      <w:r>
        <w:rPr>
          <w:rFonts w:hint="eastAsia" w:ascii="方正仿宋_GBK" w:hAnsi="Times New Roman" w:eastAsia="方正仿宋_GBK" w:cs="Times New Roman"/>
          <w:sz w:val="32"/>
        </w:rPr>
        <w:t>地</w:t>
      </w:r>
      <w:r>
        <w:rPr>
          <w:rFonts w:ascii="方正仿宋_GBK" w:hAnsi="Times New Roman" w:eastAsia="方正仿宋_GBK" w:cs="Times New Roman"/>
          <w:sz w:val="32"/>
        </w:rPr>
        <w:t>、</w:t>
      </w:r>
      <w:r>
        <w:rPr>
          <w:rFonts w:hint="eastAsia" w:ascii="方正仿宋_GBK" w:hAnsi="Times New Roman" w:eastAsia="方正仿宋_GBK" w:cs="Times New Roman"/>
          <w:sz w:val="32"/>
        </w:rPr>
        <w:t>占补平衡中</w:t>
      </w:r>
      <w:r>
        <w:rPr>
          <w:rFonts w:ascii="方正仿宋_GBK" w:hAnsi="Times New Roman" w:eastAsia="方正仿宋_GBK" w:cs="Times New Roman"/>
          <w:sz w:val="32"/>
        </w:rPr>
        <w:t>“</w:t>
      </w:r>
      <w:r>
        <w:rPr>
          <w:rFonts w:hint="eastAsia" w:ascii="方正仿宋_GBK" w:hAnsi="Times New Roman" w:eastAsia="方正仿宋_GBK" w:cs="Times New Roman"/>
          <w:sz w:val="32"/>
        </w:rPr>
        <w:t>补</w:t>
      </w:r>
      <w:r>
        <w:rPr>
          <w:rFonts w:ascii="方正仿宋_GBK" w:hAnsi="Times New Roman" w:eastAsia="方正仿宋_GBK" w:cs="Times New Roman"/>
          <w:sz w:val="32"/>
        </w:rPr>
        <w:t>”</w:t>
      </w:r>
      <w:r>
        <w:rPr>
          <w:rFonts w:hint="eastAsia" w:ascii="方正仿宋_GBK" w:hAnsi="Times New Roman" w:eastAsia="方正仿宋_GBK" w:cs="Times New Roman"/>
          <w:sz w:val="32"/>
        </w:rPr>
        <w:t>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方正仿宋_GBK"/>
          <w:bCs/>
          <w:color w:val="000000"/>
          <w:sz w:val="32"/>
        </w:rPr>
        <w:t>（二）要探索耕地地力保护补贴发放与耕地地力保护行为相挂钩的有效机制，引导农民综合采取秸秆还田、深松整地、科学施肥用药、病虫害绿色防控等措施，自觉保护耕地、提升地力</w:t>
      </w:r>
      <w:r>
        <w:rPr>
          <w:rFonts w:hint="eastAsia" w:ascii="方正仿宋_GBK"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 xml:space="preserve">（三）严格落实补贴公示制度，补贴面积、补贴标准、补贴金额必须张榜公布，接受群众监督，确保公示内容与实际补贴发放情况一致。补贴具体办法要简便易行，便于操作。补贴资金兑现要及时。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（四）耕地地力保护补贴资金必须专款专用，严禁以任何方式统筹集中使用，必须全部直补到户。任何单位或个人不得</w:t>
      </w:r>
      <w:r>
        <w:rPr>
          <w:rFonts w:hint="eastAsia" w:ascii="方正仿宋_GBK" w:hAnsi="Times New Roman" w:eastAsia="方正仿宋_GBK" w:cs="Times New Roman"/>
          <w:sz w:val="32"/>
          <w:highlight w:val="none"/>
        </w:rPr>
        <w:t>截留、滞留、挤占、挪用和骗取</w:t>
      </w:r>
      <w:r>
        <w:rPr>
          <w:rFonts w:hint="eastAsia" w:ascii="方正仿宋_GBK" w:hAnsi="Times New Roman" w:eastAsia="方正仿宋_GBK" w:cs="Times New Roman"/>
          <w:sz w:val="32"/>
        </w:rPr>
        <w:t>。不得由村社干部代领，不得直接抵扣任何农业生产费用或</w:t>
      </w:r>
      <w:r>
        <w:rPr>
          <w:rFonts w:ascii="方正仿宋_GBK" w:hAnsi="Times New Roman" w:eastAsia="方正仿宋_GBK" w:cs="Times New Roman"/>
          <w:sz w:val="32"/>
        </w:rPr>
        <w:t>“</w:t>
      </w:r>
      <w:r>
        <w:rPr>
          <w:rFonts w:hint="eastAsia" w:ascii="方正仿宋_GBK" w:hAnsi="Times New Roman" w:eastAsia="方正仿宋_GBK" w:cs="Times New Roman"/>
          <w:sz w:val="32"/>
        </w:rPr>
        <w:t>一事一议</w:t>
      </w:r>
      <w:r>
        <w:rPr>
          <w:rFonts w:ascii="方正仿宋_GBK" w:hAnsi="Times New Roman" w:eastAsia="方正仿宋_GBK" w:cs="Times New Roman"/>
          <w:sz w:val="32"/>
        </w:rPr>
        <w:t>”</w:t>
      </w:r>
      <w:r>
        <w:rPr>
          <w:rFonts w:hint="eastAsia" w:ascii="方正仿宋_GBK" w:hAnsi="Times New Roman" w:eastAsia="方正仿宋_GBK" w:cs="Times New Roman"/>
          <w:sz w:val="32"/>
        </w:rPr>
        <w:t>等筹资款。严防</w:t>
      </w:r>
      <w:r>
        <w:rPr>
          <w:rFonts w:ascii="方正仿宋_GBK" w:hAnsi="Times New Roman" w:eastAsia="方正仿宋_GBK" w:cs="Times New Roman"/>
          <w:sz w:val="32"/>
        </w:rPr>
        <w:t>补贴资金</w:t>
      </w:r>
      <w:r>
        <w:rPr>
          <w:rFonts w:hint="eastAsia" w:ascii="方正仿宋_GBK" w:hAnsi="Times New Roman" w:eastAsia="方正仿宋_GBK" w:cs="Times New Roman"/>
          <w:sz w:val="32"/>
        </w:rPr>
        <w:t>“跑冒滴漏”，</w:t>
      </w:r>
      <w:r>
        <w:rPr>
          <w:rFonts w:ascii="方正仿宋_GBK" w:hAnsi="Times New Roman" w:eastAsia="方正仿宋_GBK" w:cs="Times New Roman"/>
          <w:sz w:val="32"/>
        </w:rPr>
        <w:t>对</w:t>
      </w:r>
      <w:r>
        <w:rPr>
          <w:rFonts w:hint="eastAsia" w:ascii="方正仿宋_GBK" w:hAnsi="Times New Roman" w:eastAsia="方正仿宋_GBK" w:cs="Times New Roman"/>
          <w:sz w:val="32"/>
          <w:highlight w:val="none"/>
        </w:rPr>
        <w:t>挤占、挪用、骗取、贪污或违规发放</w:t>
      </w:r>
      <w:r>
        <w:rPr>
          <w:rFonts w:hint="eastAsia" w:ascii="方正仿宋_GBK" w:hAnsi="Times New Roman" w:eastAsia="方正仿宋_GBK" w:cs="Times New Roman"/>
          <w:sz w:val="32"/>
        </w:rPr>
        <w:t>等</w:t>
      </w:r>
      <w:r>
        <w:rPr>
          <w:rFonts w:ascii="方正仿宋_GBK" w:hAnsi="Times New Roman" w:eastAsia="方正仿宋_GBK" w:cs="Times New Roman"/>
          <w:sz w:val="32"/>
        </w:rPr>
        <w:t>行为，依法依规严肃处理。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方正黑体_GBK" w:hAnsi="Times New Roman" w:eastAsia="方正黑体_GBK" w:cs="Times New Roman"/>
          <w:sz w:val="32"/>
        </w:rPr>
      </w:pPr>
      <w:r>
        <w:rPr>
          <w:rFonts w:hint="eastAsia" w:ascii="方正黑体_GBK" w:hAnsi="Times New Roman" w:eastAsia="方正黑体_GBK" w:cs="Times New Roman"/>
          <w:sz w:val="32"/>
        </w:rPr>
        <w:t>二、补贴对象</w:t>
      </w:r>
      <w:r>
        <w:rPr>
          <w:rFonts w:ascii="方正黑体_GBK" w:hAnsi="Times New Roman" w:eastAsia="方正黑体_GBK" w:cs="Times New Roman"/>
          <w:sz w:val="32"/>
        </w:rPr>
        <w:t>、依据、</w:t>
      </w:r>
      <w:r>
        <w:rPr>
          <w:rFonts w:hint="eastAsia" w:ascii="方正黑体_GBK" w:hAnsi="Times New Roman" w:eastAsia="方正黑体_GBK" w:cs="Times New Roman"/>
          <w:sz w:val="32"/>
        </w:rPr>
        <w:t>标准</w:t>
      </w:r>
      <w:r>
        <w:rPr>
          <w:rFonts w:ascii="方正黑体_GBK" w:hAnsi="Times New Roman" w:eastAsia="方正黑体_GBK" w:cs="Times New Roman"/>
          <w:sz w:val="32"/>
        </w:rPr>
        <w:t>及程序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楷体_GBK" w:hAnsi="方正楷体_GBK" w:eastAsia="方正楷体_GBK" w:cs="方正楷体_GBK"/>
          <w:sz w:val="32"/>
        </w:rPr>
        <w:t>（一）补贴对象。</w:t>
      </w:r>
      <w:r>
        <w:rPr>
          <w:rFonts w:hint="eastAsia" w:ascii="方正仿宋_GBK" w:hAnsi="Times New Roman" w:eastAsia="方正仿宋_GBK" w:cs="Times New Roman"/>
          <w:sz w:val="32"/>
        </w:rPr>
        <w:t>耕地地力保护补贴</w:t>
      </w:r>
      <w:r>
        <w:rPr>
          <w:rFonts w:hint="eastAsia" w:ascii="方正仿宋_GBK" w:hAnsi="Times New Roman" w:eastAsia="方正仿宋_GBK" w:cs="Times New Roman"/>
          <w:sz w:val="32"/>
          <w:lang w:eastAsia="zh-CN"/>
        </w:rPr>
        <w:t>对象</w:t>
      </w:r>
      <w:r>
        <w:rPr>
          <w:rFonts w:hint="eastAsia" w:ascii="方正仿宋_GBK" w:hAnsi="Times New Roman" w:eastAsia="方正仿宋_GBK" w:cs="Times New Roman"/>
          <w:sz w:val="32"/>
        </w:rPr>
        <w:t>原则上</w:t>
      </w:r>
      <w:r>
        <w:rPr>
          <w:rFonts w:hint="eastAsia" w:ascii="方正仿宋_GBK" w:hAnsi="Times New Roman" w:eastAsia="方正仿宋_GBK" w:cs="Times New Roman"/>
          <w:sz w:val="32"/>
          <w:lang w:eastAsia="zh-CN"/>
        </w:rPr>
        <w:t>为</w:t>
      </w:r>
      <w:r>
        <w:rPr>
          <w:rFonts w:hint="eastAsia" w:ascii="方正仿宋_GBK" w:hAnsi="Times New Roman" w:eastAsia="方正仿宋_GBK" w:cs="Times New Roman"/>
          <w:sz w:val="32"/>
        </w:rPr>
        <w:t>拥有耕地承包权的种地农民，</w:t>
      </w:r>
      <w:r>
        <w:rPr>
          <w:rFonts w:hint="eastAsia" w:ascii="方正仿宋_GBK" w:hAnsi="Times New Roman" w:eastAsia="方正仿宋_GBK" w:cs="Times New Roman"/>
          <w:sz w:val="32"/>
          <w:lang w:eastAsia="zh-CN"/>
        </w:rPr>
        <w:t>补贴数额</w:t>
      </w:r>
      <w:r>
        <w:rPr>
          <w:rFonts w:hint="eastAsia" w:ascii="方正仿宋_GBK" w:hAnsi="Times New Roman" w:eastAsia="方正仿宋_GBK" w:cs="Times New Roman"/>
          <w:sz w:val="32"/>
        </w:rPr>
        <w:t>与耕地面积挂钩，直接补贴到户</w:t>
      </w:r>
      <w:r>
        <w:rPr>
          <w:rFonts w:ascii="方正仿宋_GBK" w:hAnsi="Times New Roman" w:eastAsia="方正仿宋_GBK" w:cs="Times New Roman"/>
          <w:sz w:val="32"/>
        </w:rPr>
        <w:t>。</w:t>
      </w:r>
      <w:r>
        <w:rPr>
          <w:rFonts w:hint="eastAsia" w:ascii="方正仿宋_GBK" w:hAnsi="Times New Roman" w:eastAsia="方正仿宋_GBK" w:cs="Times New Roman"/>
          <w:sz w:val="32"/>
        </w:rPr>
        <w:t>鼓励各区县积极探索耕地地力保护补贴与实际种粮农民的种植面积直接挂钩的办法与机制。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二</w:t>
      </w:r>
      <w:r>
        <w:rPr>
          <w:rFonts w:hint="eastAsia" w:ascii="方正楷体_GBK" w:hAnsi="方正楷体_GBK" w:eastAsia="方正楷体_GBK" w:cs="方正楷体_GBK"/>
          <w:sz w:val="32"/>
        </w:rPr>
        <w:t>）补贴依据。</w:t>
      </w:r>
      <w:r>
        <w:rPr>
          <w:rFonts w:hint="eastAsia" w:ascii="方正仿宋_GBK" w:hAnsi="Times New Roman" w:eastAsia="方正仿宋_GBK" w:cs="Times New Roman"/>
          <w:sz w:val="32"/>
        </w:rPr>
        <w:t>补贴依据可以是二轮承包耕地面积、计税耕地面积、确权耕地面积或粮食种植面积等，具体以何种类型面积计算，由区县人民政府结合本地实际自行确定。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）补贴标准。</w:t>
      </w:r>
      <w:r>
        <w:rPr>
          <w:rFonts w:hint="eastAsia" w:ascii="方正仿宋_GBK" w:hAnsi="Times New Roman" w:eastAsia="方正仿宋_GBK" w:cs="Times New Roman"/>
          <w:sz w:val="32"/>
        </w:rPr>
        <w:t>由区县根据市级下达的耕地地力保护补贴资金总额和上年结转资金测算确定。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四</w:t>
      </w:r>
      <w:r>
        <w:rPr>
          <w:rFonts w:hint="eastAsia" w:ascii="方正楷体_GBK" w:hAnsi="方正楷体_GBK" w:eastAsia="方正楷体_GBK" w:cs="方正楷体_GBK"/>
          <w:sz w:val="32"/>
        </w:rPr>
        <w:t>）补贴程序。</w:t>
      </w:r>
      <w:r>
        <w:rPr>
          <w:rFonts w:hint="eastAsia" w:ascii="方正仿宋_GBK" w:hAnsi="Times New Roman" w:eastAsia="方正仿宋_GBK" w:cs="Times New Roman"/>
          <w:sz w:val="32"/>
        </w:rPr>
        <w:t>各区县根据耕地面积和当年统一的补贴标准，按</w:t>
      </w:r>
      <w:r>
        <w:rPr>
          <w:rFonts w:ascii="方正仿宋_GBK" w:hAnsi="Times New Roman" w:eastAsia="方正仿宋_GBK" w:cs="Times New Roman"/>
          <w:sz w:val="32"/>
        </w:rPr>
        <w:t>“</w:t>
      </w:r>
      <w:r>
        <w:rPr>
          <w:rFonts w:hint="eastAsia" w:ascii="方正仿宋_GBK" w:hAnsi="Times New Roman" w:eastAsia="方正仿宋_GBK" w:cs="Times New Roman"/>
          <w:sz w:val="32"/>
        </w:rPr>
        <w:t>自下而上</w:t>
      </w:r>
      <w:r>
        <w:rPr>
          <w:rFonts w:ascii="方正仿宋_GBK" w:hAnsi="Times New Roman" w:eastAsia="方正仿宋_GBK" w:cs="Times New Roman"/>
          <w:sz w:val="32"/>
        </w:rPr>
        <w:t>”</w:t>
      </w:r>
      <w:r>
        <w:rPr>
          <w:rFonts w:hint="eastAsia" w:ascii="方正仿宋_GBK" w:hAnsi="Times New Roman" w:eastAsia="方正仿宋_GBK" w:cs="Times New Roman"/>
          <w:sz w:val="32"/>
        </w:rPr>
        <w:t>的程序核定到每个承包耕地农户，由乡镇人民政府负责将所有农户的补贴面积、补贴标准和补贴资金进行公示，公示无异议后方可发放。乡镇、村社公示方案由区县制定。区县农业农村、财政部门</w:t>
      </w:r>
      <w:r>
        <w:rPr>
          <w:rFonts w:hint="eastAsia" w:ascii="方正仿宋_GBK" w:hAnsi="Times New Roman" w:eastAsia="方正仿宋_GBK" w:cs="Times New Roman"/>
          <w:sz w:val="32"/>
          <w:lang w:eastAsia="zh-CN"/>
        </w:rPr>
        <w:t>及</w:t>
      </w:r>
      <w:r>
        <w:rPr>
          <w:rFonts w:hint="eastAsia" w:ascii="方正仿宋_GBK" w:hAnsi="Times New Roman" w:eastAsia="方正仿宋_GBK" w:cs="Times New Roman"/>
          <w:sz w:val="32"/>
        </w:rPr>
        <w:t>乡镇人民政府负责补贴资金发放明细的审核，区县财政部门负责将补贴资金通过金融机构发放到农户手中。村社集体机动地种地的，补贴给种地农户。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黑体_GBK" w:hAnsi="Times New Roman" w:eastAsia="方正黑体_GBK" w:cs="Times New Roman"/>
          <w:sz w:val="32"/>
        </w:rPr>
      </w:pPr>
      <w:r>
        <w:rPr>
          <w:rFonts w:hint="eastAsia" w:ascii="方正黑体_GBK" w:hAnsi="Times New Roman" w:eastAsia="方正黑体_GBK" w:cs="Times New Roman"/>
          <w:sz w:val="32"/>
        </w:rPr>
        <w:t>三、耕地地力保护补贴资金管理和兑付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（一）耕地地力保护补贴资金由市财政拨付到各区县财政，各区县财政部门会同农业农村部门根据本方案要求，</w:t>
      </w:r>
      <w:r>
        <w:rPr>
          <w:rFonts w:hint="eastAsia" w:ascii="方正仿宋_GBK" w:hAnsi="Times New Roman" w:eastAsia="方正仿宋_GBK" w:cs="方正仿宋_GBK"/>
          <w:bCs/>
          <w:color w:val="000000"/>
          <w:sz w:val="32"/>
        </w:rPr>
        <w:t>将上年度结转资金与当年预算资金统筹安排使用，</w:t>
      </w:r>
      <w:r>
        <w:rPr>
          <w:rFonts w:hint="eastAsia" w:ascii="方正仿宋_GBK" w:hAnsi="Times New Roman" w:eastAsia="方正仿宋_GBK" w:cs="Times New Roman"/>
          <w:sz w:val="32"/>
        </w:rPr>
        <w:t>尽快制定本区县实施方案，于2023年6月20日前报市农业农村委和市财政局（由区县农业农村、财政部门通过办公网电子公文报送）备案，纸质件通过快递形式送市农业农村委粮油处，并加快推进组织实施。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（二）2023年耕地地力保护补贴资金的申报、审核、兑付工作，严格按程序实施。各区县务必于6月30日前通过</w:t>
      </w:r>
      <w:r>
        <w:rPr>
          <w:rFonts w:ascii="方正仿宋_GBK" w:hAnsi="Times New Roman" w:eastAsia="方正仿宋_GBK" w:cs="Times New Roman"/>
          <w:sz w:val="32"/>
        </w:rPr>
        <w:t>惠民惠农财政补贴资金“一卡通”发放管理信息系统</w:t>
      </w:r>
      <w:r>
        <w:rPr>
          <w:rFonts w:hint="eastAsia" w:ascii="方正仿宋_GBK" w:hAnsi="Times New Roman" w:eastAsia="方正仿宋_GBK" w:cs="Times New Roman"/>
          <w:sz w:val="32"/>
        </w:rPr>
        <w:t>（以下</w:t>
      </w:r>
      <w:r>
        <w:rPr>
          <w:rFonts w:ascii="方正仿宋_GBK" w:hAnsi="Times New Roman" w:eastAsia="方正仿宋_GBK" w:cs="Times New Roman"/>
          <w:sz w:val="32"/>
        </w:rPr>
        <w:t>简称“一卡通”</w:t>
      </w:r>
      <w:r>
        <w:rPr>
          <w:rFonts w:hint="eastAsia" w:ascii="方正仿宋_GBK" w:hAnsi="Times New Roman" w:eastAsia="方正仿宋_GBK" w:cs="Times New Roman"/>
          <w:sz w:val="32"/>
        </w:rPr>
        <w:t>）将需兑现到农户的补贴资金发放到位。区县相关金融机构收到同级财政部门拨付文件后要及时办理相关款项拨付业务，</w:t>
      </w:r>
      <w:r>
        <w:rPr>
          <w:rFonts w:hint="eastAsia" w:ascii="方正仿宋_GBK" w:hAnsi="Times New Roman" w:eastAsia="方正仿宋_GBK" w:cs="Times New Roman"/>
          <w:sz w:val="32"/>
          <w:highlight w:val="none"/>
        </w:rPr>
        <w:t>不得截留、滞留、挤占、挪用</w:t>
      </w:r>
      <w:r>
        <w:rPr>
          <w:rFonts w:hint="eastAsia" w:ascii="方正仿宋_GBK" w:hAnsi="Times New Roman" w:eastAsia="方正仿宋_GBK" w:cs="Times New Roman"/>
          <w:sz w:val="32"/>
        </w:rPr>
        <w:t>。严禁</w:t>
      </w:r>
      <w:r>
        <w:rPr>
          <w:rFonts w:ascii="方正仿宋_GBK" w:hAnsi="Times New Roman" w:eastAsia="方正仿宋_GBK" w:cs="Times New Roman"/>
          <w:sz w:val="32"/>
        </w:rPr>
        <w:t>以拨</w:t>
      </w:r>
      <w:r>
        <w:rPr>
          <w:rFonts w:hint="eastAsia" w:ascii="方正仿宋_GBK" w:hAnsi="Times New Roman" w:eastAsia="方正仿宋_GBK" w:cs="Times New Roman"/>
          <w:sz w:val="32"/>
        </w:rPr>
        <w:t>代</w:t>
      </w:r>
      <w:r>
        <w:rPr>
          <w:rFonts w:ascii="方正仿宋_GBK" w:hAnsi="Times New Roman" w:eastAsia="方正仿宋_GBK" w:cs="Times New Roman"/>
          <w:sz w:val="32"/>
        </w:rPr>
        <w:t>支，在</w:t>
      </w:r>
      <w:r>
        <w:rPr>
          <w:rFonts w:hint="eastAsia" w:ascii="方正仿宋_GBK" w:hAnsi="Times New Roman" w:eastAsia="方正仿宋_GBK" w:cs="Times New Roman"/>
          <w:sz w:val="32"/>
        </w:rPr>
        <w:t>“一卡通”代发专户</w:t>
      </w:r>
      <w:r>
        <w:rPr>
          <w:rFonts w:ascii="方正仿宋_GBK" w:hAnsi="Times New Roman" w:eastAsia="方正仿宋_GBK" w:cs="Times New Roman"/>
          <w:sz w:val="32"/>
        </w:rPr>
        <w:t>形成沉淀。</w:t>
      </w:r>
      <w:r>
        <w:rPr>
          <w:rFonts w:hint="eastAsia" w:ascii="方正仿宋_GBK" w:hAnsi="Times New Roman" w:eastAsia="方正仿宋_GBK" w:cs="Times New Roman"/>
          <w:sz w:val="32"/>
        </w:rPr>
        <w:t>做好</w:t>
      </w:r>
      <w:r>
        <w:rPr>
          <w:rFonts w:ascii="方正仿宋_GBK" w:hAnsi="Times New Roman" w:eastAsia="方正仿宋_GBK" w:cs="Times New Roman"/>
          <w:sz w:val="32"/>
        </w:rPr>
        <w:t>直达资金监控系统标准化录入表格衔接工作，具备条件的区县做好</w:t>
      </w:r>
      <w:r>
        <w:rPr>
          <w:rFonts w:hint="eastAsia" w:ascii="方正仿宋_GBK" w:hAnsi="Times New Roman" w:eastAsia="方正仿宋_GBK" w:cs="Times New Roman"/>
          <w:sz w:val="32"/>
        </w:rPr>
        <w:t>“一卡通”系统</w:t>
      </w:r>
      <w:r>
        <w:rPr>
          <w:rFonts w:ascii="方正仿宋_GBK" w:hAnsi="Times New Roman" w:eastAsia="方正仿宋_GBK" w:cs="Times New Roman"/>
          <w:sz w:val="32"/>
        </w:rPr>
        <w:t>与直达</w:t>
      </w:r>
      <w:r>
        <w:rPr>
          <w:rFonts w:hint="eastAsia" w:ascii="方正仿宋_GBK" w:hAnsi="Times New Roman" w:eastAsia="方正仿宋_GBK" w:cs="Times New Roman"/>
          <w:sz w:val="32"/>
        </w:rPr>
        <w:t>资金监控</w:t>
      </w:r>
      <w:r>
        <w:rPr>
          <w:rFonts w:ascii="方正仿宋_GBK" w:hAnsi="Times New Roman" w:eastAsia="方正仿宋_GBK" w:cs="Times New Roman"/>
          <w:sz w:val="32"/>
        </w:rPr>
        <w:t>系统对接</w:t>
      </w:r>
      <w:r>
        <w:rPr>
          <w:rFonts w:hint="eastAsia" w:ascii="方正仿宋_GBK" w:hAnsi="Times New Roman" w:eastAsia="方正仿宋_GBK" w:cs="Times New Roman"/>
          <w:sz w:val="32"/>
          <w:lang w:eastAsia="zh-CN"/>
        </w:rPr>
        <w:t>工作</w:t>
      </w:r>
      <w:r>
        <w:rPr>
          <w:rFonts w:hint="eastAsia" w:ascii="方正仿宋_GBK" w:hAnsi="Times New Roman" w:eastAsia="方正仿宋_GBK" w:cs="Times New Roman"/>
          <w:sz w:val="32"/>
        </w:rPr>
        <w:t>。用好</w:t>
      </w:r>
      <w:r>
        <w:rPr>
          <w:rFonts w:ascii="方正仿宋_GBK" w:hAnsi="Times New Roman" w:eastAsia="方正仿宋_GBK" w:cs="Times New Roman"/>
          <w:sz w:val="32"/>
        </w:rPr>
        <w:t>直达资金监控系统</w:t>
      </w:r>
      <w:r>
        <w:rPr>
          <w:rFonts w:hint="eastAsia" w:ascii="方正仿宋_GBK" w:hAnsi="Times New Roman" w:eastAsia="方正仿宋_GBK" w:cs="Times New Roman"/>
          <w:sz w:val="32"/>
        </w:rPr>
        <w:t>，</w:t>
      </w:r>
      <w:r>
        <w:rPr>
          <w:rFonts w:ascii="方正仿宋_GBK" w:hAnsi="Times New Roman" w:eastAsia="方正仿宋_GBK" w:cs="Times New Roman"/>
          <w:sz w:val="32"/>
        </w:rPr>
        <w:t>加强资金监管，逐步构建形成补贴大数据管理系统，提升补贴发放的规范性、精准性和时效性。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u w:val="single"/>
        </w:rPr>
      </w:pPr>
      <w:r>
        <w:rPr>
          <w:rFonts w:hint="eastAsia" w:ascii="方正仿宋_GBK" w:hAnsi="Times New Roman" w:eastAsia="方正仿宋_GBK" w:cs="Times New Roman"/>
          <w:sz w:val="32"/>
        </w:rPr>
        <w:t>落实备案制度。8月15日前，区县农业农村部门、财政部门要将《</w:t>
      </w:r>
      <w:r>
        <w:rPr>
          <w:rFonts w:ascii="方正仿宋_GBK" w:hAnsi="Times New Roman" w:eastAsia="方正仿宋_GBK" w:cs="Times New Roman"/>
          <w:sz w:val="32"/>
        </w:rPr>
        <w:t>××××</w:t>
      </w:r>
      <w:r>
        <w:rPr>
          <w:rFonts w:hint="eastAsia" w:ascii="方正仿宋_GBK" w:hAnsi="Times New Roman" w:eastAsia="方正仿宋_GBK" w:cs="Times New Roman"/>
          <w:sz w:val="32"/>
        </w:rPr>
        <w:t>年</w:t>
      </w:r>
      <w:r>
        <w:rPr>
          <w:rFonts w:ascii="方正仿宋_GBK" w:hAnsi="Times New Roman" w:eastAsia="方正仿宋_GBK" w:cs="Times New Roman"/>
          <w:sz w:val="32"/>
        </w:rPr>
        <w:t>××</w:t>
      </w:r>
      <w:r>
        <w:rPr>
          <w:rFonts w:hint="eastAsia" w:ascii="方正仿宋_GBK" w:hAnsi="Times New Roman" w:eastAsia="方正仿宋_GBK" w:cs="Times New Roman"/>
          <w:sz w:val="32"/>
        </w:rPr>
        <w:t>区县（自治县）耕地地力保护补贴政策执行情况统计表》（附件1）的纸质件和电子文档及按乡镇汇总的耕地地力保护补贴资金发放电子数据及时上报市农业农村委和市财政局备案。经市级备案的耕地地力保护补贴汇总数据及区县实施方案作为审计、专项检查、绩效评价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黑体_GBK" w:hAnsi="Times New Roman" w:eastAsia="方正黑体_GBK" w:cs="Times New Roman"/>
          <w:sz w:val="32"/>
        </w:rPr>
      </w:pPr>
      <w:r>
        <w:rPr>
          <w:rFonts w:hint="eastAsia" w:ascii="方正黑体_GBK" w:hAnsi="Times New Roman" w:eastAsia="方正黑体_GBK" w:cs="Times New Roman"/>
          <w:sz w:val="32"/>
          <w:lang w:eastAsia="zh-CN"/>
        </w:rPr>
        <w:t>四</w:t>
      </w:r>
      <w:r>
        <w:rPr>
          <w:rFonts w:hint="eastAsia" w:ascii="方正黑体_GBK" w:hAnsi="Times New Roman" w:eastAsia="方正黑体_GBK" w:cs="Times New Roman"/>
          <w:sz w:val="32"/>
        </w:rPr>
        <w:t xml:space="preserve">、耕地地力保护补贴的工作要求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（一）各区县农业农村、财政等部门要加强配合，相互支持，确保补贴工作平稳推进。</w:t>
      </w:r>
      <w:r>
        <w:rPr>
          <w:rFonts w:hint="eastAsia" w:ascii="方正仿宋_GBK" w:hAnsi="Times New Roman" w:eastAsia="方正仿宋_GBK" w:cs="Times New Roman"/>
          <w:sz w:val="32"/>
          <w:highlight w:val="none"/>
        </w:rPr>
        <w:t>为保证补贴工作顺利开展，补贴工作经费原则上由各地财政预算安排，市级财政给予适当补助。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二）做好耕地地力保护补贴政策的宣传工作。各区县要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和种粮的积极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方正仿宋_GBK"/>
          <w:bCs/>
          <w:color w:val="000000"/>
          <w:sz w:val="32"/>
        </w:rPr>
        <w:t>（三）</w:t>
      </w:r>
      <w:r>
        <w:rPr>
          <w:rFonts w:hint="eastAsia" w:ascii="方正仿宋_GBK" w:hAnsi="Times New Roman" w:eastAsia="方正仿宋_GBK" w:cs="Times New Roman"/>
          <w:sz w:val="32"/>
        </w:rPr>
        <w:t>各区县要认真做好相关基础工作</w:t>
      </w:r>
      <w:r>
        <w:rPr>
          <w:rFonts w:hint="eastAsia" w:ascii="方正仿宋_GBK" w:hAnsi="Times New Roman" w:eastAsia="方正仿宋_GBK" w:cs="Times New Roman"/>
          <w:sz w:val="32"/>
          <w:lang w:eastAsia="zh-CN"/>
        </w:rPr>
        <w:t>，</w:t>
      </w:r>
      <w:r>
        <w:rPr>
          <w:rFonts w:hint="eastAsia" w:ascii="方正仿宋_GBK" w:hAnsi="Times New Roman" w:eastAsia="方正仿宋_GBK" w:cs="Times New Roman"/>
          <w:sz w:val="32"/>
        </w:rPr>
        <w:t>进一步完善补贴资金的公开公示、档案管理等规章制度，加强补贴资金监管，落实各级各部门审核责任，认真做好耕地面积核实工作。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（四）严格落实定期调度督导机制。各区县要根据工作进展和资金使用情况，</w:t>
      </w:r>
      <w:r>
        <w:rPr>
          <w:rFonts w:ascii="方正仿宋_GBK" w:hAnsi="Times New Roman" w:eastAsia="方正仿宋_GBK" w:cs="Times New Roman"/>
          <w:sz w:val="32"/>
          <w:highlight w:val="none"/>
        </w:rPr>
        <w:t>8</w:t>
      </w:r>
      <w:r>
        <w:rPr>
          <w:rFonts w:hint="eastAsia" w:ascii="方正仿宋_GBK" w:hAnsi="Times New Roman" w:eastAsia="方正仿宋_GBK" w:cs="Times New Roman"/>
          <w:sz w:val="32"/>
          <w:highlight w:val="none"/>
        </w:rPr>
        <w:t>月</w:t>
      </w:r>
      <w:r>
        <w:rPr>
          <w:rFonts w:ascii="方正仿宋_GBK" w:hAnsi="Times New Roman" w:eastAsia="方正仿宋_GBK" w:cs="Times New Roman"/>
          <w:sz w:val="32"/>
          <w:highlight w:val="none"/>
        </w:rPr>
        <w:t>15</w:t>
      </w:r>
      <w:r>
        <w:rPr>
          <w:rFonts w:hint="eastAsia" w:ascii="方正仿宋_GBK" w:hAnsi="Times New Roman" w:eastAsia="方正仿宋_GBK" w:cs="Times New Roman"/>
          <w:sz w:val="32"/>
          <w:highlight w:val="none"/>
        </w:rPr>
        <w:t>日前将</w:t>
      </w:r>
      <w:r>
        <w:rPr>
          <w:rFonts w:hint="eastAsia" w:ascii="方正仿宋_GBK" w:hAnsi="Times New Roman" w:eastAsia="方正仿宋_GBK" w:cs="Times New Roman"/>
          <w:sz w:val="32"/>
        </w:rPr>
        <w:t>耕地地力保护补贴兑付进度报表（附件2）纸质件和电子文档上报市农业农村委、市财政局。落实定期检查与重点抽查相结合的补贴监督机制，组织督查组深入村社进行督促检查，发现问题及时纠正处理，重大事项要及时向市农业农村委、市财政局报告</w:t>
      </w:r>
      <w:r>
        <w:rPr>
          <w:rFonts w:hint="eastAsia" w:ascii="方正仿宋_GBK" w:hAnsi="Times New Roman" w:eastAsia="方正仿宋_GBK" w:cs="Times New Roman"/>
          <w:sz w:val="32"/>
          <w:lang w:eastAsia="zh-CN"/>
        </w:rPr>
        <w:t>；</w:t>
      </w:r>
      <w:r>
        <w:rPr>
          <w:rFonts w:hint="eastAsia" w:ascii="方正仿宋_GBK" w:hAnsi="Times New Roman" w:eastAsia="方正仿宋_GBK" w:cs="Times New Roman"/>
          <w:sz w:val="32"/>
        </w:rPr>
        <w:t>做好补贴工作总结，全面总结分析补贴执行情况、存在问题并提出有关建议，于11月30日前将工作总结以正式公文（纸质件和电子公文）报送市农业农村委、市财政局。阶段性执行情况和总结材料报送情况列入绩效考核指标</w:t>
      </w:r>
      <w:r>
        <w:rPr>
          <w:rFonts w:hint="eastAsia" w:ascii="方正仿宋_GBK" w:hAnsi="Times New Roman" w:eastAsia="方正仿宋_GBK" w:cs="Times New Roman"/>
          <w:spacing w:val="-6"/>
          <w:sz w:val="32"/>
        </w:rPr>
        <w:t>体系。市农业农村委、市财政局等部门将适时开展重点抽查，坚决杜</w:t>
      </w:r>
      <w:r>
        <w:rPr>
          <w:rFonts w:hint="eastAsia" w:ascii="方正仿宋_GBK" w:hAnsi="Times New Roman" w:eastAsia="方正仿宋_GBK" w:cs="Times New Roman"/>
          <w:spacing w:val="0"/>
          <w:sz w:val="32"/>
        </w:rPr>
        <w:t>绝</w:t>
      </w:r>
      <w:r>
        <w:rPr>
          <w:rFonts w:hint="eastAsia" w:ascii="方正仿宋_GBK" w:hAnsi="Times New Roman" w:eastAsia="方正仿宋_GBK" w:cs="Times New Roman"/>
          <w:sz w:val="32"/>
          <w:highlight w:val="none"/>
        </w:rPr>
        <w:t>截留、滞留、挤占、挪用、骗取</w:t>
      </w:r>
      <w:r>
        <w:rPr>
          <w:rFonts w:hint="eastAsia" w:ascii="方正仿宋_GBK" w:hAnsi="Times New Roman" w:eastAsia="方正仿宋_GBK" w:cs="Times New Roman"/>
          <w:sz w:val="32"/>
        </w:rPr>
        <w:t>、</w:t>
      </w:r>
      <w:r>
        <w:rPr>
          <w:rFonts w:hint="eastAsia" w:ascii="方正仿宋_GBK" w:hAnsi="Times New Roman" w:eastAsia="方正仿宋_GBK" w:cs="Times New Roman"/>
          <w:sz w:val="32"/>
          <w:highlight w:val="none"/>
        </w:rPr>
        <w:t>贪污</w:t>
      </w:r>
      <w:r>
        <w:rPr>
          <w:rFonts w:hint="eastAsia" w:ascii="方正仿宋_GBK" w:hAnsi="Times New Roman" w:eastAsia="方正仿宋_GBK" w:cs="Times New Roman"/>
          <w:spacing w:val="0"/>
          <w:sz w:val="32"/>
          <w:highlight w:val="none"/>
        </w:rPr>
        <w:t>等违规现象</w:t>
      </w:r>
      <w:r>
        <w:rPr>
          <w:rFonts w:hint="eastAsia" w:ascii="方正仿宋_GBK" w:hAnsi="Times New Roman" w:eastAsia="方正仿宋_GBK" w:cs="Times New Roman"/>
          <w:spacing w:val="0"/>
          <w:sz w:val="32"/>
        </w:rPr>
        <w:t>的发生。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（五）严格执行补贴信访办理制度。要按照分级负责</w:t>
      </w:r>
      <w:r>
        <w:rPr>
          <w:rFonts w:hint="eastAsia" w:ascii="方正仿宋_GBK" w:hAnsi="Times New Roman" w:eastAsia="方正仿宋_GBK" w:cs="Times New Roman"/>
          <w:sz w:val="32"/>
          <w:lang w:eastAsia="zh-CN"/>
        </w:rPr>
        <w:t>、</w:t>
      </w:r>
      <w:r>
        <w:rPr>
          <w:rFonts w:hint="eastAsia" w:ascii="方正仿宋_GBK" w:hAnsi="Times New Roman" w:eastAsia="方正仿宋_GBK" w:cs="Times New Roman"/>
          <w:sz w:val="32"/>
        </w:rPr>
        <w:t>归口管理的原则，认真做好农民群众举报个案的调查处理工作，落实信访工作责任制，把农民</w:t>
      </w:r>
      <w:r>
        <w:rPr>
          <w:rFonts w:hint="eastAsia" w:ascii="方正仿宋_GBK" w:hAnsi="Times New Roman" w:eastAsia="方正仿宋_GBK" w:cs="Times New Roman"/>
          <w:sz w:val="32"/>
          <w:lang w:eastAsia="zh-CN"/>
        </w:rPr>
        <w:t>群众</w:t>
      </w:r>
      <w:r>
        <w:rPr>
          <w:rFonts w:hint="eastAsia" w:ascii="方正仿宋_GBK" w:hAnsi="Times New Roman" w:eastAsia="方正仿宋_GBK" w:cs="Times New Roman"/>
          <w:sz w:val="32"/>
        </w:rPr>
        <w:t>反映的实际问题解决在基层。对于信访案件要在规定时间内办结，让群众理解认可，信访案件处理情况将作为绩效评价的重要考核指标。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六）做好绩效评估工作。各区县根据市级下达的任务清单和绩效目标，自觉组织开展项目绩效评价工作，将政策目标实现情况、任务清单完成情况、资金使用管理情况等纳入日常工作，建档归档。市农业农村委、市财政局将适时开展绩效评价工作，全面评估、考核政策落实情况，评价结果作为下一年度资金分配的重要依据。请各区县于12月10日前将耕地地力保护补贴数据备案表以及绩效评价报告和绩效评价表（附件3</w:t>
      </w:r>
      <w:r>
        <w:rPr>
          <w:rFonts w:hint="eastAsia" w:ascii="方正仿宋_GBK" w:hAnsi="Times New Roman" w:eastAsia="方正仿宋_GBK" w:cs="Times New Roman"/>
          <w:sz w:val="32"/>
          <w:lang w:eastAsia="zh-CN"/>
        </w:rPr>
        <w:t>、</w:t>
      </w:r>
      <w:r>
        <w:rPr>
          <w:rFonts w:hint="eastAsia" w:ascii="方正仿宋_GBK" w:hAnsi="Times New Roman" w:eastAsia="方正仿宋_GBK" w:cs="Times New Roman"/>
          <w:sz w:val="32"/>
          <w:lang w:val="en-US" w:eastAsia="zh-CN"/>
        </w:rPr>
        <w:t>4</w:t>
      </w:r>
      <w:r>
        <w:rPr>
          <w:rFonts w:hint="eastAsia" w:ascii="方正仿宋_GBK" w:hAnsi="Times New Roman" w:eastAsia="方正仿宋_GBK" w:cs="Times New Roman"/>
          <w:sz w:val="32"/>
        </w:rPr>
        <w:t>），上报市农业农村委和市财政局。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市农业农村委联系地址：两江新区黄山大道东段186号，邮政编码401121；粮油处联系人：胡永庆，电话：89133250，传真：89133123；市种子站联系人：龙香，电话：89133476；邮箱：</w:t>
      </w:r>
      <w:r>
        <w:rPr>
          <w:rFonts w:hint="eastAsia" w:ascii="方正仿宋_GBK" w:hAnsi="Times New Roman" w:eastAsia="方正仿宋_GBK" w:cs="Times New Roman"/>
          <w:color w:val="000000"/>
          <w:sz w:val="32"/>
        </w:rPr>
        <w:t>cqnwlyc@126.com。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市财政局联系地址：渝北区洪湖西路1号32</w:t>
      </w:r>
      <w:r>
        <w:rPr>
          <w:rFonts w:ascii="方正仿宋_GBK" w:hAnsi="Times New Roman" w:eastAsia="方正仿宋_GBK" w:cs="Times New Roman"/>
          <w:sz w:val="32"/>
        </w:rPr>
        <w:t>2</w:t>
      </w:r>
      <w:r>
        <w:rPr>
          <w:rFonts w:hint="eastAsia" w:ascii="方正仿宋_GBK" w:hAnsi="Times New Roman" w:eastAsia="方正仿宋_GBK" w:cs="Times New Roman"/>
          <w:sz w:val="32"/>
        </w:rPr>
        <w:t>室，邮政编码401121；农业处联系人：刘伯洋，电话：67172697；邮箱：市财政局办公内网。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附件：1.</w:t>
      </w:r>
      <w:r>
        <w:rPr>
          <w:rFonts w:ascii="方正仿宋_GBK" w:hAnsi="Times New Roman" w:eastAsia="方正仿宋_GBK" w:cs="Times New Roman"/>
          <w:sz w:val="32"/>
        </w:rPr>
        <w:t>××××</w:t>
      </w:r>
      <w:r>
        <w:rPr>
          <w:rFonts w:hint="eastAsia" w:ascii="方正仿宋_GBK" w:hAnsi="Times New Roman" w:eastAsia="方正仿宋_GBK" w:cs="Times New Roman"/>
          <w:sz w:val="32"/>
        </w:rPr>
        <w:t>年</w:t>
      </w:r>
      <w:r>
        <w:rPr>
          <w:rFonts w:ascii="方正仿宋_GBK" w:hAnsi="Times New Roman" w:eastAsia="方正仿宋_GBK" w:cs="Times New Roman"/>
          <w:sz w:val="32"/>
        </w:rPr>
        <w:t>××</w:t>
      </w:r>
      <w:r>
        <w:rPr>
          <w:rFonts w:hint="eastAsia" w:ascii="方正仿宋_GBK" w:hAnsi="Times New Roman" w:eastAsia="方正仿宋_GBK" w:cs="Times New Roman"/>
          <w:sz w:val="32"/>
        </w:rPr>
        <w:t>区县（自治县）耕地地力保护补贴政策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96" w:firstLineChars="6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执行情况统计表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 xml:space="preserve">  </w:t>
      </w:r>
      <w:r>
        <w:rPr>
          <w:rFonts w:ascii="方正仿宋_GBK" w:hAnsi="Times New Roman" w:eastAsia="方正仿宋_GBK" w:cs="Times New Roman"/>
          <w:sz w:val="32"/>
        </w:rPr>
        <w:t xml:space="preserve">   </w:t>
      </w:r>
      <w:r>
        <w:rPr>
          <w:rFonts w:hint="eastAsia" w:ascii="方正仿宋_GBK" w:hAnsi="Times New Roman" w:eastAsia="方正仿宋_GBK" w:cs="Times New Roman"/>
          <w:sz w:val="32"/>
        </w:rPr>
        <w:t xml:space="preserve"> 2.</w:t>
      </w:r>
      <w:r>
        <w:rPr>
          <w:rFonts w:ascii="方正仿宋_GBK" w:hAnsi="Times New Roman" w:eastAsia="方正仿宋_GBK" w:cs="Times New Roman"/>
          <w:sz w:val="32"/>
        </w:rPr>
        <w:t>××××</w:t>
      </w:r>
      <w:r>
        <w:rPr>
          <w:rFonts w:hint="eastAsia" w:ascii="方正仿宋_GBK" w:hAnsi="Times New Roman" w:eastAsia="方正仿宋_GBK" w:cs="Times New Roman"/>
          <w:sz w:val="32"/>
        </w:rPr>
        <w:t>年</w:t>
      </w:r>
      <w:r>
        <w:rPr>
          <w:rFonts w:ascii="方正仿宋_GBK" w:hAnsi="Times New Roman" w:eastAsia="方正仿宋_GBK" w:cs="Times New Roman"/>
          <w:sz w:val="32"/>
        </w:rPr>
        <w:t>××</w:t>
      </w:r>
      <w:r>
        <w:rPr>
          <w:rFonts w:hint="eastAsia" w:ascii="方正仿宋_GBK" w:hAnsi="Times New Roman" w:eastAsia="方正仿宋_GBK" w:cs="Times New Roman"/>
          <w:sz w:val="32"/>
        </w:rPr>
        <w:t>区县（自治县）耕地地力保护补贴兑付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96" w:firstLineChars="600"/>
        <w:textAlignment w:val="auto"/>
        <w:rPr>
          <w:rFonts w:ascii="方正仿宋_GBK" w:hAnsi="Times New Roman" w:eastAsia="方正仿宋_GBK" w:cs="Times New Roman"/>
          <w:sz w:val="32"/>
        </w:rPr>
      </w:pPr>
      <w:r>
        <w:rPr>
          <w:rFonts w:hint="eastAsia" w:ascii="方正仿宋_GBK" w:hAnsi="Times New Roman" w:eastAsia="方正仿宋_GBK" w:cs="Times New Roman"/>
          <w:sz w:val="32"/>
        </w:rPr>
        <w:t>进度旬报表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方正仿宋_GBK" w:hAnsi="Times New Roman" w:eastAsia="方正仿宋_GBK" w:cs="Times New Roman"/>
          <w:w w:val="98"/>
          <w:sz w:val="32"/>
        </w:rPr>
      </w:pPr>
      <w:r>
        <w:rPr>
          <w:rFonts w:hint="eastAsia" w:ascii="方正仿宋_GBK" w:hAnsi="Times New Roman" w:eastAsia="方正仿宋_GBK" w:cs="Times New Roman"/>
          <w:sz w:val="32"/>
        </w:rPr>
        <w:t xml:space="preserve">  </w:t>
      </w:r>
      <w:r>
        <w:rPr>
          <w:rFonts w:ascii="方正仿宋_GBK" w:hAnsi="Times New Roman" w:eastAsia="方正仿宋_GBK" w:cs="Times New Roman"/>
          <w:sz w:val="32"/>
        </w:rPr>
        <w:t xml:space="preserve">    </w:t>
      </w:r>
      <w:r>
        <w:rPr>
          <w:rFonts w:hint="eastAsia" w:ascii="方正仿宋_GBK" w:hAnsi="Times New Roman" w:eastAsia="方正仿宋_GBK" w:cs="Times New Roman"/>
          <w:sz w:val="32"/>
        </w:rPr>
        <w:t>3.</w:t>
      </w:r>
      <w:r>
        <w:rPr>
          <w:rFonts w:hint="eastAsia" w:ascii="方正仿宋_GBK" w:hAnsi="Times New Roman" w:eastAsia="方正仿宋_GBK" w:cs="Times New Roman"/>
          <w:w w:val="98"/>
          <w:sz w:val="32"/>
        </w:rPr>
        <w:t>重庆市专项转移支付区域绩效目标表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方正仿宋_GBK" w:hAnsi="Times New Roman" w:eastAsia="方正仿宋_GBK" w:cs="Times New Roman"/>
          <w:w w:val="98"/>
          <w:sz w:val="32"/>
        </w:rPr>
      </w:pPr>
      <w:r>
        <w:rPr>
          <w:rFonts w:hint="eastAsia" w:ascii="方正仿宋_GBK" w:hAnsi="Times New Roman" w:eastAsia="方正仿宋_GBK" w:cs="Times New Roman"/>
          <w:sz w:val="32"/>
        </w:rPr>
        <w:t xml:space="preserve">    </w:t>
      </w:r>
      <w:r>
        <w:rPr>
          <w:rFonts w:ascii="方正仿宋_GBK" w:hAnsi="Times New Roman" w:eastAsia="方正仿宋_GBK" w:cs="Times New Roman"/>
          <w:sz w:val="32"/>
        </w:rPr>
        <w:t xml:space="preserve">  </w:t>
      </w:r>
      <w:r>
        <w:rPr>
          <w:rFonts w:hint="eastAsia" w:ascii="方正仿宋_GBK" w:hAnsi="Times New Roman" w:eastAsia="方正仿宋_GBK" w:cs="Times New Roman"/>
          <w:sz w:val="32"/>
        </w:rPr>
        <w:t>4.</w:t>
      </w:r>
      <w:r>
        <w:rPr>
          <w:rFonts w:ascii="方正仿宋_GBK" w:hAnsi="Times New Roman" w:eastAsia="方正仿宋_GBK" w:cs="Times New Roman"/>
          <w:w w:val="98"/>
          <w:sz w:val="32"/>
        </w:rPr>
        <w:t>××××</w:t>
      </w:r>
      <w:r>
        <w:rPr>
          <w:rFonts w:hint="eastAsia" w:ascii="方正仿宋_GBK" w:hAnsi="Times New Roman" w:eastAsia="方正仿宋_GBK" w:cs="Times New Roman"/>
          <w:w w:val="98"/>
          <w:sz w:val="32"/>
        </w:rPr>
        <w:t>年</w:t>
      </w:r>
      <w:r>
        <w:rPr>
          <w:rFonts w:ascii="方正仿宋_GBK" w:hAnsi="Times New Roman" w:eastAsia="方正仿宋_GBK" w:cs="Times New Roman"/>
          <w:w w:val="98"/>
          <w:sz w:val="32"/>
        </w:rPr>
        <w:t>××</w:t>
      </w:r>
      <w:r>
        <w:rPr>
          <w:rFonts w:hint="eastAsia" w:ascii="方正仿宋_GBK" w:hAnsi="Times New Roman" w:eastAsia="方正仿宋_GBK" w:cs="Times New Roman"/>
          <w:w w:val="98"/>
          <w:sz w:val="32"/>
        </w:rPr>
        <w:t>区县（自治县）耕地地力保护补贴数据备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54" w:firstLineChars="600"/>
        <w:textAlignment w:val="auto"/>
        <w:rPr>
          <w:rFonts w:hint="eastAsia" w:ascii="方正仿宋_GBK" w:eastAsia="方正仿宋_GBK"/>
          <w:szCs w:val="32"/>
        </w:rPr>
      </w:pPr>
      <w:r>
        <w:rPr>
          <w:rFonts w:hint="eastAsia" w:ascii="方正仿宋_GBK" w:hAnsi="Times New Roman" w:eastAsia="方正仿宋_GBK" w:cs="Times New Roman"/>
          <w:w w:val="98"/>
          <w:sz w:val="32"/>
        </w:rPr>
        <w:t>案表</w:t>
      </w: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bookmarkEnd w:id="0"/>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sectPr>
          <w:headerReference r:id="rId3" w:type="default"/>
          <w:footerReference r:id="rId4" w:type="default"/>
          <w:footerReference r:id="rId5" w:type="even"/>
          <w:pgSz w:w="11907" w:h="16840"/>
          <w:pgMar w:top="2098" w:right="1474" w:bottom="1985" w:left="1588" w:header="851" w:footer="992" w:gutter="0"/>
          <w:cols w:space="425" w:num="1"/>
          <w:docGrid w:type="linesAndChars" w:linePitch="579" w:charSpace="-842"/>
        </w:sectPr>
      </w:pPr>
    </w:p>
    <w:p>
      <w:pPr>
        <w:spacing w:line="480" w:lineRule="exact"/>
        <w:jc w:val="left"/>
        <w:rPr>
          <w:rFonts w:hint="eastAsia" w:ascii="方正黑体_GBK" w:hAnsi="Times New Roman" w:eastAsia="方正黑体_GBK" w:cs="Times New Roman"/>
          <w:sz w:val="32"/>
        </w:rPr>
      </w:pPr>
      <w:r>
        <w:rPr>
          <w:rFonts w:hint="eastAsia" w:ascii="方正黑体_GBK" w:hAnsi="Times New Roman" w:eastAsia="方正黑体_GBK" w:cs="Times New Roman"/>
          <w:sz w:val="32"/>
        </w:rPr>
        <w:t>附件1</w:t>
      </w:r>
    </w:p>
    <w:p>
      <w:pPr>
        <w:spacing w:line="480" w:lineRule="exact"/>
        <w:jc w:val="left"/>
        <w:rPr>
          <w:rFonts w:hint="eastAsia" w:ascii="方正黑体_GBK" w:hAnsi="Times New Roman" w:eastAsia="方正黑体_GBK" w:cs="Times New Roman"/>
          <w:sz w:val="32"/>
        </w:rPr>
      </w:pPr>
    </w:p>
    <w:p>
      <w:pPr>
        <w:spacing w:line="480" w:lineRule="exact"/>
        <w:jc w:val="center"/>
        <w:rPr>
          <w:rFonts w:ascii="方正小标宋_GBK" w:hAnsi="Times New Roman" w:eastAsia="方正小标宋_GBK" w:cs="Times New Roman"/>
          <w:sz w:val="44"/>
        </w:rPr>
      </w:pPr>
      <w:r>
        <w:rPr>
          <w:rFonts w:ascii="方正小标宋_GBK" w:hAnsi="Times New Roman" w:eastAsia="方正小标宋_GBK" w:cs="Times New Roman"/>
          <w:sz w:val="44"/>
        </w:rPr>
        <w:t>××××</w:t>
      </w:r>
      <w:r>
        <w:rPr>
          <w:rFonts w:hint="eastAsia" w:ascii="方正小标宋_GBK" w:hAnsi="Times New Roman" w:eastAsia="方正小标宋_GBK" w:cs="Times New Roman"/>
          <w:sz w:val="44"/>
        </w:rPr>
        <w:t>年</w:t>
      </w:r>
      <w:r>
        <w:rPr>
          <w:rFonts w:ascii="方正小标宋_GBK" w:hAnsi="Times New Roman" w:eastAsia="方正小标宋_GBK" w:cs="Times New Roman"/>
          <w:sz w:val="44"/>
        </w:rPr>
        <w:t>××</w:t>
      </w:r>
      <w:r>
        <w:rPr>
          <w:rFonts w:hint="eastAsia" w:ascii="方正小标宋_GBK" w:hAnsi="Times New Roman" w:eastAsia="方正小标宋_GBK" w:cs="Times New Roman"/>
          <w:sz w:val="44"/>
        </w:rPr>
        <w:t>区县（自治县）耕地地力保护补贴政策执行情况统计表</w:t>
      </w:r>
    </w:p>
    <w:p>
      <w:pPr>
        <w:spacing w:line="48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填报单位（盖章）：                                                                 日期：</w:t>
      </w:r>
    </w:p>
    <w:tbl>
      <w:tblPr>
        <w:tblStyle w:val="11"/>
        <w:tblW w:w="12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1219"/>
        <w:gridCol w:w="1594"/>
        <w:gridCol w:w="2065"/>
        <w:gridCol w:w="1745"/>
        <w:gridCol w:w="1125"/>
        <w:gridCol w:w="1410"/>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区  县</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补贴户数（户）</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补贴面积（万亩，保留两位小数）</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rPr>
            </w:pPr>
            <w:r>
              <w:rPr>
                <w:rFonts w:hint="eastAsia" w:ascii="方正仿宋_GBK" w:hAnsi="Times New Roman" w:eastAsia="方正仿宋_GBK" w:cs="Times New Roman"/>
                <w:sz w:val="21"/>
              </w:rPr>
              <w:t>耕地地力保护补贴补贴标准（元/亩）</w:t>
            </w:r>
          </w:p>
          <w:p>
            <w:pPr>
              <w:spacing w:line="260" w:lineRule="exact"/>
              <w:jc w:val="center"/>
              <w:rPr>
                <w:rFonts w:ascii="方正仿宋_GBK" w:hAnsi="Times New Roman" w:eastAsia="方正仿宋_GBK" w:cs="Times New Roman"/>
                <w:sz w:val="21"/>
                <w:szCs w:val="21"/>
              </w:rPr>
            </w:pPr>
          </w:p>
          <w:p>
            <w:pPr>
              <w:spacing w:line="260" w:lineRule="exact"/>
              <w:jc w:val="center"/>
              <w:rPr>
                <w:rFonts w:ascii="方正仿宋_GBK" w:hAnsi="Times New Roman" w:eastAsia="方正仿宋_GBK" w:cs="Times New Roman"/>
                <w:sz w:val="21"/>
                <w:szCs w:val="21"/>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实际兑现补贴金额（万元）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结余资金（万元）</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全区县补贴兑现完成时间</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r>
              <w:rPr>
                <w:rFonts w:hint="eastAsia" w:ascii="方正仿宋_GBK" w:hAnsi="Times New Roman" w:eastAsia="方正仿宋_GBK" w:cs="Times New Roman"/>
                <w:sz w:val="21"/>
              </w:rPr>
              <w:t>合      计</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方正仿宋_GBK" w:hAnsi="Times New Roman" w:eastAsia="方正仿宋_GBK" w:cs="Times New Roman"/>
                <w:sz w:val="21"/>
                <w:szCs w:val="21"/>
              </w:rPr>
            </w:pPr>
          </w:p>
        </w:tc>
      </w:tr>
    </w:tbl>
    <w:p>
      <w:pPr>
        <w:spacing w:line="600" w:lineRule="exact"/>
        <w:jc w:val="center"/>
        <w:rPr>
          <w:rFonts w:hint="eastAsia" w:ascii="方正小标宋_GBK" w:hAnsi="华文中宋" w:eastAsia="方正小标宋_GBK"/>
          <w:sz w:val="44"/>
          <w:szCs w:val="44"/>
        </w:rPr>
      </w:pPr>
      <w:r>
        <w:rPr>
          <w:rFonts w:hint="eastAsia" w:ascii="方正仿宋_GBK" w:hAnsi="Times New Roman" w:eastAsia="方正仿宋_GBK" w:cs="Times New Roman"/>
          <w:sz w:val="24"/>
        </w:rPr>
        <w:t>说明：备注栏简要说明</w:t>
      </w:r>
      <w:r>
        <w:rPr>
          <w:rFonts w:ascii="方正仿宋_GBK" w:hAnsi="Times New Roman" w:eastAsia="方正仿宋_GBK" w:cs="Times New Roman"/>
          <w:sz w:val="24"/>
        </w:rPr>
        <w:t>“</w:t>
      </w:r>
      <w:r>
        <w:rPr>
          <w:rFonts w:hint="eastAsia" w:ascii="方正仿宋_GBK" w:hAnsi="Times New Roman" w:eastAsia="方正仿宋_GBK" w:cs="Times New Roman"/>
          <w:sz w:val="24"/>
        </w:rPr>
        <w:t>结余资金</w:t>
      </w:r>
      <w:r>
        <w:rPr>
          <w:rFonts w:ascii="方正仿宋_GBK" w:hAnsi="Times New Roman" w:eastAsia="方正仿宋_GBK" w:cs="Times New Roman"/>
          <w:sz w:val="24"/>
        </w:rPr>
        <w:t>”</w:t>
      </w:r>
      <w:r>
        <w:rPr>
          <w:rFonts w:hint="eastAsia" w:ascii="方正仿宋_GBK" w:hAnsi="Times New Roman" w:eastAsia="方正仿宋_GBK" w:cs="Times New Roman"/>
          <w:sz w:val="24"/>
        </w:rPr>
        <w:t>原因及</w:t>
      </w:r>
      <w:r>
        <w:rPr>
          <w:rFonts w:ascii="方正仿宋_GBK" w:hAnsi="Times New Roman" w:eastAsia="方正仿宋_GBK" w:cs="Times New Roman"/>
          <w:sz w:val="24"/>
        </w:rPr>
        <w:t>“</w:t>
      </w:r>
      <w:r>
        <w:rPr>
          <w:rFonts w:hint="eastAsia" w:ascii="方正仿宋_GBK" w:hAnsi="Times New Roman" w:eastAsia="方正仿宋_GBK" w:cs="Times New Roman"/>
          <w:sz w:val="24"/>
        </w:rPr>
        <w:t>其他组织</w:t>
      </w:r>
      <w:r>
        <w:rPr>
          <w:rFonts w:ascii="方正仿宋_GBK" w:hAnsi="Times New Roman" w:eastAsia="方正仿宋_GBK" w:cs="Times New Roman"/>
          <w:sz w:val="24"/>
        </w:rPr>
        <w:t>”</w:t>
      </w:r>
      <w:r>
        <w:rPr>
          <w:rFonts w:hint="eastAsia" w:ascii="方正仿宋_GBK" w:hAnsi="Times New Roman" w:eastAsia="方正仿宋_GBK" w:cs="Times New Roman"/>
          <w:sz w:val="24"/>
        </w:rPr>
        <w:t>构成情况。       填表人：</w:t>
      </w: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rPr>
          <w:rFonts w:hint="eastAsia" w:ascii="方正黑体_GBK" w:hAnsi="Times New Roman" w:eastAsia="方正黑体_GBK" w:cs="Times New Roman"/>
          <w:sz w:val="32"/>
        </w:rPr>
      </w:pPr>
    </w:p>
    <w:p>
      <w:pPr>
        <w:rPr>
          <w:rFonts w:ascii="方正仿宋_GBK" w:hAnsi="Times New Roman" w:eastAsia="方正仿宋_GBK" w:cs="Times New Roman"/>
          <w:sz w:val="32"/>
          <w:szCs w:val="32"/>
        </w:rPr>
      </w:pPr>
      <w:r>
        <w:rPr>
          <w:rFonts w:hint="eastAsia" w:ascii="方正黑体_GBK" w:hAnsi="Times New Roman" w:eastAsia="方正黑体_GBK" w:cs="Times New Roman"/>
          <w:sz w:val="32"/>
        </w:rPr>
        <w:t>附件2</w:t>
      </w:r>
    </w:p>
    <w:p>
      <w:pPr>
        <w:spacing w:line="500" w:lineRule="exact"/>
        <w:jc w:val="center"/>
        <w:rPr>
          <w:rFonts w:ascii="方正小标宋_GBK" w:hAnsi="Times New Roman" w:eastAsia="方正小标宋_GBK" w:cs="Times New Roman"/>
          <w:sz w:val="44"/>
        </w:rPr>
      </w:pPr>
      <w:r>
        <w:rPr>
          <w:rFonts w:ascii="方正小标宋_GBK" w:hAnsi="Times New Roman" w:eastAsia="方正小标宋_GBK" w:cs="Times New Roman"/>
          <w:sz w:val="44"/>
        </w:rPr>
        <w:t>××××</w:t>
      </w:r>
      <w:r>
        <w:rPr>
          <w:rFonts w:hint="eastAsia" w:ascii="方正小标宋_GBK" w:hAnsi="Times New Roman" w:eastAsia="方正小标宋_GBK" w:cs="Times New Roman"/>
          <w:sz w:val="44"/>
        </w:rPr>
        <w:t>年</w:t>
      </w:r>
      <w:r>
        <w:rPr>
          <w:rFonts w:ascii="方正小标宋_GBK" w:hAnsi="Times New Roman" w:eastAsia="方正小标宋_GBK" w:cs="Times New Roman"/>
          <w:sz w:val="44"/>
        </w:rPr>
        <w:t>××</w:t>
      </w:r>
      <w:r>
        <w:rPr>
          <w:rFonts w:hint="eastAsia" w:ascii="方正小标宋_GBK" w:hAnsi="Times New Roman" w:eastAsia="方正小标宋_GBK" w:cs="Times New Roman"/>
          <w:sz w:val="44"/>
        </w:rPr>
        <w:t>区县（自治县）耕地地力保护补贴兑付进度旬报表</w:t>
      </w:r>
    </w:p>
    <w:p>
      <w:pPr>
        <w:spacing w:line="500" w:lineRule="exact"/>
        <w:rPr>
          <w:rFonts w:ascii="方正小标宋_GBK" w:hAnsi="Times New Roman" w:eastAsia="方正小标宋_GBK" w:cs="Times New Roman"/>
          <w:sz w:val="44"/>
        </w:rPr>
      </w:pPr>
    </w:p>
    <w:tbl>
      <w:tblPr>
        <w:tblStyle w:val="11"/>
        <w:tblpPr w:leftFromText="180" w:rightFromText="180" w:vertAnchor="text" w:horzAnchor="page" w:tblpX="548" w:tblpY="64"/>
        <w:tblOverlap w:val="never"/>
        <w:tblW w:w="15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360"/>
        <w:gridCol w:w="1360"/>
        <w:gridCol w:w="1360"/>
        <w:gridCol w:w="1085"/>
        <w:gridCol w:w="1260"/>
        <w:gridCol w:w="1260"/>
        <w:gridCol w:w="1260"/>
        <w:gridCol w:w="1260"/>
        <w:gridCol w:w="840"/>
        <w:gridCol w:w="1260"/>
        <w:gridCol w:w="126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乡镇</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应补贴户数（户）</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应补贴面积（万亩）</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实际补贴户数（户）</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实际补贴面积（万亩）</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应兑现补贴资金（万元）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实际兑现补贴资金（万元）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结余资金（万元）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补贴资金兑付进度（%）</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兑付开始时间</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兑付截止时间</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未兑付或进度滞后原因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合计</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bl>
    <w:p>
      <w:pPr>
        <w:spacing w:line="600" w:lineRule="exact"/>
        <w:jc w:val="center"/>
        <w:rPr>
          <w:rFonts w:hint="eastAsia" w:ascii="方正小标宋_GBK" w:hAnsi="华文中宋" w:eastAsia="方正小标宋_GBK"/>
          <w:sz w:val="44"/>
          <w:szCs w:val="44"/>
        </w:rPr>
      </w:pPr>
      <w:r>
        <w:rPr>
          <w:rFonts w:hint="eastAsia" w:ascii="方正仿宋_GBK" w:hAnsi="Times New Roman" w:eastAsia="方正仿宋_GBK" w:cs="Times New Roman"/>
          <w:sz w:val="24"/>
        </w:rPr>
        <w:t>填报单位（盖章）：           填表人：                   联系电话：                             填表日期：</w:t>
      </w: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sectPr>
          <w:pgSz w:w="16840" w:h="11907" w:orient="landscape"/>
          <w:pgMar w:top="1588" w:right="2098" w:bottom="1474" w:left="1985" w:header="851" w:footer="992" w:gutter="0"/>
          <w:cols w:space="425" w:num="1"/>
          <w:docGrid w:type="linesAndChars" w:linePitch="579" w:charSpace="-842"/>
        </w:sectPr>
      </w:pPr>
    </w:p>
    <w:p>
      <w:pPr>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rPr>
        <w:t>附件3</w:t>
      </w:r>
    </w:p>
    <w:p>
      <w:pPr>
        <w:spacing w:line="400" w:lineRule="exact"/>
        <w:rPr>
          <w:rFonts w:ascii="方正仿宋_GBK" w:hAnsi="Times New Roman" w:eastAsia="方正仿宋_GBK" w:cs="Times New Roman"/>
          <w:sz w:val="24"/>
        </w:rPr>
      </w:pP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rPr>
        <w:t>重庆市专项转移支付区域绩效目标表</w:t>
      </w:r>
    </w:p>
    <w:p>
      <w:pPr>
        <w:spacing w:line="40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（2023年度）</w:t>
      </w:r>
    </w:p>
    <w:tbl>
      <w:tblPr>
        <w:tblStyle w:val="11"/>
        <w:tblW w:w="10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2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专项名称</w:t>
            </w:r>
          </w:p>
        </w:tc>
        <w:tc>
          <w:tcPr>
            <w:tcW w:w="9274"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耕地</w:t>
            </w:r>
            <w:r>
              <w:rPr>
                <w:rFonts w:ascii="方正仿宋_GBK" w:hAnsi="宋体" w:eastAsia="方正仿宋_GBK" w:cs="Times New Roman"/>
                <w:kern w:val="0"/>
                <w:sz w:val="21"/>
              </w:rPr>
              <w:t>建设与利用</w:t>
            </w:r>
            <w:r>
              <w:rPr>
                <w:rFonts w:hint="eastAsia" w:ascii="方正仿宋_GBK" w:hAnsi="宋体" w:eastAsia="方正仿宋_GBK" w:cs="Times New Roman"/>
                <w:kern w:val="0"/>
                <w:sz w:val="21"/>
              </w:rPr>
              <w:t>资金（耕地地力保护补贴资金）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w w:val="90"/>
                <w:kern w:val="0"/>
                <w:sz w:val="21"/>
                <w:szCs w:val="21"/>
              </w:rPr>
            </w:pPr>
            <w:r>
              <w:rPr>
                <w:rFonts w:hint="eastAsia" w:ascii="方正仿宋_GBK" w:hAnsi="宋体" w:eastAsia="方正仿宋_GBK" w:cs="Times New Roman"/>
                <w:w w:val="90"/>
                <w:kern w:val="0"/>
                <w:sz w:val="21"/>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专项实施期</w:t>
            </w:r>
          </w:p>
        </w:tc>
        <w:tc>
          <w:tcPr>
            <w:tcW w:w="5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省级主管部门</w:t>
            </w:r>
          </w:p>
        </w:tc>
        <w:tc>
          <w:tcPr>
            <w:tcW w:w="5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区县主管部门</w:t>
            </w:r>
          </w:p>
        </w:tc>
        <w:tc>
          <w:tcPr>
            <w:tcW w:w="5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年度金额</w:t>
            </w:r>
          </w:p>
        </w:tc>
        <w:tc>
          <w:tcPr>
            <w:tcW w:w="7384"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其中：中央补助</w:t>
            </w:r>
          </w:p>
        </w:tc>
        <w:tc>
          <w:tcPr>
            <w:tcW w:w="7384"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地方资金</w:t>
            </w:r>
          </w:p>
        </w:tc>
        <w:tc>
          <w:tcPr>
            <w:tcW w:w="7384"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年度目标</w:t>
            </w:r>
          </w:p>
        </w:tc>
        <w:tc>
          <w:tcPr>
            <w:tcW w:w="9274"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三级指标</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耕地地力保护补贴发放金额</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耕地地力保护补贴发放。</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耕地地力保护补贴实施方案制定。</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耕地地力保护补贴政策执行情况统计表及耕地地力保护补贴资金发放汇总数据备案。</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单位和个人截留、滞留、挤占、挪用和骗取农业支持保护补贴等</w:t>
            </w:r>
            <w:r>
              <w:rPr>
                <w:rFonts w:ascii="方正仿宋_GBK" w:hAnsi="宋体" w:eastAsia="方正仿宋_GBK" w:cs="Times New Roman"/>
                <w:color w:val="000000"/>
                <w:kern w:val="0"/>
                <w:sz w:val="21"/>
              </w:rPr>
              <w:t>违规行为</w:t>
            </w:r>
            <w:r>
              <w:rPr>
                <w:rFonts w:hint="eastAsia" w:ascii="方正仿宋_GBK" w:hAnsi="宋体" w:eastAsia="方正仿宋_GBK" w:cs="Times New Roman"/>
                <w:color w:val="000000"/>
                <w:kern w:val="0"/>
                <w:sz w:val="21"/>
              </w:rPr>
              <w:t>。</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村社干部代领耕地地力保护补贴或直接抵扣任何农业生产费用或“一事一议”等筹资。</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eastAsia"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耕地地力保护补贴发放。</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耕地地力保护补贴实施方案报备。</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阶段性执行情况和总结材料报送。</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耕地地力保护补贴政策执行情况统计表、补贴兑付进度旬报表纸质件和电子档及耕地地力保护补贴资金发放汇总电子数据备案。</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下年耕地地力保护面积数据报送。</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耕地地力保护补贴发放。</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耕地地力保护补贴发放工作经费。</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组织督查组深入村社进行督促检查。</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重大违规违纪</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耕地质量</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kern w:val="0"/>
                <w:sz w:val="21"/>
                <w:szCs w:val="21"/>
              </w:rPr>
            </w:pPr>
            <w:r>
              <w:rPr>
                <w:rFonts w:hint="eastAsia" w:ascii="方正仿宋_GBK" w:hAnsi="宋体" w:eastAsia="方正仿宋_GBK" w:cs="Times New Roman"/>
                <w:kern w:val="0"/>
                <w:sz w:val="21"/>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农民对政策满意度</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hAnsi="宋体"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举报投诉处理满意度</w:t>
            </w:r>
          </w:p>
        </w:tc>
        <w:tc>
          <w:tcPr>
            <w:tcW w:w="246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方正仿宋_GBK" w:hAnsi="宋体" w:eastAsia="方正仿宋_GBK" w:cs="Times New Roman"/>
                <w:color w:val="000000"/>
                <w:kern w:val="0"/>
                <w:sz w:val="21"/>
                <w:szCs w:val="21"/>
              </w:rPr>
            </w:pPr>
            <w:r>
              <w:rPr>
                <w:rFonts w:hint="eastAsia" w:ascii="方正仿宋_GBK" w:hAnsi="宋体" w:eastAsia="方正仿宋_GBK" w:cs="Times New Roman"/>
                <w:color w:val="000000"/>
                <w:kern w:val="0"/>
                <w:sz w:val="21"/>
              </w:rPr>
              <w:t>90%以上</w:t>
            </w:r>
          </w:p>
        </w:tc>
      </w:tr>
    </w:tbl>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rPr>
          <w:rFonts w:ascii="方正黑体_GBK" w:hAnsi="Times New Roman" w:eastAsia="方正黑体_GBK" w:cs="Times New Roman"/>
          <w:sz w:val="32"/>
          <w:szCs w:val="32"/>
        </w:rPr>
      </w:pPr>
      <w:r>
        <w:rPr>
          <w:rFonts w:hint="eastAsia" w:ascii="方正黑体_GBK" w:hAnsi="Times New Roman" w:eastAsia="方正黑体_GBK" w:cs="Times New Roman"/>
          <w:sz w:val="32"/>
        </w:rPr>
        <w:t>附件4</w:t>
      </w:r>
    </w:p>
    <w:p>
      <w:pPr>
        <w:spacing w:line="600" w:lineRule="exact"/>
        <w:jc w:val="center"/>
        <w:rPr>
          <w:rFonts w:ascii="方正小标宋_GBK" w:hAnsi="Times New Roman" w:eastAsia="方正小标宋_GBK" w:cs="Times New Roman"/>
          <w:sz w:val="44"/>
        </w:rPr>
      </w:pPr>
      <w:r>
        <w:rPr>
          <w:rFonts w:ascii="方正小标宋_GBK" w:hAnsi="Times New Roman" w:eastAsia="方正小标宋_GBK" w:cs="Times New Roman"/>
          <w:sz w:val="44"/>
        </w:rPr>
        <w:t>××××</w:t>
      </w:r>
      <w:r>
        <w:rPr>
          <w:rFonts w:hint="eastAsia" w:ascii="方正小标宋_GBK" w:hAnsi="Times New Roman" w:eastAsia="方正小标宋_GBK" w:cs="Times New Roman"/>
          <w:sz w:val="44"/>
        </w:rPr>
        <w:t>年</w:t>
      </w:r>
      <w:r>
        <w:rPr>
          <w:rFonts w:ascii="方正小标宋_GBK" w:hAnsi="Times New Roman" w:eastAsia="方正小标宋_GBK" w:cs="Times New Roman"/>
          <w:sz w:val="44"/>
        </w:rPr>
        <w:t>××</w:t>
      </w:r>
      <w:r>
        <w:rPr>
          <w:rFonts w:hint="eastAsia" w:ascii="方正小标宋_GBK" w:hAnsi="Times New Roman" w:eastAsia="方正小标宋_GBK" w:cs="Times New Roman"/>
          <w:sz w:val="44"/>
        </w:rPr>
        <w:t>区县（自治县）耕地地力保护</w:t>
      </w:r>
    </w:p>
    <w:p>
      <w:pPr>
        <w:spacing w:line="600" w:lineRule="exact"/>
        <w:jc w:val="center"/>
        <w:rPr>
          <w:rFonts w:ascii="方正小标宋_GBK" w:hAnsi="Times New Roman" w:eastAsia="方正小标宋_GBK" w:cs="Times New Roman"/>
          <w:sz w:val="44"/>
        </w:rPr>
      </w:pPr>
      <w:r>
        <w:rPr>
          <w:rFonts w:hint="eastAsia" w:ascii="方正小标宋_GBK" w:hAnsi="Times New Roman" w:eastAsia="方正小标宋_GBK" w:cs="Times New Roman"/>
          <w:sz w:val="44"/>
        </w:rPr>
        <w:t>补贴数据备案表</w:t>
      </w:r>
    </w:p>
    <w:p>
      <w:pPr>
        <w:spacing w:line="600" w:lineRule="exact"/>
        <w:jc w:val="center"/>
        <w:rPr>
          <w:rFonts w:ascii="方正小标宋_GBK" w:hAnsi="Times New Roman" w:eastAsia="方正小标宋_GBK" w:cs="Times New Roman"/>
          <w:sz w:val="44"/>
        </w:rPr>
      </w:pPr>
    </w:p>
    <w:p>
      <w:pPr>
        <w:spacing w:line="40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填报单位（盖章）：                                    时间：</w:t>
      </w:r>
    </w:p>
    <w:tbl>
      <w:tblPr>
        <w:tblStyle w:val="11"/>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color w:val="000000"/>
                <w:kern w:val="0"/>
                <w:sz w:val="24"/>
              </w:rPr>
            </w:pPr>
            <w:r>
              <w:rPr>
                <w:rFonts w:hint="eastAsia" w:ascii="方正仿宋_GBK" w:hAnsi="宋体"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方正仿宋_GBK" w:hAnsi="宋体" w:eastAsia="方正仿宋_GBK" w:cs="Times New Roman"/>
                <w:kern w:val="0"/>
                <w:sz w:val="24"/>
              </w:rPr>
            </w:pPr>
            <w:r>
              <w:rPr>
                <w:rFonts w:hint="eastAsia" w:ascii="方正仿宋_GBK" w:hAnsi="宋体" w:eastAsia="方正仿宋_GBK" w:cs="Times New Roman"/>
                <w:kern w:val="0"/>
                <w:sz w:val="24"/>
              </w:rPr>
              <w:t>　</w:t>
            </w:r>
          </w:p>
        </w:tc>
      </w:tr>
    </w:tbl>
    <w:p>
      <w:pPr>
        <w:spacing w:line="40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填报人：                                       联系方式：</w:t>
      </w:r>
    </w:p>
    <w:p>
      <w:pPr>
        <w:spacing w:line="600" w:lineRule="exact"/>
        <w:jc w:val="center"/>
        <w:rPr>
          <w:rFonts w:hint="eastAsia" w:ascii="方正小标宋_GBK" w:hAnsi="华文中宋" w:eastAsia="方正小标宋_GBK"/>
          <w:sz w:val="44"/>
          <w:szCs w:val="44"/>
        </w:rPr>
      </w:pPr>
    </w:p>
    <w:p>
      <w:pPr>
        <w:spacing w:line="600" w:lineRule="exact"/>
        <w:jc w:val="center"/>
        <w:rPr>
          <w:rFonts w:hint="eastAsia" w:ascii="方正小标宋_GBK" w:hAnsi="华文中宋" w:eastAsia="方正小标宋_GBK"/>
          <w:sz w:val="44"/>
          <w:szCs w:val="44"/>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bookmarkStart w:id="1" w:name="_GoBack"/>
      <w:bookmarkEnd w:id="1"/>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r>
        <w:rPr>
          <w:rFonts w:hint="eastAsia" w:ascii="方正仿宋_GBK" w:eastAsia="方正仿宋_GBK"/>
          <w:sz w:val="30"/>
          <w:szCs w:val="30"/>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355600</wp:posOffset>
                </wp:positionV>
                <wp:extent cx="5600700" cy="0"/>
                <wp:effectExtent l="0" t="0" r="0" b="0"/>
                <wp:wrapNone/>
                <wp:docPr id="5"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1.5pt;margin-top:28pt;height:0pt;width:441pt;z-index:251663360;mso-width-relative:page;mso-height-relative:page;" filled="f" stroked="t" coordsize="21600,21600" o:gfxdata="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laLFzW&#10;AAAACAEAAA8AAAAAAAAAAQAgAAAAIgAAAGRycy9kb3ducmV2LnhtbFBLAQIUABQAAAAIAIdO4kCB&#10;1Nwh6QEAAN0DAAAOAAAAAAAAAAEAIAAAACUBAABkcnMvZTJvRG9jLnhtbFBLBQYAAAAABgAGAFkB&#10;AACA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276" w:firstLineChars="100"/>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抄送：农业农村部计财司、财政部农业农村司、财政部重庆监管局。</w:t>
      </w:r>
    </w:p>
    <w:p>
      <w:pPr>
        <w:ind w:firstLine="276" w:firstLineChars="100"/>
        <w:rPr>
          <w:rFonts w:ascii="方正仿宋_GBK" w:eastAsia="方正仿宋_GBK"/>
          <w:sz w:val="28"/>
          <w:szCs w:val="28"/>
        </w:rPr>
      </w:pPr>
      <w:r>
        <w:rPr>
          <w:rFonts w:hint="eastAsia" w:ascii="方正仿宋_GBK" w:eastAsia="方正仿宋_GBK"/>
          <w:sz w:val="28"/>
          <w:szCs w:val="28"/>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0pt;margin-top:28.3pt;height:0pt;width:446.25pt;z-index:251662336;mso-width-relative:page;mso-height-relative:page;" filled="f" stroked="t"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Ns7o1AAA&#10;AAYBAAAPAAAAAAAAAAEAIAAAACIAAABkcnMvZG93bnJldi54bWxQSwECFAAUAAAACACHTuJAPMuS&#10;uukBAADdAwAADgAAAAAAAAABACAAAAAjAQAAZHJzL2Uyb0RvYy54bWxQSwUGAAAAAAYABgBZAQAA&#10;fgUAAAAA&#10;">
                <v:fill on="f" focussize="0,0"/>
                <v:stroke color="#000000" joinstyle="round"/>
                <v:imagedata o:title=""/>
                <o:lock v:ext="edit" aspectratio="f"/>
              </v:line>
            </w:pict>
          </mc:Fallback>
        </mc:AlternateContent>
      </w:r>
      <w:r>
        <w:rPr>
          <w:rFonts w:hint="eastAsia" w:ascii="方正仿宋_GBK" w:eastAsia="方正仿宋_GBK"/>
          <w:sz w:val="30"/>
          <w:szCs w:val="30"/>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0pt;margin-top:-0.65pt;height:0pt;width:441pt;z-index:251661312;mso-width-relative:page;mso-height-relative:page;" filled="f" stroked="t"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DHa7TAAAA&#10;BgEAAA8AAAAAAAAAAQAgAAAAIgAAAGRycy9kb3ducmV2LnhtbFBLAQIUABQAAAAIAIdO4kCdFxE1&#10;6QEAAN0DAAAOAAAAAAAAAAEAIAAAACIBAABkcnMvZTJvRG9jLnhtbFBLBQYAAAAABgAGAFkBAAB9&#10;BQAAAAA=&#10;">
                <v:fill on="f" focussize="0,0"/>
                <v:stroke color="#000000" joinstyle="round"/>
                <v:imagedata o:title=""/>
                <o:lock v:ext="edit" aspectratio="f"/>
              </v:line>
            </w:pict>
          </mc:Fallback>
        </mc:AlternateContent>
      </w:r>
      <w:r>
        <w:rPr>
          <w:rFonts w:hint="eastAsia" w:ascii="方正仿宋_GBK" w:eastAsia="方正仿宋_GBK"/>
          <w:sz w:val="28"/>
          <w:szCs w:val="28"/>
        </w:rPr>
        <w:t xml:space="preserve">重庆市农业农村委员会办公室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20</w:t>
      </w:r>
      <w:r>
        <w:rPr>
          <w:rFonts w:hint="eastAsia" w:ascii="方正仿宋_GBK" w:eastAsia="方正仿宋_GBK"/>
          <w:sz w:val="28"/>
          <w:szCs w:val="28"/>
          <w:lang w:val="en-US" w:eastAsia="zh-CN"/>
        </w:rPr>
        <w:t>23</w:t>
      </w:r>
      <w:r>
        <w:rPr>
          <w:rFonts w:hint="eastAsia" w:ascii="方正仿宋_GBK" w:eastAsia="方正仿宋_GBK"/>
          <w:sz w:val="28"/>
          <w:szCs w:val="28"/>
        </w:rPr>
        <w:t>年</w:t>
      </w:r>
      <w:r>
        <w:rPr>
          <w:rFonts w:hint="eastAsia" w:ascii="方正仿宋_GBK" w:eastAsia="方正仿宋_GBK"/>
          <w:sz w:val="28"/>
          <w:szCs w:val="28"/>
          <w:lang w:val="en-US" w:eastAsia="zh-CN"/>
        </w:rPr>
        <w:t>6</w:t>
      </w:r>
      <w:r>
        <w:rPr>
          <w:rFonts w:hint="eastAsia" w:ascii="方正仿宋_GBK" w:eastAsia="方正仿宋_GBK"/>
          <w:sz w:val="28"/>
          <w:szCs w:val="28"/>
        </w:rPr>
        <w:t>月7日印发</w:t>
      </w:r>
    </w:p>
    <w:sectPr>
      <w:pgSz w:w="11907" w:h="16840"/>
      <w:pgMar w:top="2098" w:right="1474" w:bottom="1985" w:left="158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748"/>
        <w:tab w:val="clear" w:pos="8306"/>
      </w:tabs>
      <w:ind w:right="360"/>
      <w:jc w:val="both"/>
      <w:rPr>
        <w:rFonts w:ascii="宋体" w:hAnsi="宋体" w:eastAsia="宋体"/>
        <w:sz w:val="28"/>
        <w:szCs w:val="28"/>
      </w:rPr>
    </w:pPr>
    <w:r>
      <w:rPr>
        <w:rFonts w:ascii="仿宋_GB2312"/>
        <w:kern w:val="0"/>
        <w:sz w:val="24"/>
        <w:szCs w:val="21"/>
      </w:rPr>
      <w:tab/>
    </w:r>
    <w:r>
      <w:rPr>
        <w:rFonts w:hint="eastAsia" w:ascii="仿宋_GB2312"/>
        <w:kern w:val="0"/>
        <w:sz w:val="24"/>
        <w:szCs w:val="21"/>
      </w:rPr>
      <w:t xml:space="preserve">                                                               </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1</w:t>
    </w:r>
    <w:r>
      <w:rPr>
        <w:rFonts w:ascii="宋体" w:hAnsi="宋体" w:eastAsia="宋体"/>
        <w:kern w:val="0"/>
        <w:sz w:val="28"/>
        <w:szCs w:val="28"/>
      </w:rPr>
      <w:fldChar w:fldCharType="end"/>
    </w:r>
    <w:r>
      <w:rPr>
        <w:rFonts w:ascii="宋体" w:hAnsi="宋体" w:eastAsia="宋体"/>
        <w:kern w:val="0"/>
        <w:sz w:val="28"/>
        <w:szCs w:val="28"/>
      </w:rPr>
      <w:t xml:space="preserve"> -</w: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2</w:t>
    </w:r>
    <w:r>
      <w:rPr>
        <w:rFonts w:ascii="宋体" w:hAnsi="宋体" w:eastAsia="宋体"/>
        <w:kern w:val="0"/>
        <w:sz w:val="28"/>
        <w:szCs w:val="28"/>
      </w:rPr>
      <w:fldChar w:fldCharType="end"/>
    </w:r>
    <w:r>
      <w:rPr>
        <w:rFonts w:ascii="宋体" w:hAnsi="宋体" w:eastAsia="宋体"/>
        <w:kern w:val="0"/>
        <w:sz w:val="28"/>
        <w:szCs w:val="28"/>
      </w:rP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7275C"/>
    <w:multiLevelType w:val="singleLevel"/>
    <w:tmpl w:val="906727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NWU4ODg4NGRmNDlhMTU5NjQxOGYyNGJmMTNkMDgifQ=="/>
  </w:docVars>
  <w:rsids>
    <w:rsidRoot w:val="55BD2E33"/>
    <w:rsid w:val="00007D0B"/>
    <w:rsid w:val="00043F38"/>
    <w:rsid w:val="00094BCF"/>
    <w:rsid w:val="000A14AE"/>
    <w:rsid w:val="000B1E32"/>
    <w:rsid w:val="000C09C4"/>
    <w:rsid w:val="00116290"/>
    <w:rsid w:val="001446B6"/>
    <w:rsid w:val="0015598C"/>
    <w:rsid w:val="00172B5D"/>
    <w:rsid w:val="00172B82"/>
    <w:rsid w:val="001968C3"/>
    <w:rsid w:val="001D7447"/>
    <w:rsid w:val="00240E56"/>
    <w:rsid w:val="00261F40"/>
    <w:rsid w:val="002735E3"/>
    <w:rsid w:val="00293203"/>
    <w:rsid w:val="002B533B"/>
    <w:rsid w:val="002C39D5"/>
    <w:rsid w:val="002E3CB9"/>
    <w:rsid w:val="003158B4"/>
    <w:rsid w:val="00350642"/>
    <w:rsid w:val="00355EA5"/>
    <w:rsid w:val="003879DA"/>
    <w:rsid w:val="003A07E7"/>
    <w:rsid w:val="003B022E"/>
    <w:rsid w:val="003D7C88"/>
    <w:rsid w:val="003D7F06"/>
    <w:rsid w:val="003F5E0B"/>
    <w:rsid w:val="00415F65"/>
    <w:rsid w:val="00425A05"/>
    <w:rsid w:val="00470E55"/>
    <w:rsid w:val="00474650"/>
    <w:rsid w:val="00491A98"/>
    <w:rsid w:val="004B6362"/>
    <w:rsid w:val="004B79EA"/>
    <w:rsid w:val="004D1692"/>
    <w:rsid w:val="00500F0F"/>
    <w:rsid w:val="00545E94"/>
    <w:rsid w:val="00550449"/>
    <w:rsid w:val="00551F8C"/>
    <w:rsid w:val="00555F24"/>
    <w:rsid w:val="005B250A"/>
    <w:rsid w:val="005C5721"/>
    <w:rsid w:val="0061137B"/>
    <w:rsid w:val="00623DCC"/>
    <w:rsid w:val="0067065D"/>
    <w:rsid w:val="006763C3"/>
    <w:rsid w:val="006821AE"/>
    <w:rsid w:val="00685BED"/>
    <w:rsid w:val="006C2BD3"/>
    <w:rsid w:val="006D58D5"/>
    <w:rsid w:val="006D6C1E"/>
    <w:rsid w:val="00757EFF"/>
    <w:rsid w:val="007712B3"/>
    <w:rsid w:val="00777440"/>
    <w:rsid w:val="00777710"/>
    <w:rsid w:val="00784FA6"/>
    <w:rsid w:val="007917A4"/>
    <w:rsid w:val="00795855"/>
    <w:rsid w:val="007B1C9A"/>
    <w:rsid w:val="007F27B5"/>
    <w:rsid w:val="007F2E68"/>
    <w:rsid w:val="00811163"/>
    <w:rsid w:val="00835B3C"/>
    <w:rsid w:val="00840FC8"/>
    <w:rsid w:val="008738EA"/>
    <w:rsid w:val="00886DEE"/>
    <w:rsid w:val="008B62DA"/>
    <w:rsid w:val="008C065C"/>
    <w:rsid w:val="008D3A37"/>
    <w:rsid w:val="00915F43"/>
    <w:rsid w:val="009333B7"/>
    <w:rsid w:val="009668EE"/>
    <w:rsid w:val="009C3356"/>
    <w:rsid w:val="009D3A44"/>
    <w:rsid w:val="009E7FB1"/>
    <w:rsid w:val="009F4BEF"/>
    <w:rsid w:val="00A30430"/>
    <w:rsid w:val="00A438C3"/>
    <w:rsid w:val="00A44FB9"/>
    <w:rsid w:val="00A62B06"/>
    <w:rsid w:val="00A72758"/>
    <w:rsid w:val="00A92989"/>
    <w:rsid w:val="00AA34C0"/>
    <w:rsid w:val="00AA4E74"/>
    <w:rsid w:val="00AA6F1D"/>
    <w:rsid w:val="00AC2EA2"/>
    <w:rsid w:val="00AC7C6F"/>
    <w:rsid w:val="00AD4D7D"/>
    <w:rsid w:val="00AF050E"/>
    <w:rsid w:val="00AF08A8"/>
    <w:rsid w:val="00AF2962"/>
    <w:rsid w:val="00AF7D1B"/>
    <w:rsid w:val="00B02137"/>
    <w:rsid w:val="00B24A8C"/>
    <w:rsid w:val="00B400C8"/>
    <w:rsid w:val="00B45B0E"/>
    <w:rsid w:val="00BA1410"/>
    <w:rsid w:val="00BB1CB7"/>
    <w:rsid w:val="00BE72E6"/>
    <w:rsid w:val="00C531B3"/>
    <w:rsid w:val="00C70212"/>
    <w:rsid w:val="00C92864"/>
    <w:rsid w:val="00CA6B26"/>
    <w:rsid w:val="00CC3C8E"/>
    <w:rsid w:val="00CC45E5"/>
    <w:rsid w:val="00CD0633"/>
    <w:rsid w:val="00CE5AEA"/>
    <w:rsid w:val="00D15B63"/>
    <w:rsid w:val="00D51AB2"/>
    <w:rsid w:val="00D76996"/>
    <w:rsid w:val="00D92EEB"/>
    <w:rsid w:val="00D948B7"/>
    <w:rsid w:val="00D96209"/>
    <w:rsid w:val="00DA596A"/>
    <w:rsid w:val="00DA790C"/>
    <w:rsid w:val="00DC68BC"/>
    <w:rsid w:val="00DD6A36"/>
    <w:rsid w:val="00DE745F"/>
    <w:rsid w:val="00E564F2"/>
    <w:rsid w:val="00E63D80"/>
    <w:rsid w:val="00E953A1"/>
    <w:rsid w:val="00EA61B0"/>
    <w:rsid w:val="00EB2354"/>
    <w:rsid w:val="00EB548F"/>
    <w:rsid w:val="00EC47D2"/>
    <w:rsid w:val="00EC4AAE"/>
    <w:rsid w:val="00EF08BA"/>
    <w:rsid w:val="00F03441"/>
    <w:rsid w:val="00F17EBA"/>
    <w:rsid w:val="00F44662"/>
    <w:rsid w:val="00F86360"/>
    <w:rsid w:val="00FB30B9"/>
    <w:rsid w:val="00FD0657"/>
    <w:rsid w:val="00FD53CC"/>
    <w:rsid w:val="00FE1A88"/>
    <w:rsid w:val="15C46F73"/>
    <w:rsid w:val="45D608E4"/>
    <w:rsid w:val="553D7E00"/>
    <w:rsid w:val="55BD2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13">
    <w:name w:val="Default Paragraph Font"/>
    <w:link w:val="14"/>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2">
    <w:name w:val="Body Text"/>
    <w:basedOn w:val="1"/>
    <w:uiPriority w:val="0"/>
    <w:pPr>
      <w:spacing w:line="600" w:lineRule="exact"/>
      <w:jc w:val="center"/>
    </w:pPr>
    <w:rPr>
      <w:rFonts w:ascii="方正小标宋_GBK" w:eastAsia="方正小标宋_GBK"/>
      <w:sz w:val="44"/>
    </w:rPr>
  </w:style>
  <w:style w:type="paragraph" w:styleId="3">
    <w:name w:val="Body Text Indent"/>
    <w:basedOn w:val="1"/>
    <w:uiPriority w:val="0"/>
    <w:pPr>
      <w:ind w:firstLine="645"/>
    </w:pPr>
    <w:rPr>
      <w:szCs w:val="20"/>
    </w:rPr>
  </w:style>
  <w:style w:type="paragraph" w:styleId="4">
    <w:name w:val="Date"/>
    <w:basedOn w:val="1"/>
    <w:next w:val="1"/>
    <w:uiPriority w:val="0"/>
    <w:pPr>
      <w:ind w:left="100" w:leftChars="2500"/>
    </w:pPr>
    <w:rPr>
      <w:rFonts w:ascii="仿宋_GB2312" w:hAnsi="宋体"/>
      <w:color w:val="000000"/>
    </w:rPr>
  </w:style>
  <w:style w:type="paragraph" w:styleId="5">
    <w:name w:val="Body Text Indent 2"/>
    <w:basedOn w:val="1"/>
    <w:uiPriority w:val="0"/>
    <w:pPr>
      <w:autoSpaceDE w:val="0"/>
      <w:autoSpaceDN w:val="0"/>
      <w:adjustRightInd w:val="0"/>
      <w:ind w:firstLine="645"/>
      <w:jc w:val="left"/>
    </w:pPr>
    <w:rPr>
      <w:rFonts w:ascii="仿宋_GB2312" w:hAnsi="宋体"/>
      <w:kern w:val="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ind w:firstLine="648" w:firstLineChars="200"/>
    </w:pPr>
    <w:rPr>
      <w:rFonts w:ascii="仿宋_GB2312"/>
    </w:rPr>
  </w:style>
  <w:style w:type="paragraph" w:styleId="9">
    <w:name w:val="Body Text 2"/>
    <w:basedOn w:val="1"/>
    <w:uiPriority w:val="0"/>
    <w:pPr>
      <w:spacing w:line="1300" w:lineRule="exact"/>
      <w:ind w:right="3140" w:rightChars="969"/>
    </w:pPr>
    <w:rPr>
      <w:rFonts w:eastAsia="方正小标宋_GBK"/>
      <w:b/>
      <w:bCs/>
      <w:spacing w:val="60"/>
      <w:w w:val="80"/>
      <w:sz w:val="110"/>
    </w:rPr>
  </w:style>
  <w:style w:type="paragraph" w:styleId="10">
    <w:name w:val="Normal (Web)"/>
    <w:basedOn w:val="1"/>
    <w:uiPriority w:val="0"/>
    <w:pPr>
      <w:widowControl/>
      <w:spacing w:before="100" w:beforeAutospacing="1" w:after="100" w:afterAutospacing="1"/>
      <w:jc w:val="left"/>
    </w:pPr>
    <w:rPr>
      <w:rFonts w:ascii="宋体" w:hAnsi="宋体" w:eastAsia="宋体"/>
      <w:color w:val="000000"/>
      <w:kern w:val="0"/>
      <w:sz w:val="24"/>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w:basedOn w:val="1"/>
    <w:link w:val="13"/>
    <w:uiPriority w:val="0"/>
    <w:pPr>
      <w:widowControl/>
      <w:spacing w:after="160" w:line="240" w:lineRule="exact"/>
      <w:jc w:val="left"/>
    </w:pPr>
    <w:rPr>
      <w:rFonts w:ascii="Verdana" w:hAnsi="Verdana"/>
      <w:kern w:val="0"/>
      <w:sz w:val="24"/>
      <w:szCs w:val="20"/>
      <w:lang w:eastAsia="en-US"/>
    </w:rPr>
  </w:style>
  <w:style w:type="character" w:styleId="15">
    <w:name w:val="Strong"/>
    <w:basedOn w:val="13"/>
    <w:uiPriority w:val="0"/>
    <w:rPr>
      <w:b/>
      <w:bCs/>
    </w:rPr>
  </w:style>
  <w:style w:type="character" w:styleId="16">
    <w:name w:val="page number"/>
    <w:basedOn w:val="13"/>
    <w:uiPriority w:val="0"/>
  </w:style>
  <w:style w:type="paragraph" w:customStyle="1" w:styleId="17">
    <w:name w:val="样式1"/>
    <w:basedOn w:val="1"/>
    <w:uiPriority w:val="0"/>
    <w:rPr>
      <w:rFonts w:ascii="仿宋_GB2312"/>
    </w:rPr>
  </w:style>
  <w:style w:type="paragraph" w:customStyle="1" w:styleId="18">
    <w:name w:val="正文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368;&#26032;&#25913;&#27169;&#26495;%20%20%202022\&#26368;&#26032;&#30340;&#25991;&#20214;&#32418;&#22836;\&#28189;&#20892;&#21457;\&#28189;&#20892;&#21457;&#36130;&#25919;&#23616;&#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渝农发财政局红头.dot</Template>
  <Pages>2</Pages>
  <Words>99</Words>
  <Characters>122</Characters>
  <Lines>1</Lines>
  <Paragraphs>1</Paragraphs>
  <TotalTime>1</TotalTime>
  <ScaleCrop>false</ScaleCrop>
  <LinksUpToDate>false</LinksUpToDate>
  <CharactersWithSpaces>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2023-06-07T09:23:00Z</dcterms:created>
  <dc:creator>打字员</dc:creator>
  <cp:lastModifiedBy>打字员</cp:lastModifiedBy>
  <dcterms:modified xsi:type="dcterms:W3CDTF">2023-06-07T09:32:23Z</dcterms:modified>
  <dc:title>重庆市农业局关于申报2004年农业部财政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7C7CE3DC7B524D43B8E84B78E76817E3</vt:lpwstr>
  </property>
  <property fmtid="{D5CDD505-2E9C-101B-9397-08002B2CF9AE}" pid="3" name="KSOProductBuildVer">
    <vt:lpwstr>2052-11.1.0.13703</vt:lpwstr>
  </property>
</Properties>
</file>