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0030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jc w:val="center"/>
        <w:textAlignment w:val="auto"/>
        <w:outlineLvl w:val="0"/>
        <w:rPr>
          <w:rFonts w:hint="eastAsia" w:ascii="Times New Roman" w:hAnsi="Times New Roman" w:eastAsia="方正小标宋_GBK"/>
          <w:color w:val="auto"/>
          <w:sz w:val="44"/>
          <w:szCs w:val="44"/>
          <w:highlight w:val="none"/>
          <w:lang w:eastAsia="zh-CN"/>
        </w:rPr>
      </w:pPr>
      <w:r>
        <w:rPr>
          <w:rFonts w:hint="eastAsia" w:ascii="Times New Roman" w:hAnsi="Times New Roman" w:eastAsia="方正小标宋_GBK"/>
          <w:color w:val="auto"/>
          <w:sz w:val="44"/>
          <w:szCs w:val="44"/>
          <w:highlight w:val="none"/>
          <w:lang w:eastAsia="zh-CN"/>
        </w:rPr>
        <w:t>重庆市南岸区交通局</w:t>
      </w:r>
    </w:p>
    <w:p w14:paraId="11030FD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jc w:val="center"/>
        <w:textAlignment w:val="auto"/>
        <w:outlineLvl w:val="0"/>
        <w:rPr>
          <w:rFonts w:ascii="Times New Roman" w:hAnsi="Times New Roman" w:eastAsia="方正小标宋_GBK"/>
          <w:color w:val="auto"/>
          <w:sz w:val="44"/>
          <w:szCs w:val="44"/>
          <w:highlight w:val="none"/>
        </w:rPr>
      </w:pPr>
      <w:r>
        <w:rPr>
          <w:rFonts w:hint="eastAsia" w:ascii="Times New Roman" w:hAnsi="Times New Roman" w:eastAsia="方正小标宋_GBK"/>
          <w:color w:val="auto"/>
          <w:sz w:val="44"/>
          <w:szCs w:val="44"/>
          <w:highlight w:val="none"/>
        </w:rPr>
        <w:t>2020年度部门决算情况说明</w:t>
      </w:r>
    </w:p>
    <w:p w14:paraId="467C5656">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880" w:firstLineChars="200"/>
        <w:jc w:val="both"/>
        <w:textAlignment w:val="auto"/>
        <w:rPr>
          <w:rFonts w:ascii="Times New Roman" w:hAnsi="Times New Roman" w:eastAsia="方正小标宋_GBK"/>
          <w:color w:val="auto"/>
          <w:sz w:val="44"/>
          <w:szCs w:val="44"/>
          <w:highlight w:val="none"/>
        </w:rPr>
      </w:pPr>
    </w:p>
    <w:p w14:paraId="632B96B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color w:val="auto"/>
          <w:sz w:val="32"/>
          <w:szCs w:val="32"/>
          <w:highlight w:val="none"/>
        </w:rPr>
      </w:pPr>
      <w:r>
        <w:rPr>
          <w:rStyle w:val="10"/>
          <w:rFonts w:hint="eastAsia" w:ascii="Times New Roman" w:hAnsi="Times New Roman" w:eastAsia="方正黑体_GBK"/>
          <w:b w:val="0"/>
          <w:color w:val="auto"/>
          <w:sz w:val="32"/>
          <w:szCs w:val="32"/>
          <w:highlight w:val="none"/>
        </w:rPr>
        <w:t>一、部门基本情况</w:t>
      </w:r>
    </w:p>
    <w:p w14:paraId="51035E0C">
      <w:pPr>
        <w:pStyle w:val="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Fonts w:hint="default" w:ascii="Times New Roman" w:hAnsi="Times New Roman" w:eastAsia="方正仿宋_GBK" w:cs="方正仿宋_GBK"/>
          <w:b w:val="0"/>
          <w:bCs/>
          <w:color w:val="auto"/>
          <w:sz w:val="32"/>
          <w:szCs w:val="32"/>
          <w:highlight w:val="none"/>
          <w:shd w:val="clear" w:fill="FFFFFF"/>
          <w:lang w:val="en-US"/>
        </w:rPr>
      </w:pPr>
      <w:r>
        <w:rPr>
          <w:rFonts w:hint="eastAsia" w:ascii="Times New Roman" w:hAnsi="Times New Roman" w:eastAsia="方正楷体_GBK" w:cs="方正楷体_GBK"/>
          <w:b w:val="0"/>
          <w:bCs/>
          <w:color w:val="auto"/>
          <w:sz w:val="32"/>
          <w:szCs w:val="32"/>
          <w:highlight w:val="none"/>
          <w:shd w:val="clear" w:fill="FFFFFF"/>
          <w:lang w:eastAsia="zh-CN"/>
        </w:rPr>
        <w:t>（一）职能职责</w:t>
      </w:r>
    </w:p>
    <w:p w14:paraId="6A572DF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1</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贯彻执行交通运输法律、法规、规章和方针政策。</w:t>
      </w:r>
    </w:p>
    <w:p w14:paraId="0E9D64C8">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2</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负责拟订交通运输发展规划、年度计划，并组织实施和监督检查；负责交通行业统计。</w:t>
      </w:r>
    </w:p>
    <w:p w14:paraId="08DB2123">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3</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负责交通运输行业和运输市场的管理，承担交通运输市场监管责任；负责全区道路、水路、铁路、公共客运和轨道交通等综合运输市场监管和综合协调；负责监督、指导道路运输管理相关工作。</w:t>
      </w:r>
    </w:p>
    <w:p w14:paraId="0EB8AB53">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4</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负责交通项目基本建设程序的管理；承担交通建设市场监管责任；协调推进在区铁路项目建设；指导交通基础设施的管理和保护。</w:t>
      </w:r>
    </w:p>
    <w:p w14:paraId="3EF79DE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5</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负责提出交通基础设施固定资产投资规模和方向、财政性资金安排建议；负责所属单位国有资产的监督管理。</w:t>
      </w:r>
    </w:p>
    <w:p w14:paraId="1481AAF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highlight w:val="none"/>
          <w:lang w:val="en-US"/>
        </w:rPr>
      </w:pPr>
      <w:r>
        <w:rPr>
          <w:rFonts w:hint="default" w:ascii="Times New Roman" w:hAnsi="Times New Roman" w:eastAsia="方正仿宋_GBK" w:cs="宋体"/>
          <w:color w:val="auto"/>
          <w:sz w:val="32"/>
          <w:szCs w:val="32"/>
          <w:highlight w:val="none"/>
          <w:lang w:val="en-US"/>
        </w:rPr>
        <w:t>6</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负责交通基础设施建设的质量、安全生产监督；负责公路养护、公路路产路权管理和保护；负责组织超限运输治理工作。</w:t>
      </w:r>
    </w:p>
    <w:p w14:paraId="7419D70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7</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按权限负责辖区水运建设项目质量、安全等监督管理工作；负责辖区水路运输及水路运输辅助业的日常监督等行业管理；按权限实施水上交通行政审批事项和港口规费征收；指导、监督乡镇船舶交通安全管理。</w:t>
      </w:r>
    </w:p>
    <w:p w14:paraId="5059C91A">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8</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负责指导委属单位安全监督工作；参与涉及交通运输行业安全生产事故处置；协调交通重大事故的应急管理和处置；监督交通运输行业和交通项目建设安全工作。</w:t>
      </w:r>
    </w:p>
    <w:p w14:paraId="1ACA5EF8">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9</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负责交通行业应急预案拟订及体系建设工作；按规定组织协调重点物资、紧急客货运输和高峰客运疏导工作；负责交通战备工作。</w:t>
      </w:r>
    </w:p>
    <w:p w14:paraId="5430B23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94" w:lineRule="exact"/>
        <w:ind w:left="0" w:firstLine="640" w:firstLineChars="200"/>
        <w:jc w:val="both"/>
        <w:textAlignment w:val="auto"/>
        <w:rPr>
          <w:rFonts w:hint="default" w:ascii="Times New Roman" w:hAnsi="Times New Roman" w:eastAsia="方正仿宋_GBK" w:cs="宋体"/>
          <w:color w:val="auto"/>
          <w:sz w:val="32"/>
          <w:szCs w:val="32"/>
          <w:highlight w:val="none"/>
          <w:lang w:val="en-US"/>
        </w:rPr>
      </w:pPr>
      <w:r>
        <w:rPr>
          <w:rFonts w:hint="default" w:ascii="Times New Roman" w:hAnsi="Times New Roman" w:eastAsia="方正仿宋_GBK" w:cs="宋体"/>
          <w:color w:val="auto"/>
          <w:sz w:val="32"/>
          <w:szCs w:val="32"/>
          <w:highlight w:val="none"/>
          <w:lang w:val="en-US"/>
        </w:rPr>
        <w:t>10</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推动交通行业科技进步，负责新技术、新工艺和新材料在交通行业的推广和应用；指导公路、水路行业环境保护和节能减排工作；组织和管理交通运输行业信息化建设。</w:t>
      </w:r>
    </w:p>
    <w:p w14:paraId="226F2D88">
      <w:pPr>
        <w:pStyle w:val="16"/>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94" w:lineRule="exact"/>
        <w:ind w:left="0" w:firstLine="640" w:firstLineChars="200"/>
        <w:jc w:val="both"/>
        <w:textAlignment w:val="auto"/>
        <w:rPr>
          <w:rFonts w:hint="default" w:ascii="Times New Roman" w:hAnsi="Times New Roman" w:eastAsia="方正仿宋_GBK" w:cs="方正仿宋_GBK"/>
          <w:color w:val="auto"/>
          <w:sz w:val="32"/>
          <w:szCs w:val="32"/>
          <w:highlight w:val="none"/>
          <w:lang w:val="en-US"/>
        </w:rPr>
      </w:pPr>
      <w:r>
        <w:rPr>
          <w:rFonts w:hint="default" w:ascii="Times New Roman" w:hAnsi="Times New Roman" w:eastAsia="方正仿宋_GBK" w:cs="宋体"/>
          <w:color w:val="auto"/>
          <w:sz w:val="32"/>
          <w:szCs w:val="32"/>
          <w:highlight w:val="none"/>
          <w:lang w:val="en-US"/>
        </w:rPr>
        <w:t>11</w:t>
      </w:r>
      <w:r>
        <w:rPr>
          <w:rFonts w:hint="eastAsia" w:ascii="Times New Roman" w:hAnsi="Times New Roman" w:eastAsia="方正仿宋_GBK" w:cs="宋体"/>
          <w:color w:val="auto"/>
          <w:sz w:val="32"/>
          <w:szCs w:val="32"/>
          <w:highlight w:val="none"/>
          <w:lang w:val="en-US" w:eastAsia="zh-CN"/>
        </w:rPr>
        <w:t>．</w:t>
      </w:r>
      <w:r>
        <w:rPr>
          <w:rFonts w:hint="eastAsia" w:ascii="Times New Roman" w:hAnsi="Times New Roman" w:eastAsia="方正仿宋_GBK" w:cs="方正仿宋_GBK"/>
          <w:color w:val="auto"/>
          <w:sz w:val="32"/>
          <w:szCs w:val="32"/>
          <w:highlight w:val="none"/>
          <w:lang w:eastAsia="zh-CN"/>
        </w:rPr>
        <w:t>承办区政府交办的其他事项。</w:t>
      </w:r>
    </w:p>
    <w:p w14:paraId="45BD5E81">
      <w:pPr>
        <w:pStyle w:val="16"/>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594" w:lineRule="exact"/>
        <w:ind w:left="0" w:right="0" w:firstLine="640" w:firstLineChars="200"/>
        <w:jc w:val="both"/>
        <w:textAlignment w:val="auto"/>
        <w:rPr>
          <w:rFonts w:hint="default" w:ascii="Times New Roman" w:hAnsi="Times New Roman" w:eastAsia="方正楷体_GBK" w:cs="宋体"/>
          <w:b w:val="0"/>
          <w:bCs/>
          <w:color w:val="auto"/>
          <w:sz w:val="32"/>
          <w:szCs w:val="32"/>
          <w:highlight w:val="none"/>
          <w:shd w:val="clear" w:fill="FFFFFF"/>
          <w:lang w:val="en-US"/>
        </w:rPr>
      </w:pPr>
      <w:r>
        <w:rPr>
          <w:rFonts w:hint="eastAsia" w:ascii="Times New Roman" w:hAnsi="Times New Roman" w:eastAsia="方正楷体_GBK" w:cs="方正楷体_GBK"/>
          <w:b w:val="0"/>
          <w:bCs/>
          <w:color w:val="auto"/>
          <w:sz w:val="32"/>
          <w:szCs w:val="32"/>
          <w:highlight w:val="none"/>
          <w:shd w:val="clear" w:fill="FFFFFF"/>
          <w:lang w:eastAsia="zh-CN"/>
        </w:rPr>
        <w:t>（二）机构设置</w:t>
      </w:r>
    </w:p>
    <w:p w14:paraId="292AE4F0">
      <w:pPr>
        <w:pStyle w:val="16"/>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594" w:lineRule="exact"/>
        <w:ind w:left="0" w:right="0" w:firstLine="640" w:firstLineChars="200"/>
        <w:jc w:val="both"/>
        <w:textAlignment w:val="auto"/>
        <w:rPr>
          <w:rFonts w:hint="default" w:ascii="Times New Roman" w:hAnsi="Times New Roman" w:eastAsia="方正仿宋_GBK" w:cs="方正仿宋_GBK"/>
          <w:b/>
          <w:color w:val="auto"/>
          <w:sz w:val="32"/>
          <w:szCs w:val="32"/>
          <w:highlight w:val="none"/>
          <w:shd w:val="clear" w:fill="FFFFFF"/>
          <w:lang w:val="en-US"/>
        </w:rPr>
      </w:pPr>
      <w:r>
        <w:rPr>
          <w:rFonts w:hint="eastAsia" w:ascii="Times New Roman" w:hAnsi="Times New Roman" w:eastAsia="方正仿宋_GBK" w:cs="方正仿宋_GBK"/>
          <w:color w:val="auto"/>
          <w:sz w:val="32"/>
          <w:szCs w:val="32"/>
          <w:highlight w:val="none"/>
          <w:shd w:val="clear" w:fill="FFFFFF"/>
          <w:lang w:eastAsia="zh-CN"/>
        </w:rPr>
        <w:t>局机关内设</w:t>
      </w:r>
      <w:r>
        <w:rPr>
          <w:rFonts w:hint="default" w:ascii="Times New Roman" w:hAnsi="Times New Roman" w:eastAsia="方正仿宋_GBK" w:cs="宋体"/>
          <w:color w:val="auto"/>
          <w:sz w:val="32"/>
          <w:szCs w:val="32"/>
          <w:highlight w:val="none"/>
          <w:shd w:val="clear" w:fill="FFFFFF"/>
          <w:lang w:val="en-US"/>
        </w:rPr>
        <w:t>6</w:t>
      </w:r>
      <w:r>
        <w:rPr>
          <w:rFonts w:hint="eastAsia" w:ascii="Times New Roman" w:hAnsi="Times New Roman" w:eastAsia="方正仿宋_GBK" w:cs="方正仿宋_GBK"/>
          <w:color w:val="auto"/>
          <w:sz w:val="32"/>
          <w:szCs w:val="32"/>
          <w:highlight w:val="none"/>
          <w:shd w:val="clear" w:fill="FFFFFF"/>
          <w:lang w:eastAsia="zh-CN"/>
        </w:rPr>
        <w:t>个科室：办公室、规划建设科、财务审计科、法制安全科、综合运输科。</w:t>
      </w:r>
    </w:p>
    <w:p w14:paraId="07F1B791">
      <w:pPr>
        <w:keepNext w:val="0"/>
        <w:keepLines w:val="0"/>
        <w:pageBreakBefore w:val="0"/>
        <w:widowControl w:val="0"/>
        <w:numPr>
          <w:ilvl w:val="0"/>
          <w:numId w:val="1"/>
        </w:numPr>
        <w:suppressLineNumbers w:val="0"/>
        <w:tabs>
          <w:tab w:val="left" w:pos="0"/>
        </w:tabs>
        <w:kinsoku/>
        <w:wordWrap/>
        <w:overflowPunct/>
        <w:topLinePunct w:val="0"/>
        <w:autoSpaceDE/>
        <w:autoSpaceDN/>
        <w:bidi w:val="0"/>
        <w:adjustRightInd/>
        <w:snapToGrid/>
        <w:spacing w:beforeAutospacing="0" w:afterAutospacing="0" w:line="594" w:lineRule="exact"/>
        <w:ind w:firstLine="640" w:firstLineChars="200"/>
        <w:jc w:val="both"/>
        <w:textAlignment w:val="auto"/>
        <w:rPr>
          <w:rFonts w:hint="eastAsia" w:ascii="Times New Roman" w:hAnsi="Times New Roman" w:eastAsia="方正楷体_GBK" w:cs="方正楷体_GBK"/>
          <w:b w:val="0"/>
          <w:bCs/>
          <w:color w:val="auto"/>
          <w:sz w:val="32"/>
          <w:szCs w:val="32"/>
          <w:highlight w:val="none"/>
          <w:shd w:val="clear" w:fill="FFFFFF"/>
          <w:lang w:eastAsia="zh-CN"/>
        </w:rPr>
      </w:pPr>
      <w:r>
        <w:rPr>
          <w:rFonts w:hint="eastAsia" w:ascii="Times New Roman" w:hAnsi="Times New Roman" w:eastAsia="方正楷体_GBK" w:cs="方正楷体_GBK"/>
          <w:b w:val="0"/>
          <w:bCs/>
          <w:color w:val="auto"/>
          <w:sz w:val="32"/>
          <w:szCs w:val="32"/>
          <w:highlight w:val="none"/>
          <w:shd w:val="clear" w:fill="FFFFFF"/>
          <w:lang w:eastAsia="zh-CN"/>
        </w:rPr>
        <w:t>单位构成</w:t>
      </w:r>
    </w:p>
    <w:p w14:paraId="34EFFFF0">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s="方正仿宋_GBK"/>
          <w:color w:val="auto"/>
          <w:sz w:val="32"/>
          <w:szCs w:val="32"/>
          <w:highlight w:val="none"/>
          <w:lang w:eastAsia="zh-CN"/>
        </w:rPr>
      </w:pPr>
      <w:r>
        <w:rPr>
          <w:rFonts w:hint="eastAsia" w:ascii="Times New Roman" w:hAnsi="Times New Roman" w:eastAsia="方正仿宋_GBK" w:cs="方正仿宋_GBK"/>
          <w:color w:val="auto"/>
          <w:sz w:val="32"/>
          <w:szCs w:val="32"/>
          <w:highlight w:val="none"/>
          <w:lang w:eastAsia="zh-CN"/>
        </w:rPr>
        <w:t>从预算单位构成看，纳入本部门</w:t>
      </w:r>
      <w:r>
        <w:rPr>
          <w:rFonts w:hint="default" w:ascii="Times New Roman" w:hAnsi="Times New Roman" w:eastAsia="方正仿宋_GBK" w:cs="方正仿宋_GBK"/>
          <w:color w:val="auto"/>
          <w:sz w:val="32"/>
          <w:szCs w:val="32"/>
          <w:highlight w:val="none"/>
          <w:lang w:val="en-US"/>
        </w:rPr>
        <w:t>20</w:t>
      </w:r>
      <w:r>
        <w:rPr>
          <w:rFonts w:hint="eastAsia" w:ascii="Times New Roman" w:hAnsi="Times New Roman" w:eastAsia="方正仿宋_GBK" w:cs="方正仿宋_GBK"/>
          <w:color w:val="auto"/>
          <w:sz w:val="32"/>
          <w:szCs w:val="32"/>
          <w:highlight w:val="none"/>
          <w:lang w:val="en-US" w:eastAsia="zh-CN"/>
        </w:rPr>
        <w:t>20</w:t>
      </w:r>
      <w:r>
        <w:rPr>
          <w:rFonts w:hint="eastAsia" w:ascii="Times New Roman" w:hAnsi="Times New Roman" w:eastAsia="方正仿宋_GBK" w:cs="方正仿宋_GBK"/>
          <w:color w:val="auto"/>
          <w:sz w:val="32"/>
          <w:szCs w:val="32"/>
          <w:highlight w:val="none"/>
          <w:lang w:eastAsia="zh-CN"/>
        </w:rPr>
        <w:t>年度决算编制的二级预算单位主要包括南岸区道路运输事务中心和南岸区交通事务中心</w:t>
      </w:r>
      <w:bookmarkStart w:id="0" w:name="_GoBack"/>
      <w:bookmarkEnd w:id="0"/>
      <w:r>
        <w:rPr>
          <w:rFonts w:hint="eastAsia" w:ascii="Times New Roman" w:hAnsi="Times New Roman" w:eastAsia="方正仿宋_GBK" w:cs="方正仿宋_GBK"/>
          <w:color w:val="auto"/>
          <w:sz w:val="32"/>
          <w:szCs w:val="32"/>
          <w:highlight w:val="none"/>
          <w:lang w:eastAsia="zh-CN"/>
        </w:rPr>
        <w:t>。</w:t>
      </w:r>
    </w:p>
    <w:p w14:paraId="5A70D957">
      <w:pPr>
        <w:pStyle w:val="7"/>
        <w:keepNext w:val="0"/>
        <w:keepLines w:val="0"/>
        <w:pageBreakBefore w:val="0"/>
        <w:widowControl w:val="0"/>
        <w:numPr>
          <w:ilvl w:val="0"/>
          <w:numId w:val="2"/>
        </w:numPr>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Fonts w:hint="eastAsia" w:ascii="Times New Roman" w:hAnsi="Times New Roman" w:eastAsia="方正楷体_GBK" w:cs="方正楷体_GBK"/>
          <w:b w:val="0"/>
          <w:bCs/>
          <w:color w:val="auto"/>
          <w:sz w:val="32"/>
          <w:szCs w:val="32"/>
          <w:highlight w:val="none"/>
          <w:shd w:val="clear" w:fill="FFFFFF"/>
          <w:lang w:val="en-US" w:eastAsia="zh-CN" w:bidi="ar-SA"/>
        </w:rPr>
      </w:pPr>
      <w:r>
        <w:rPr>
          <w:rFonts w:hint="eastAsia" w:ascii="Times New Roman" w:hAnsi="Times New Roman" w:eastAsia="方正楷体_GBK" w:cs="方正楷体_GBK"/>
          <w:b w:val="0"/>
          <w:bCs/>
          <w:color w:val="auto"/>
          <w:sz w:val="32"/>
          <w:szCs w:val="32"/>
          <w:highlight w:val="none"/>
          <w:shd w:val="clear" w:fill="FFFFFF"/>
          <w:lang w:val="en-US" w:eastAsia="zh-CN" w:bidi="ar-SA"/>
        </w:rPr>
        <w:t>机构改革</w:t>
      </w:r>
    </w:p>
    <w:p w14:paraId="4833D51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黑体_GBK"/>
          <w:b w:val="0"/>
          <w:color w:val="auto"/>
          <w:sz w:val="32"/>
          <w:szCs w:val="32"/>
          <w:highlight w:val="none"/>
        </w:rPr>
      </w:pPr>
      <w:r>
        <w:rPr>
          <w:rFonts w:hint="eastAsia" w:ascii="Times New Roman" w:hAnsi="Times New Roman" w:eastAsia="方正仿宋_GBK" w:cs="方正仿宋_GBK"/>
          <w:color w:val="auto"/>
          <w:sz w:val="32"/>
          <w:szCs w:val="32"/>
          <w:highlight w:val="none"/>
          <w:lang w:eastAsia="zh-CN"/>
        </w:rPr>
        <w:t>本部门下属单位南岸区交通运输管理所变更为南岸区道路运输事务中心，原南岸区交通工程质量安全监督站并更为南岸区交通事务中心，不</w:t>
      </w:r>
      <w:r>
        <w:rPr>
          <w:rFonts w:hint="eastAsia" w:ascii="Times New Roman" w:hAnsi="Times New Roman" w:eastAsia="方正仿宋_GBK" w:cs="方正仿宋_GBK"/>
          <w:color w:val="auto"/>
          <w:sz w:val="32"/>
          <w:szCs w:val="32"/>
          <w:highlight w:val="none"/>
          <w:lang w:val="en-US" w:eastAsia="zh-CN"/>
        </w:rPr>
        <w:t>再</w:t>
      </w:r>
      <w:r>
        <w:rPr>
          <w:rFonts w:hint="eastAsia" w:ascii="Times New Roman" w:hAnsi="Times New Roman" w:eastAsia="方正仿宋_GBK" w:cs="方正仿宋_GBK"/>
          <w:color w:val="auto"/>
          <w:sz w:val="32"/>
          <w:szCs w:val="32"/>
          <w:highlight w:val="none"/>
          <w:lang w:eastAsia="zh-CN"/>
        </w:rPr>
        <w:t>保留南岸区港航管理所。</w:t>
      </w:r>
    </w:p>
    <w:p w14:paraId="5549F7B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color w:val="auto"/>
          <w:highlight w:val="none"/>
        </w:rPr>
      </w:pPr>
      <w:r>
        <w:rPr>
          <w:rStyle w:val="10"/>
          <w:rFonts w:hint="eastAsia" w:ascii="Times New Roman" w:hAnsi="Times New Roman" w:eastAsia="方正黑体_GBK"/>
          <w:b w:val="0"/>
          <w:color w:val="auto"/>
          <w:sz w:val="32"/>
          <w:szCs w:val="32"/>
          <w:highlight w:val="none"/>
        </w:rPr>
        <w:t>二、部门决算情况说明</w:t>
      </w:r>
    </w:p>
    <w:p w14:paraId="3667ABC8">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（一）收入支出决算总体情况说明</w:t>
      </w:r>
    </w:p>
    <w:p w14:paraId="255AE8B7">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default" w:ascii="Times New Roman" w:hAnsi="Times New Roman" w:eastAsia="方正仿宋_GBK"/>
          <w:color w:val="auto"/>
          <w:sz w:val="32"/>
          <w:szCs w:val="32"/>
          <w:highlight w:val="none"/>
          <w:lang w:val="en-US" w:eastAsia="zh-CN"/>
        </w:rPr>
      </w:pPr>
      <w:r>
        <w:rPr>
          <w:rFonts w:hint="eastAsia" w:ascii="Times New Roman" w:hAnsi="Times New Roman" w:eastAsia="方正仿宋_GBK"/>
          <w:color w:val="auto"/>
          <w:sz w:val="32"/>
          <w:szCs w:val="32"/>
          <w:highlight w:val="none"/>
        </w:rPr>
        <w:t>1.总体情况。2020年度收入总计</w:t>
      </w:r>
      <w:r>
        <w:rPr>
          <w:rFonts w:hint="eastAsia" w:ascii="Times New Roman" w:hAnsi="Times New Roman" w:eastAsia="方正仿宋_GBK"/>
          <w:color w:val="auto"/>
          <w:sz w:val="32"/>
          <w:szCs w:val="32"/>
          <w:highlight w:val="none"/>
          <w:lang w:val="en-US" w:eastAsia="zh-CN"/>
        </w:rPr>
        <w:t>5330.99</w:t>
      </w:r>
      <w:r>
        <w:rPr>
          <w:rFonts w:hint="eastAsia" w:ascii="Times New Roman" w:hAnsi="Times New Roman" w:eastAsia="方正仿宋_GBK"/>
          <w:color w:val="auto"/>
          <w:sz w:val="32"/>
          <w:szCs w:val="32"/>
          <w:highlight w:val="none"/>
        </w:rPr>
        <w:t>万元，收</w:t>
      </w:r>
      <w:r>
        <w:rPr>
          <w:rFonts w:hint="eastAsia" w:ascii="Times New Roman" w:hAnsi="Times New Roman" w:eastAsia="方正仿宋_GBK"/>
          <w:color w:val="auto"/>
          <w:sz w:val="32"/>
          <w:szCs w:val="32"/>
          <w:highlight w:val="none"/>
          <w:lang w:eastAsia="zh-CN"/>
        </w:rPr>
        <w:t>入</w:t>
      </w:r>
      <w:r>
        <w:rPr>
          <w:rFonts w:hint="eastAsia" w:ascii="Times New Roman" w:hAnsi="Times New Roman" w:eastAsia="方正仿宋_GBK"/>
          <w:color w:val="auto"/>
          <w:sz w:val="32"/>
          <w:szCs w:val="32"/>
          <w:highlight w:val="none"/>
        </w:rPr>
        <w:t>较上年决算数减少</w:t>
      </w:r>
      <w:r>
        <w:rPr>
          <w:rFonts w:hint="eastAsia" w:ascii="Times New Roman" w:hAnsi="Times New Roman" w:eastAsia="方正仿宋_GBK"/>
          <w:color w:val="auto"/>
          <w:sz w:val="32"/>
          <w:szCs w:val="32"/>
          <w:highlight w:val="none"/>
          <w:lang w:val="en-US" w:eastAsia="zh-CN"/>
        </w:rPr>
        <w:t>186.62</w:t>
      </w:r>
      <w:r>
        <w:rPr>
          <w:rFonts w:hint="eastAsia" w:ascii="Times New Roman" w:hAnsi="Times New Roman" w:eastAsia="方正仿宋_GBK"/>
          <w:color w:val="auto"/>
          <w:sz w:val="32"/>
          <w:szCs w:val="32"/>
          <w:highlight w:val="none"/>
        </w:rPr>
        <w:t xml:space="preserve">万元，下降 </w:t>
      </w:r>
      <w:r>
        <w:rPr>
          <w:rFonts w:hint="eastAsia" w:ascii="Times New Roman" w:hAnsi="Times New Roman" w:eastAsia="方正仿宋_GBK"/>
          <w:color w:val="auto"/>
          <w:sz w:val="32"/>
          <w:szCs w:val="32"/>
          <w:highlight w:val="none"/>
          <w:lang w:val="en-US" w:eastAsia="zh-CN"/>
        </w:rPr>
        <w:t>3.38</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农村公路、干线公路等基础设施建设项目减少，争取的预算资金减少。</w:t>
      </w:r>
      <w:r>
        <w:rPr>
          <w:rFonts w:hint="eastAsia" w:ascii="Times New Roman" w:hAnsi="Times New Roman" w:eastAsia="方正仿宋_GBK"/>
          <w:color w:val="auto"/>
          <w:sz w:val="32"/>
          <w:szCs w:val="32"/>
          <w:highlight w:val="none"/>
        </w:rPr>
        <w:t>支出总计</w:t>
      </w:r>
      <w:r>
        <w:rPr>
          <w:rFonts w:hint="eastAsia" w:ascii="Times New Roman" w:hAnsi="Times New Roman" w:eastAsia="方正仿宋_GBK"/>
          <w:color w:val="auto"/>
          <w:sz w:val="32"/>
          <w:szCs w:val="32"/>
          <w:highlight w:val="none"/>
          <w:lang w:val="en-US" w:eastAsia="zh-CN"/>
        </w:rPr>
        <w:t>5622.56</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，支出</w:t>
      </w:r>
      <w:r>
        <w:rPr>
          <w:rFonts w:hint="eastAsia" w:ascii="Times New Roman" w:hAnsi="Times New Roman" w:eastAsia="方正仿宋_GBK"/>
          <w:color w:val="auto"/>
          <w:sz w:val="32"/>
          <w:szCs w:val="32"/>
          <w:highlight w:val="none"/>
        </w:rPr>
        <w:t>较上年决算数</w:t>
      </w:r>
      <w:r>
        <w:rPr>
          <w:rFonts w:hint="eastAsia" w:ascii="Times New Roman" w:hAnsi="Times New Roman" w:eastAsia="方正仿宋_GBK"/>
          <w:color w:val="auto"/>
          <w:sz w:val="32"/>
          <w:szCs w:val="32"/>
          <w:highlight w:val="none"/>
          <w:lang w:eastAsia="zh-CN"/>
        </w:rPr>
        <w:t>增加</w:t>
      </w:r>
      <w:r>
        <w:rPr>
          <w:rFonts w:hint="eastAsia" w:ascii="Times New Roman" w:hAnsi="Times New Roman" w:eastAsia="方正仿宋_GBK"/>
          <w:color w:val="auto"/>
          <w:sz w:val="32"/>
          <w:szCs w:val="32"/>
          <w:highlight w:val="none"/>
          <w:lang w:val="en-US" w:eastAsia="zh-CN"/>
        </w:rPr>
        <w:t>86.92</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，增长</w:t>
      </w: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olor w:val="auto"/>
          <w:sz w:val="32"/>
          <w:szCs w:val="32"/>
          <w:highlight w:val="none"/>
          <w:lang w:val="en-US" w:eastAsia="zh-CN"/>
        </w:rPr>
        <w:t>1.57</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本年增加治超、灾后重建、防疫等非基建专项</w:t>
      </w:r>
      <w:r>
        <w:rPr>
          <w:rFonts w:hint="eastAsia" w:ascii="Times New Roman" w:hAnsi="Times New Roman" w:eastAsia="方正仿宋_GBK"/>
          <w:color w:val="auto"/>
          <w:sz w:val="32"/>
          <w:szCs w:val="32"/>
          <w:highlight w:val="none"/>
          <w:lang w:val="en-US" w:eastAsia="zh-CN"/>
        </w:rPr>
        <w:t>85万元，下属单位合并，搬迁办公地点等增加基本支出约2万元。</w:t>
      </w:r>
    </w:p>
    <w:p w14:paraId="4CA8E53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2.收入情况。2020年度收入合计</w:t>
      </w:r>
      <w:r>
        <w:rPr>
          <w:rFonts w:hint="eastAsia" w:ascii="Times New Roman" w:hAnsi="Times New Roman" w:eastAsia="方正仿宋_GBK"/>
          <w:color w:val="auto"/>
          <w:sz w:val="32"/>
          <w:szCs w:val="32"/>
          <w:highlight w:val="none"/>
          <w:lang w:val="en-US" w:eastAsia="zh-CN"/>
        </w:rPr>
        <w:t>5330.99</w:t>
      </w:r>
      <w:r>
        <w:rPr>
          <w:rFonts w:hint="eastAsia" w:ascii="Times New Roman" w:hAnsi="Times New Roman" w:eastAsia="方正仿宋_GBK"/>
          <w:color w:val="auto"/>
          <w:sz w:val="32"/>
          <w:szCs w:val="32"/>
          <w:highlight w:val="none"/>
        </w:rPr>
        <w:t>万元，较上年决算数减少</w:t>
      </w:r>
      <w:r>
        <w:rPr>
          <w:rFonts w:hint="eastAsia" w:ascii="Times New Roman" w:hAnsi="Times New Roman" w:eastAsia="方正仿宋_GBK"/>
          <w:color w:val="auto"/>
          <w:sz w:val="32"/>
          <w:szCs w:val="32"/>
          <w:highlight w:val="none"/>
          <w:lang w:val="en-US" w:eastAsia="zh-CN"/>
        </w:rPr>
        <w:t>186.62</w:t>
      </w:r>
      <w:r>
        <w:rPr>
          <w:rFonts w:hint="eastAsia" w:ascii="Times New Roman" w:hAnsi="Times New Roman" w:eastAsia="方正仿宋_GBK"/>
          <w:color w:val="auto"/>
          <w:sz w:val="32"/>
          <w:szCs w:val="32"/>
          <w:highlight w:val="none"/>
        </w:rPr>
        <w:t>万元，下降</w:t>
      </w:r>
      <w:r>
        <w:rPr>
          <w:rFonts w:hint="eastAsia" w:ascii="Times New Roman" w:hAnsi="Times New Roman" w:eastAsia="方正仿宋_GBK"/>
          <w:color w:val="auto"/>
          <w:sz w:val="32"/>
          <w:szCs w:val="32"/>
          <w:highlight w:val="none"/>
          <w:lang w:val="en-US" w:eastAsia="zh-CN"/>
        </w:rPr>
        <w:t>3.38</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农村公路、干线公路等基础设施建设项目减少，争取的预算资金减少。</w:t>
      </w:r>
      <w:r>
        <w:rPr>
          <w:rFonts w:hint="eastAsia" w:ascii="Times New Roman" w:hAnsi="Times New Roman" w:eastAsia="方正仿宋_GBK"/>
          <w:color w:val="auto"/>
          <w:sz w:val="32"/>
          <w:szCs w:val="32"/>
          <w:highlight w:val="none"/>
        </w:rPr>
        <w:t>其中：财政拨款收入</w:t>
      </w:r>
      <w:r>
        <w:rPr>
          <w:rFonts w:hint="eastAsia" w:ascii="Times New Roman" w:hAnsi="Times New Roman" w:eastAsia="方正仿宋_GBK"/>
          <w:color w:val="auto"/>
          <w:sz w:val="32"/>
          <w:szCs w:val="32"/>
          <w:highlight w:val="none"/>
          <w:lang w:val="en-US" w:eastAsia="zh-CN"/>
        </w:rPr>
        <w:t>5330.99</w:t>
      </w:r>
      <w:r>
        <w:rPr>
          <w:rFonts w:hint="eastAsia" w:ascii="Times New Roman" w:hAnsi="Times New Roman" w:eastAsia="方正仿宋_GBK"/>
          <w:color w:val="auto"/>
          <w:sz w:val="32"/>
          <w:szCs w:val="32"/>
          <w:highlight w:val="none"/>
        </w:rPr>
        <w:t>万元，占</w:t>
      </w:r>
      <w:r>
        <w:rPr>
          <w:rFonts w:hint="eastAsia" w:ascii="Times New Roman" w:hAnsi="Times New Roman" w:eastAsia="方正仿宋_GBK"/>
          <w:color w:val="auto"/>
          <w:sz w:val="32"/>
          <w:szCs w:val="32"/>
          <w:highlight w:val="none"/>
          <w:lang w:val="en-US" w:eastAsia="zh-CN"/>
        </w:rPr>
        <w:t>100</w:t>
      </w:r>
      <w:r>
        <w:rPr>
          <w:rFonts w:hint="eastAsia" w:ascii="Times New Roman" w:hAnsi="Times New Roman" w:eastAsia="方正仿宋_GBK"/>
          <w:color w:val="auto"/>
          <w:sz w:val="32"/>
          <w:szCs w:val="32"/>
          <w:highlight w:val="none"/>
        </w:rPr>
        <w:t>%</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方正仿宋_GBK"/>
          <w:color w:val="auto"/>
          <w:sz w:val="32"/>
          <w:szCs w:val="32"/>
          <w:highlight w:val="none"/>
        </w:rPr>
        <w:t>此外，年初结转和结余</w:t>
      </w:r>
      <w:r>
        <w:rPr>
          <w:rFonts w:hint="eastAsia" w:ascii="Times New Roman" w:hAnsi="Times New Roman" w:eastAsia="方正仿宋_GBK"/>
          <w:color w:val="auto"/>
          <w:sz w:val="32"/>
          <w:szCs w:val="32"/>
          <w:highlight w:val="none"/>
          <w:lang w:val="en-US" w:eastAsia="zh-CN"/>
        </w:rPr>
        <w:t>291.57</w:t>
      </w:r>
      <w:r>
        <w:rPr>
          <w:rFonts w:hint="eastAsia" w:ascii="Times New Roman" w:hAnsi="Times New Roman" w:eastAsia="方正仿宋_GBK"/>
          <w:color w:val="auto"/>
          <w:sz w:val="32"/>
          <w:szCs w:val="32"/>
          <w:highlight w:val="none"/>
        </w:rPr>
        <w:t>万元。</w:t>
      </w:r>
    </w:p>
    <w:p w14:paraId="1CE9380B">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highlight w:val="none"/>
          <w:lang w:eastAsia="zh-CN"/>
        </w:rPr>
      </w:pPr>
      <w:r>
        <w:rPr>
          <w:rFonts w:hint="eastAsia" w:ascii="Times New Roman" w:hAnsi="Times New Roman" w:eastAsia="方正仿宋_GBK"/>
          <w:color w:val="auto"/>
          <w:sz w:val="32"/>
          <w:szCs w:val="32"/>
          <w:highlight w:val="none"/>
        </w:rPr>
        <w:t>3.支出情况。2020年度支出合计</w:t>
      </w:r>
      <w:r>
        <w:rPr>
          <w:rFonts w:hint="eastAsia" w:ascii="Times New Roman" w:hAnsi="Times New Roman" w:eastAsia="方正仿宋_GBK"/>
          <w:color w:val="auto"/>
          <w:sz w:val="32"/>
          <w:szCs w:val="32"/>
          <w:highlight w:val="none"/>
          <w:lang w:val="en-US" w:eastAsia="zh-CN"/>
        </w:rPr>
        <w:t>5622.56</w:t>
      </w:r>
      <w:r>
        <w:rPr>
          <w:rFonts w:hint="eastAsia" w:ascii="Times New Roman" w:hAnsi="Times New Roman" w:eastAsia="方正仿宋_GBK"/>
          <w:color w:val="auto"/>
          <w:sz w:val="32"/>
          <w:szCs w:val="32"/>
          <w:highlight w:val="none"/>
        </w:rPr>
        <w:t>万元，较上年决算数</w:t>
      </w:r>
      <w:r>
        <w:rPr>
          <w:rFonts w:hint="eastAsia" w:ascii="Times New Roman" w:hAnsi="Times New Roman" w:eastAsia="方正仿宋_GBK"/>
          <w:color w:val="auto"/>
          <w:sz w:val="32"/>
          <w:szCs w:val="32"/>
          <w:highlight w:val="none"/>
          <w:lang w:eastAsia="zh-CN"/>
        </w:rPr>
        <w:t>增加</w:t>
      </w:r>
      <w:r>
        <w:rPr>
          <w:rFonts w:hint="eastAsia" w:ascii="Times New Roman" w:hAnsi="Times New Roman" w:eastAsia="方正仿宋_GBK"/>
          <w:color w:val="auto"/>
          <w:sz w:val="32"/>
          <w:szCs w:val="32"/>
          <w:highlight w:val="none"/>
          <w:lang w:val="en-US" w:eastAsia="zh-CN"/>
        </w:rPr>
        <w:t>86.92</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，增长</w:t>
      </w: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olor w:val="auto"/>
          <w:sz w:val="32"/>
          <w:szCs w:val="32"/>
          <w:highlight w:val="none"/>
          <w:lang w:val="en-US" w:eastAsia="zh-CN"/>
        </w:rPr>
        <w:t>1.57</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本年增加治超、灾后重建、防疫等非基建专项</w:t>
      </w:r>
      <w:r>
        <w:rPr>
          <w:rFonts w:hint="eastAsia" w:ascii="Times New Roman" w:hAnsi="Times New Roman" w:eastAsia="方正仿宋_GBK"/>
          <w:color w:val="auto"/>
          <w:sz w:val="32"/>
          <w:szCs w:val="32"/>
          <w:highlight w:val="none"/>
          <w:lang w:val="en-US" w:eastAsia="zh-CN"/>
        </w:rPr>
        <w:t>85万元，下属单位合并，搬迁办公地点等增加基本支出约2万元。</w:t>
      </w:r>
      <w:r>
        <w:rPr>
          <w:rFonts w:hint="eastAsia" w:ascii="Times New Roman" w:hAnsi="Times New Roman" w:eastAsia="方正仿宋_GBK"/>
          <w:color w:val="auto"/>
          <w:sz w:val="32"/>
          <w:szCs w:val="32"/>
          <w:highlight w:val="none"/>
        </w:rPr>
        <w:t>其中：基本支出</w:t>
      </w:r>
      <w:r>
        <w:rPr>
          <w:rFonts w:hint="eastAsia" w:ascii="Times New Roman" w:hAnsi="Times New Roman" w:eastAsia="方正仿宋_GBK"/>
          <w:color w:val="auto"/>
          <w:sz w:val="32"/>
          <w:szCs w:val="32"/>
          <w:highlight w:val="none"/>
          <w:lang w:val="en-US" w:eastAsia="zh-CN"/>
        </w:rPr>
        <w:t>1587.48</w:t>
      </w:r>
      <w:r>
        <w:rPr>
          <w:rFonts w:hint="eastAsia" w:ascii="Times New Roman" w:hAnsi="Times New Roman" w:eastAsia="方正仿宋_GBK"/>
          <w:color w:val="auto"/>
          <w:sz w:val="32"/>
          <w:szCs w:val="32"/>
          <w:highlight w:val="none"/>
        </w:rPr>
        <w:t>万元，占</w:t>
      </w:r>
      <w:r>
        <w:rPr>
          <w:rFonts w:hint="eastAsia" w:ascii="Times New Roman" w:hAnsi="Times New Roman" w:eastAsia="方正仿宋_GBK"/>
          <w:color w:val="auto"/>
          <w:sz w:val="32"/>
          <w:szCs w:val="32"/>
          <w:highlight w:val="none"/>
          <w:lang w:val="en-US" w:eastAsia="zh-CN"/>
        </w:rPr>
        <w:t>28.2</w:t>
      </w:r>
      <w:r>
        <w:rPr>
          <w:rFonts w:hint="eastAsia" w:ascii="Times New Roman" w:hAnsi="Times New Roman" w:eastAsia="方正仿宋_GBK"/>
          <w:color w:val="auto"/>
          <w:sz w:val="32"/>
          <w:szCs w:val="32"/>
          <w:highlight w:val="none"/>
        </w:rPr>
        <w:t>%；项目支出</w:t>
      </w:r>
      <w:r>
        <w:rPr>
          <w:rFonts w:hint="eastAsia" w:ascii="Times New Roman" w:hAnsi="Times New Roman" w:eastAsia="方正仿宋_GBK"/>
          <w:color w:val="auto"/>
          <w:sz w:val="32"/>
          <w:szCs w:val="32"/>
          <w:highlight w:val="none"/>
          <w:lang w:val="en-US" w:eastAsia="zh-CN"/>
        </w:rPr>
        <w:t>4035.08</w:t>
      </w:r>
      <w:r>
        <w:rPr>
          <w:rFonts w:hint="eastAsia" w:ascii="Times New Roman" w:hAnsi="Times New Roman" w:eastAsia="方正仿宋_GBK"/>
          <w:color w:val="auto"/>
          <w:sz w:val="32"/>
          <w:szCs w:val="32"/>
          <w:highlight w:val="none"/>
        </w:rPr>
        <w:t>万元，占</w:t>
      </w:r>
      <w:r>
        <w:rPr>
          <w:rFonts w:hint="eastAsia" w:ascii="Times New Roman" w:hAnsi="Times New Roman" w:eastAsia="方正仿宋_GBK"/>
          <w:color w:val="auto"/>
          <w:sz w:val="32"/>
          <w:szCs w:val="32"/>
          <w:highlight w:val="none"/>
          <w:lang w:val="en-US" w:eastAsia="zh-CN"/>
        </w:rPr>
        <w:t>71.8</w:t>
      </w:r>
      <w:r>
        <w:rPr>
          <w:rFonts w:hint="eastAsia" w:ascii="Times New Roman" w:hAnsi="Times New Roman" w:eastAsia="方正仿宋_GBK"/>
          <w:color w:val="auto"/>
          <w:sz w:val="32"/>
          <w:szCs w:val="32"/>
          <w:highlight w:val="none"/>
        </w:rPr>
        <w:t>%</w:t>
      </w:r>
      <w:r>
        <w:rPr>
          <w:rFonts w:hint="eastAsia" w:ascii="Times New Roman" w:hAnsi="Times New Roman" w:eastAsia="方正仿宋_GBK"/>
          <w:color w:val="auto"/>
          <w:sz w:val="32"/>
          <w:szCs w:val="32"/>
          <w:highlight w:val="none"/>
          <w:lang w:eastAsia="zh-CN"/>
        </w:rPr>
        <w:t>。</w:t>
      </w:r>
    </w:p>
    <w:p w14:paraId="657B8B1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lang w:eastAsia="zh-CN"/>
        </w:rPr>
        <w:t>4.结转结余情况。</w:t>
      </w:r>
      <w:r>
        <w:rPr>
          <w:rFonts w:hint="eastAsia" w:ascii="Times New Roman" w:hAnsi="Times New Roman" w:eastAsia="方正仿宋_GBK"/>
          <w:color w:val="auto"/>
          <w:sz w:val="32"/>
          <w:szCs w:val="32"/>
          <w:highlight w:val="none"/>
        </w:rPr>
        <w:t>2020年度年末结转和结余</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元，</w:t>
      </w:r>
      <w:r>
        <w:rPr>
          <w:rFonts w:hint="eastAsia" w:ascii="Times New Roman" w:hAnsi="Times New Roman" w:eastAsia="方正仿宋_GBK"/>
          <w:color w:val="auto"/>
          <w:sz w:val="32"/>
          <w:szCs w:val="32"/>
          <w:highlight w:val="none"/>
          <w:lang w:eastAsia="zh-CN"/>
        </w:rPr>
        <w:t>与</w:t>
      </w:r>
      <w:r>
        <w:rPr>
          <w:rFonts w:hint="eastAsia" w:ascii="Times New Roman" w:hAnsi="Times New Roman" w:eastAsia="方正仿宋_GBK"/>
          <w:color w:val="auto"/>
          <w:sz w:val="32"/>
          <w:szCs w:val="32"/>
          <w:highlight w:val="none"/>
        </w:rPr>
        <w:t>上年决算数</w:t>
      </w:r>
      <w:r>
        <w:rPr>
          <w:rFonts w:hint="eastAsia" w:ascii="Times New Roman" w:hAnsi="Times New Roman" w:eastAsia="方正仿宋_GBK"/>
          <w:color w:val="auto"/>
          <w:sz w:val="32"/>
          <w:szCs w:val="32"/>
          <w:highlight w:val="none"/>
          <w:lang w:eastAsia="zh-CN"/>
        </w:rPr>
        <w:t>一致</w:t>
      </w:r>
      <w:r>
        <w:rPr>
          <w:rFonts w:hint="eastAsia" w:ascii="Times New Roman" w:hAnsi="Times New Roman" w:eastAsia="方正仿宋_GBK"/>
          <w:color w:val="auto"/>
          <w:sz w:val="32"/>
          <w:szCs w:val="32"/>
          <w:highlight w:val="none"/>
        </w:rPr>
        <w:t>。</w:t>
      </w:r>
    </w:p>
    <w:p w14:paraId="1EFEB34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（二）财政拨款收入支出决算总体情况说明</w:t>
      </w:r>
    </w:p>
    <w:p w14:paraId="78D691BB">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color w:val="auto"/>
          <w:highlight w:val="none"/>
        </w:rPr>
      </w:pPr>
      <w:r>
        <w:rPr>
          <w:rFonts w:hint="eastAsia" w:ascii="Times New Roman" w:hAnsi="Times New Roman" w:eastAsia="方正仿宋_GBK"/>
          <w:bCs/>
          <w:color w:val="auto"/>
          <w:sz w:val="32"/>
          <w:szCs w:val="32"/>
          <w:highlight w:val="none"/>
        </w:rPr>
        <w:t>2020年度财政拨款</w:t>
      </w:r>
      <w:r>
        <w:rPr>
          <w:rFonts w:hint="eastAsia" w:ascii="Times New Roman" w:hAnsi="Times New Roman" w:eastAsia="方正仿宋_GBK"/>
          <w:color w:val="auto"/>
          <w:sz w:val="32"/>
          <w:szCs w:val="32"/>
          <w:highlight w:val="none"/>
        </w:rPr>
        <w:t>收入总计</w:t>
      </w:r>
      <w:r>
        <w:rPr>
          <w:rFonts w:hint="eastAsia" w:ascii="Times New Roman" w:hAnsi="Times New Roman" w:eastAsia="方正仿宋_GBK"/>
          <w:color w:val="auto"/>
          <w:sz w:val="32"/>
          <w:szCs w:val="32"/>
          <w:highlight w:val="none"/>
          <w:lang w:val="en-US" w:eastAsia="zh-CN"/>
        </w:rPr>
        <w:t>5330.99</w:t>
      </w:r>
      <w:r>
        <w:rPr>
          <w:rFonts w:hint="eastAsia" w:ascii="Times New Roman" w:hAnsi="Times New Roman" w:eastAsia="方正仿宋_GBK"/>
          <w:bCs/>
          <w:color w:val="auto"/>
          <w:sz w:val="32"/>
          <w:szCs w:val="32"/>
          <w:highlight w:val="none"/>
        </w:rPr>
        <w:t>万元。与201</w:t>
      </w:r>
      <w:r>
        <w:rPr>
          <w:rFonts w:hint="eastAsia" w:ascii="Times New Roman" w:hAnsi="Times New Roman" w:eastAsia="方正仿宋_GBK"/>
          <w:bCs/>
          <w:color w:val="auto"/>
          <w:sz w:val="32"/>
          <w:szCs w:val="32"/>
          <w:highlight w:val="none"/>
          <w:lang w:val="en-US" w:eastAsia="zh-CN"/>
        </w:rPr>
        <w:t>9</w:t>
      </w:r>
      <w:r>
        <w:rPr>
          <w:rFonts w:hint="eastAsia" w:ascii="Times New Roman" w:hAnsi="Times New Roman" w:eastAsia="方正仿宋_GBK"/>
          <w:bCs/>
          <w:color w:val="auto"/>
          <w:sz w:val="32"/>
          <w:szCs w:val="32"/>
          <w:highlight w:val="none"/>
        </w:rPr>
        <w:t xml:space="preserve"> 年相比，财政拨款收</w:t>
      </w:r>
      <w:r>
        <w:rPr>
          <w:rFonts w:hint="eastAsia" w:ascii="Times New Roman" w:hAnsi="Times New Roman" w:eastAsia="方正仿宋_GBK"/>
          <w:bCs/>
          <w:color w:val="auto"/>
          <w:sz w:val="32"/>
          <w:szCs w:val="32"/>
          <w:highlight w:val="none"/>
          <w:lang w:eastAsia="zh-CN"/>
        </w:rPr>
        <w:t>入减少</w:t>
      </w:r>
      <w:r>
        <w:rPr>
          <w:rFonts w:hint="eastAsia" w:ascii="Times New Roman" w:hAnsi="Times New Roman" w:eastAsia="方正仿宋_GBK"/>
          <w:color w:val="auto"/>
          <w:sz w:val="32"/>
          <w:szCs w:val="32"/>
          <w:highlight w:val="none"/>
          <w:lang w:val="en-US" w:eastAsia="zh-CN"/>
        </w:rPr>
        <w:t>186.62</w:t>
      </w:r>
      <w:r>
        <w:rPr>
          <w:rFonts w:hint="eastAsia" w:ascii="Times New Roman" w:hAnsi="Times New Roman" w:eastAsia="方正仿宋_GBK"/>
          <w:color w:val="auto"/>
          <w:sz w:val="32"/>
          <w:szCs w:val="32"/>
          <w:highlight w:val="none"/>
        </w:rPr>
        <w:t xml:space="preserve">万元，下降 </w:t>
      </w:r>
      <w:r>
        <w:rPr>
          <w:rFonts w:hint="eastAsia" w:ascii="Times New Roman" w:hAnsi="Times New Roman" w:eastAsia="方正仿宋_GBK"/>
          <w:color w:val="auto"/>
          <w:sz w:val="32"/>
          <w:szCs w:val="32"/>
          <w:highlight w:val="none"/>
          <w:lang w:val="en-US" w:eastAsia="zh-CN"/>
        </w:rPr>
        <w:t>3.38</w:t>
      </w:r>
      <w:r>
        <w:rPr>
          <w:rFonts w:hint="eastAsia" w:ascii="Times New Roman" w:hAnsi="Times New Roman" w:eastAsia="方正仿宋_GBK"/>
          <w:color w:val="auto"/>
          <w:sz w:val="32"/>
          <w:szCs w:val="32"/>
          <w:highlight w:val="none"/>
        </w:rPr>
        <w:t>%</w:t>
      </w:r>
      <w:r>
        <w:rPr>
          <w:rFonts w:hint="eastAsia" w:ascii="Times New Roman" w:hAnsi="Times New Roman" w:eastAsia="方正仿宋_GBK"/>
          <w:bCs/>
          <w:color w:val="auto"/>
          <w:sz w:val="32"/>
          <w:szCs w:val="32"/>
          <w:highlight w:val="none"/>
        </w:rPr>
        <w:t>。</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农村公路、干线公路等基础设施建设项目减少，争取的预算资金减少。</w:t>
      </w:r>
      <w:r>
        <w:rPr>
          <w:rFonts w:hint="eastAsia" w:ascii="Times New Roman" w:hAnsi="Times New Roman" w:eastAsia="方正仿宋_GBK"/>
          <w:bCs/>
          <w:color w:val="auto"/>
          <w:sz w:val="32"/>
          <w:szCs w:val="32"/>
          <w:highlight w:val="none"/>
        </w:rPr>
        <w:t>2020年度财政拨款</w:t>
      </w:r>
      <w:r>
        <w:rPr>
          <w:rFonts w:hint="eastAsia" w:ascii="Times New Roman" w:hAnsi="Times New Roman" w:eastAsia="方正仿宋_GBK"/>
          <w:color w:val="auto"/>
          <w:sz w:val="32"/>
          <w:szCs w:val="32"/>
          <w:highlight w:val="none"/>
          <w:lang w:eastAsia="zh-CN"/>
        </w:rPr>
        <w:t>支出</w:t>
      </w:r>
      <w:r>
        <w:rPr>
          <w:rFonts w:hint="eastAsia" w:ascii="Times New Roman" w:hAnsi="Times New Roman" w:eastAsia="方正仿宋_GBK"/>
          <w:color w:val="auto"/>
          <w:sz w:val="32"/>
          <w:szCs w:val="32"/>
          <w:highlight w:val="none"/>
        </w:rPr>
        <w:t>总计</w:t>
      </w:r>
      <w:r>
        <w:rPr>
          <w:rFonts w:hint="eastAsia" w:ascii="Times New Roman" w:hAnsi="Times New Roman" w:eastAsia="方正仿宋_GBK"/>
          <w:color w:val="auto"/>
          <w:sz w:val="32"/>
          <w:szCs w:val="32"/>
          <w:highlight w:val="none"/>
          <w:lang w:val="en-US" w:eastAsia="zh-CN"/>
        </w:rPr>
        <w:t>5622.56</w:t>
      </w:r>
      <w:r>
        <w:rPr>
          <w:rFonts w:hint="eastAsia" w:ascii="Times New Roman" w:hAnsi="Times New Roman" w:eastAsia="方正仿宋_GBK"/>
          <w:bCs/>
          <w:color w:val="auto"/>
          <w:sz w:val="32"/>
          <w:szCs w:val="32"/>
          <w:highlight w:val="none"/>
        </w:rPr>
        <w:t>万元。与201</w:t>
      </w:r>
      <w:r>
        <w:rPr>
          <w:rFonts w:hint="eastAsia" w:ascii="Times New Roman" w:hAnsi="Times New Roman" w:eastAsia="方正仿宋_GBK"/>
          <w:bCs/>
          <w:color w:val="auto"/>
          <w:sz w:val="32"/>
          <w:szCs w:val="32"/>
          <w:highlight w:val="none"/>
          <w:lang w:val="en-US" w:eastAsia="zh-CN"/>
        </w:rPr>
        <w:t>9</w:t>
      </w:r>
      <w:r>
        <w:rPr>
          <w:rFonts w:hint="eastAsia" w:ascii="Times New Roman" w:hAnsi="Times New Roman" w:eastAsia="方正仿宋_GBK"/>
          <w:bCs/>
          <w:color w:val="auto"/>
          <w:sz w:val="32"/>
          <w:szCs w:val="32"/>
          <w:highlight w:val="none"/>
        </w:rPr>
        <w:t xml:space="preserve"> 年相比，财政拨款</w:t>
      </w:r>
      <w:r>
        <w:rPr>
          <w:rFonts w:hint="eastAsia" w:ascii="Times New Roman" w:hAnsi="Times New Roman" w:eastAsia="方正仿宋_GBK"/>
          <w:bCs/>
          <w:color w:val="auto"/>
          <w:sz w:val="32"/>
          <w:szCs w:val="32"/>
          <w:highlight w:val="none"/>
          <w:lang w:eastAsia="zh-CN"/>
        </w:rPr>
        <w:t>支出增加</w:t>
      </w:r>
      <w:r>
        <w:rPr>
          <w:rFonts w:hint="eastAsia" w:ascii="Times New Roman" w:hAnsi="Times New Roman" w:eastAsia="方正仿宋_GBK"/>
          <w:color w:val="auto"/>
          <w:sz w:val="32"/>
          <w:szCs w:val="32"/>
          <w:highlight w:val="none"/>
          <w:lang w:val="en-US" w:eastAsia="zh-CN"/>
        </w:rPr>
        <w:t>86.92</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，增长</w:t>
      </w: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olor w:val="auto"/>
          <w:sz w:val="32"/>
          <w:szCs w:val="32"/>
          <w:highlight w:val="none"/>
          <w:lang w:val="en-US" w:eastAsia="zh-CN"/>
        </w:rPr>
        <w:t>1.57</w:t>
      </w:r>
      <w:r>
        <w:rPr>
          <w:rFonts w:hint="eastAsia" w:ascii="Times New Roman" w:hAnsi="Times New Roman" w:eastAsia="方正仿宋_GBK"/>
          <w:color w:val="auto"/>
          <w:sz w:val="32"/>
          <w:szCs w:val="32"/>
          <w:highlight w:val="none"/>
        </w:rPr>
        <w:t>%</w:t>
      </w:r>
      <w:r>
        <w:rPr>
          <w:rFonts w:hint="eastAsia" w:ascii="Times New Roman" w:hAnsi="Times New Roman" w:eastAsia="方正仿宋_GBK"/>
          <w:bCs/>
          <w:color w:val="auto"/>
          <w:sz w:val="32"/>
          <w:szCs w:val="32"/>
          <w:highlight w:val="none"/>
        </w:rPr>
        <w:t>。</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本年增加治超、灾后重建、防疫等非基建专项</w:t>
      </w:r>
      <w:r>
        <w:rPr>
          <w:rFonts w:hint="eastAsia" w:ascii="Times New Roman" w:hAnsi="Times New Roman" w:eastAsia="方正仿宋_GBK"/>
          <w:color w:val="auto"/>
          <w:sz w:val="32"/>
          <w:szCs w:val="32"/>
          <w:highlight w:val="none"/>
          <w:lang w:val="en-US" w:eastAsia="zh-CN"/>
        </w:rPr>
        <w:t>85万元，下属单位合并，搬迁办公地点等增加基本支出约2万元。</w:t>
      </w:r>
    </w:p>
    <w:p w14:paraId="78E239A8">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（三）一般公共预算财政拨款支出决算情况说明</w:t>
      </w:r>
    </w:p>
    <w:p w14:paraId="372A9DE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color w:val="auto"/>
          <w:highlight w:val="none"/>
        </w:rPr>
      </w:pPr>
      <w:r>
        <w:rPr>
          <w:rFonts w:hint="eastAsia" w:ascii="Times New Roman" w:hAnsi="Times New Roman" w:eastAsia="方正仿宋_GBK"/>
          <w:color w:val="auto"/>
          <w:sz w:val="32"/>
          <w:szCs w:val="32"/>
          <w:highlight w:val="none"/>
          <w:lang w:eastAsia="zh-CN"/>
        </w:rPr>
        <w:t>1.收入情况。</w:t>
      </w:r>
      <w:r>
        <w:rPr>
          <w:rFonts w:hint="eastAsia" w:ascii="Times New Roman" w:hAnsi="Times New Roman" w:eastAsia="方正仿宋_GBK"/>
          <w:color w:val="auto"/>
          <w:sz w:val="32"/>
          <w:szCs w:val="32"/>
          <w:highlight w:val="none"/>
        </w:rPr>
        <w:t>2020年度一般公共预算财政拨款收入</w:t>
      </w:r>
      <w:r>
        <w:rPr>
          <w:rFonts w:hint="eastAsia" w:ascii="Times New Roman" w:hAnsi="Times New Roman" w:eastAsia="方正仿宋_GBK"/>
          <w:color w:val="auto"/>
          <w:sz w:val="32"/>
          <w:szCs w:val="32"/>
          <w:highlight w:val="none"/>
          <w:lang w:val="en-US" w:eastAsia="zh-CN"/>
        </w:rPr>
        <w:t>3660.99</w:t>
      </w:r>
      <w:r>
        <w:rPr>
          <w:rFonts w:hint="eastAsia" w:ascii="Times New Roman" w:hAnsi="Times New Roman" w:eastAsia="方正仿宋_GBK"/>
          <w:color w:val="auto"/>
          <w:sz w:val="32"/>
          <w:szCs w:val="32"/>
          <w:highlight w:val="none"/>
        </w:rPr>
        <w:t>万元，较上年决算数减少</w:t>
      </w:r>
      <w:r>
        <w:rPr>
          <w:rFonts w:hint="eastAsia" w:ascii="Times New Roman" w:hAnsi="Times New Roman" w:eastAsia="方正仿宋_GBK"/>
          <w:color w:val="auto"/>
          <w:sz w:val="32"/>
          <w:szCs w:val="32"/>
          <w:highlight w:val="none"/>
          <w:lang w:val="en-US" w:eastAsia="zh-CN"/>
        </w:rPr>
        <w:t>1956.14</w:t>
      </w:r>
      <w:r>
        <w:rPr>
          <w:rFonts w:hint="eastAsia" w:ascii="Times New Roman" w:hAnsi="Times New Roman" w:eastAsia="方正仿宋_GBK"/>
          <w:color w:val="auto"/>
          <w:sz w:val="32"/>
          <w:szCs w:val="32"/>
          <w:highlight w:val="none"/>
        </w:rPr>
        <w:t xml:space="preserve">万元，下降 </w:t>
      </w:r>
      <w:r>
        <w:rPr>
          <w:rFonts w:hint="eastAsia" w:ascii="Times New Roman" w:hAnsi="Times New Roman" w:eastAsia="方正仿宋_GBK"/>
          <w:color w:val="auto"/>
          <w:sz w:val="32"/>
          <w:szCs w:val="32"/>
          <w:highlight w:val="none"/>
          <w:lang w:val="en-US" w:eastAsia="zh-CN"/>
        </w:rPr>
        <w:t>33.6</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相比去年，</w:t>
      </w:r>
      <w:r>
        <w:rPr>
          <w:rFonts w:hint="eastAsia" w:ascii="Times New Roman" w:hAnsi="Times New Roman" w:eastAsia="方正仿宋_GBK"/>
          <w:color w:val="auto"/>
          <w:sz w:val="32"/>
          <w:szCs w:val="32"/>
          <w:highlight w:val="none"/>
        </w:rPr>
        <w:t>一般公共预算财政拨款收入</w:t>
      </w:r>
      <w:r>
        <w:rPr>
          <w:rFonts w:hint="eastAsia" w:ascii="Times New Roman" w:hAnsi="Times New Roman" w:eastAsia="方正仿宋_GBK"/>
          <w:color w:val="auto"/>
          <w:sz w:val="32"/>
          <w:szCs w:val="32"/>
          <w:highlight w:val="none"/>
          <w:lang w:eastAsia="zh-CN"/>
        </w:rPr>
        <w:t>用于农村公路、干线公路等基础设施建设项目的资金减少</w:t>
      </w:r>
      <w:r>
        <w:rPr>
          <w:rFonts w:hint="eastAsia" w:ascii="Times New Roman" w:hAnsi="Times New Roman" w:eastAsia="方正仿宋_GBK"/>
          <w:color w:val="auto"/>
          <w:sz w:val="32"/>
          <w:szCs w:val="32"/>
          <w:highlight w:val="none"/>
          <w:lang w:val="en-US" w:eastAsia="zh-CN"/>
        </w:rPr>
        <w:t>1856万元</w:t>
      </w:r>
      <w:r>
        <w:rPr>
          <w:rFonts w:hint="eastAsia" w:ascii="Times New Roman" w:hAnsi="Times New Roman" w:eastAsia="方正仿宋_GBK"/>
          <w:color w:val="auto"/>
          <w:sz w:val="32"/>
          <w:szCs w:val="32"/>
          <w:highlight w:val="none"/>
        </w:rPr>
        <w:t>。较年初预算数减少</w:t>
      </w:r>
      <w:r>
        <w:rPr>
          <w:rFonts w:hint="eastAsia" w:ascii="Times New Roman" w:hAnsi="Times New Roman" w:eastAsia="方正仿宋_GBK"/>
          <w:color w:val="auto"/>
          <w:sz w:val="32"/>
          <w:szCs w:val="32"/>
          <w:highlight w:val="none"/>
          <w:lang w:val="en-US" w:eastAsia="zh-CN"/>
        </w:rPr>
        <w:t>909.08</w:t>
      </w:r>
      <w:r>
        <w:rPr>
          <w:rFonts w:hint="eastAsia" w:ascii="Times New Roman" w:hAnsi="Times New Roman" w:eastAsia="方正仿宋_GBK"/>
          <w:color w:val="auto"/>
          <w:sz w:val="32"/>
          <w:szCs w:val="32"/>
          <w:highlight w:val="none"/>
        </w:rPr>
        <w:t>万元，下降</w:t>
      </w:r>
      <w:r>
        <w:rPr>
          <w:rFonts w:hint="eastAsia" w:ascii="Times New Roman" w:hAnsi="Times New Roman" w:eastAsia="方正仿宋_GBK"/>
          <w:color w:val="auto"/>
          <w:sz w:val="32"/>
          <w:szCs w:val="32"/>
          <w:highlight w:val="none"/>
          <w:lang w:val="en-US" w:eastAsia="zh-CN"/>
        </w:rPr>
        <w:t>33.0</w:t>
      </w:r>
      <w:r>
        <w:rPr>
          <w:rFonts w:hint="eastAsia" w:ascii="Times New Roman" w:hAnsi="Times New Roman" w:eastAsia="方正仿宋_GBK"/>
          <w:color w:val="auto"/>
          <w:sz w:val="32"/>
          <w:szCs w:val="32"/>
          <w:highlight w:val="none"/>
        </w:rPr>
        <w:t>%。主要原因是年中追加安排基础设施建设专项经费支出预算</w:t>
      </w:r>
      <w:r>
        <w:rPr>
          <w:rFonts w:hint="eastAsia" w:ascii="Times New Roman" w:hAnsi="Times New Roman" w:eastAsia="方正仿宋_GBK"/>
          <w:color w:val="auto"/>
          <w:sz w:val="32"/>
          <w:szCs w:val="32"/>
          <w:highlight w:val="none"/>
          <w:lang w:val="en-US" w:eastAsia="zh-CN"/>
        </w:rPr>
        <w:t>261.31</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val="en-US" w:eastAsia="zh-CN"/>
        </w:rPr>
        <w:t>、</w:t>
      </w:r>
      <w:r>
        <w:rPr>
          <w:rFonts w:hint="eastAsia" w:ascii="Times New Roman" w:hAnsi="Times New Roman" w:eastAsia="方正仿宋_GBK"/>
          <w:color w:val="auto"/>
          <w:sz w:val="32"/>
          <w:szCs w:val="32"/>
          <w:highlight w:val="none"/>
        </w:rPr>
        <w:t>交通专项补助资金</w:t>
      </w:r>
      <w:r>
        <w:rPr>
          <w:rFonts w:hint="eastAsia" w:ascii="Times New Roman" w:hAnsi="Times New Roman" w:eastAsia="方正仿宋_GBK"/>
          <w:color w:val="auto"/>
          <w:sz w:val="32"/>
          <w:szCs w:val="32"/>
          <w:highlight w:val="none"/>
          <w:lang w:val="en-US" w:eastAsia="zh-CN"/>
        </w:rPr>
        <w:t>42</w:t>
      </w:r>
      <w:r>
        <w:rPr>
          <w:rFonts w:hint="eastAsia" w:ascii="Times New Roman" w:hAnsi="Times New Roman" w:eastAsia="方正仿宋_GBK"/>
          <w:color w:val="auto"/>
          <w:sz w:val="32"/>
          <w:szCs w:val="32"/>
          <w:highlight w:val="none"/>
        </w:rPr>
        <w:t>5万元</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方正仿宋_GBK"/>
          <w:color w:val="auto"/>
          <w:sz w:val="32"/>
          <w:szCs w:val="32"/>
          <w:highlight w:val="none"/>
        </w:rPr>
        <w:t>公用经费31.49万元</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仿宋_GB2312" w:cs="Times New Roman"/>
          <w:color w:val="auto"/>
          <w:sz w:val="32"/>
          <w:szCs w:val="32"/>
          <w:highlight w:val="none"/>
        </w:rPr>
        <w:t>人员经费预算</w:t>
      </w:r>
      <w:r>
        <w:rPr>
          <w:rFonts w:hint="eastAsia" w:ascii="Times New Roman" w:hAnsi="Times New Roman" w:eastAsia="仿宋_GB2312" w:cs="Times New Roman"/>
          <w:color w:val="auto"/>
          <w:sz w:val="32"/>
          <w:szCs w:val="32"/>
          <w:highlight w:val="none"/>
          <w:lang w:val="en-US" w:eastAsia="zh-CN"/>
        </w:rPr>
        <w:t>30.62</w:t>
      </w:r>
      <w:r>
        <w:rPr>
          <w:rFonts w:hint="eastAsia" w:ascii="Times New Roman" w:hAnsi="Times New Roman" w:eastAsia="仿宋_GB2312" w:cs="Times New Roman"/>
          <w:color w:val="auto"/>
          <w:sz w:val="32"/>
          <w:szCs w:val="32"/>
          <w:highlight w:val="none"/>
        </w:rPr>
        <w:t>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2020年抗疫工作补助资金100万元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2019年争资工作补助经费60万元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成品油补贴0.49万元</w:t>
      </w:r>
      <w:r>
        <w:rPr>
          <w:rFonts w:hint="eastAsia" w:ascii="Times New Roman" w:hAnsi="Times New Roman" w:eastAsia="方正仿宋_GBK"/>
          <w:color w:val="auto"/>
          <w:sz w:val="32"/>
          <w:szCs w:val="32"/>
          <w:highlight w:val="none"/>
        </w:rPr>
        <w:t>。此外，年初财政拨款结转和结</w:t>
      </w:r>
      <w:r>
        <w:rPr>
          <w:rFonts w:hint="eastAsia" w:ascii="Times New Roman" w:hAnsi="Times New Roman" w:eastAsia="仿宋_GB2312" w:cs="Times New Roman"/>
          <w:color w:val="auto"/>
          <w:sz w:val="32"/>
          <w:szCs w:val="32"/>
          <w:highlight w:val="none"/>
        </w:rPr>
        <w:t>余</w:t>
      </w:r>
      <w:r>
        <w:rPr>
          <w:rFonts w:hint="eastAsia" w:ascii="Times New Roman" w:hAnsi="Times New Roman" w:eastAsia="仿宋_GB2312" w:cs="Times New Roman"/>
          <w:color w:val="auto"/>
          <w:sz w:val="32"/>
          <w:szCs w:val="32"/>
          <w:highlight w:val="none"/>
          <w:lang w:val="en-US" w:eastAsia="zh-CN"/>
        </w:rPr>
        <w:t>291.57</w:t>
      </w:r>
      <w:r>
        <w:rPr>
          <w:rFonts w:hint="eastAsia" w:ascii="Times New Roman" w:hAnsi="Times New Roman" w:eastAsia="方正仿宋_GBK"/>
          <w:color w:val="auto"/>
          <w:sz w:val="32"/>
          <w:szCs w:val="32"/>
          <w:highlight w:val="none"/>
        </w:rPr>
        <w:t>万元。</w:t>
      </w:r>
    </w:p>
    <w:p w14:paraId="62CD6DC1">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lang w:eastAsia="zh-CN"/>
        </w:rPr>
        <w:t>2.支出情况。20</w:t>
      </w:r>
      <w:r>
        <w:rPr>
          <w:rFonts w:hint="eastAsia" w:ascii="Times New Roman" w:hAnsi="Times New Roman" w:eastAsia="方正仿宋_GBK"/>
          <w:color w:val="auto"/>
          <w:sz w:val="32"/>
          <w:szCs w:val="32"/>
          <w:highlight w:val="none"/>
        </w:rPr>
        <w:t>20年度一般公共预算财政拨款支出</w:t>
      </w:r>
      <w:r>
        <w:rPr>
          <w:rFonts w:hint="eastAsia" w:ascii="Times New Roman" w:hAnsi="Times New Roman" w:eastAsia="方正仿宋_GBK"/>
          <w:color w:val="auto"/>
          <w:sz w:val="32"/>
          <w:szCs w:val="32"/>
          <w:highlight w:val="none"/>
          <w:lang w:val="en-US" w:eastAsia="zh-CN"/>
        </w:rPr>
        <w:t>3952.56</w:t>
      </w:r>
      <w:r>
        <w:rPr>
          <w:rFonts w:hint="eastAsia" w:ascii="Times New Roman" w:hAnsi="Times New Roman" w:eastAsia="方正仿宋_GBK"/>
          <w:color w:val="auto"/>
          <w:sz w:val="32"/>
          <w:szCs w:val="32"/>
          <w:highlight w:val="none"/>
        </w:rPr>
        <w:t>万元，较上年决算数减少</w:t>
      </w:r>
      <w:r>
        <w:rPr>
          <w:rFonts w:hint="eastAsia" w:ascii="Times New Roman" w:hAnsi="Times New Roman" w:eastAsia="方正仿宋_GBK"/>
          <w:color w:val="auto"/>
          <w:sz w:val="32"/>
          <w:szCs w:val="32"/>
          <w:highlight w:val="none"/>
          <w:lang w:val="en-US" w:eastAsia="zh-CN"/>
        </w:rPr>
        <w:t>1742.53</w:t>
      </w:r>
      <w:r>
        <w:rPr>
          <w:rFonts w:hint="eastAsia" w:ascii="Times New Roman" w:hAnsi="Times New Roman" w:eastAsia="方正仿宋_GBK"/>
          <w:color w:val="auto"/>
          <w:sz w:val="32"/>
          <w:szCs w:val="32"/>
          <w:highlight w:val="none"/>
        </w:rPr>
        <w:t>万元，下降</w:t>
      </w:r>
      <w:r>
        <w:rPr>
          <w:rFonts w:hint="eastAsia" w:ascii="Times New Roman" w:hAnsi="Times New Roman" w:eastAsia="方正仿宋_GBK"/>
          <w:color w:val="auto"/>
          <w:sz w:val="32"/>
          <w:szCs w:val="32"/>
          <w:highlight w:val="none"/>
          <w:lang w:val="en-US" w:eastAsia="zh-CN"/>
        </w:rPr>
        <w:t>30.6</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用于农村公路、干线公路等基础设施建设项目的资金减少</w:t>
      </w:r>
      <w:r>
        <w:rPr>
          <w:rFonts w:hint="eastAsia" w:ascii="Times New Roman" w:hAnsi="Times New Roman" w:eastAsia="方正仿宋_GBK"/>
          <w:color w:val="auto"/>
          <w:sz w:val="32"/>
          <w:szCs w:val="32"/>
          <w:highlight w:val="none"/>
        </w:rPr>
        <w:t>。较年初预算数增加</w:t>
      </w:r>
      <w:r>
        <w:rPr>
          <w:rFonts w:hint="eastAsia" w:ascii="Times New Roman" w:hAnsi="Times New Roman" w:eastAsia="方正仿宋_GBK"/>
          <w:color w:val="auto"/>
          <w:sz w:val="32"/>
          <w:szCs w:val="32"/>
          <w:highlight w:val="none"/>
          <w:lang w:val="en-US" w:eastAsia="zh-CN"/>
        </w:rPr>
        <w:t>1200.65</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43.6</w:t>
      </w:r>
      <w:r>
        <w:rPr>
          <w:rFonts w:hint="eastAsia" w:ascii="Times New Roman" w:hAnsi="Times New Roman" w:eastAsia="方正仿宋_GBK"/>
          <w:color w:val="auto"/>
          <w:sz w:val="32"/>
          <w:szCs w:val="32"/>
          <w:highlight w:val="none"/>
        </w:rPr>
        <w:t>%。主要原因是年中追加</w:t>
      </w:r>
      <w:r>
        <w:rPr>
          <w:rFonts w:hint="eastAsia" w:ascii="Times New Roman" w:hAnsi="Times New Roman" w:eastAsia="方正仿宋_GBK"/>
          <w:color w:val="auto"/>
          <w:sz w:val="32"/>
          <w:szCs w:val="32"/>
          <w:highlight w:val="none"/>
          <w:lang w:eastAsia="zh-CN"/>
        </w:rPr>
        <w:t>支出</w:t>
      </w:r>
      <w:r>
        <w:rPr>
          <w:rFonts w:hint="eastAsia" w:ascii="Times New Roman" w:hAnsi="Times New Roman" w:eastAsia="方正仿宋_GBK"/>
          <w:color w:val="auto"/>
          <w:sz w:val="32"/>
          <w:szCs w:val="32"/>
          <w:highlight w:val="none"/>
        </w:rPr>
        <w:t>基础设施建设专项经费支</w:t>
      </w:r>
      <w:r>
        <w:rPr>
          <w:rFonts w:hint="eastAsia" w:ascii="Times New Roman" w:hAnsi="Times New Roman" w:eastAsia="方正仿宋_GBK"/>
          <w:color w:val="auto"/>
          <w:sz w:val="32"/>
          <w:szCs w:val="32"/>
          <w:highlight w:val="none"/>
          <w:lang w:val="en-US" w:eastAsia="zh-CN"/>
        </w:rPr>
        <w:t>552.88万元，</w:t>
      </w:r>
      <w:r>
        <w:rPr>
          <w:rFonts w:hint="eastAsia" w:ascii="Times New Roman" w:hAnsi="Times New Roman" w:eastAsia="方正仿宋_GBK"/>
          <w:color w:val="auto"/>
          <w:sz w:val="32"/>
          <w:szCs w:val="32"/>
          <w:highlight w:val="none"/>
        </w:rPr>
        <w:t>交通专项补助资金</w:t>
      </w:r>
      <w:r>
        <w:rPr>
          <w:rFonts w:hint="eastAsia" w:ascii="Times New Roman" w:hAnsi="Times New Roman" w:eastAsia="方正仿宋_GBK"/>
          <w:color w:val="auto"/>
          <w:sz w:val="32"/>
          <w:szCs w:val="32"/>
          <w:highlight w:val="none"/>
          <w:lang w:val="en-US" w:eastAsia="zh-CN"/>
        </w:rPr>
        <w:t>42</w:t>
      </w:r>
      <w:r>
        <w:rPr>
          <w:rFonts w:hint="eastAsia" w:ascii="Times New Roman" w:hAnsi="Times New Roman" w:eastAsia="方正仿宋_GBK"/>
          <w:color w:val="auto"/>
          <w:sz w:val="32"/>
          <w:szCs w:val="32"/>
          <w:highlight w:val="none"/>
        </w:rPr>
        <w:t>5万元</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方正仿宋_GBK"/>
          <w:color w:val="auto"/>
          <w:sz w:val="32"/>
          <w:szCs w:val="32"/>
          <w:highlight w:val="none"/>
        </w:rPr>
        <w:t>公用经费31.49万元</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仿宋_GB2312" w:cs="Times New Roman"/>
          <w:color w:val="auto"/>
          <w:sz w:val="32"/>
          <w:szCs w:val="32"/>
          <w:highlight w:val="none"/>
        </w:rPr>
        <w:t>人员经费预算</w:t>
      </w:r>
      <w:r>
        <w:rPr>
          <w:rFonts w:hint="eastAsia" w:ascii="Times New Roman" w:hAnsi="Times New Roman" w:eastAsia="仿宋_GB2312" w:cs="Times New Roman"/>
          <w:color w:val="auto"/>
          <w:sz w:val="32"/>
          <w:szCs w:val="32"/>
          <w:highlight w:val="none"/>
          <w:lang w:val="en-US" w:eastAsia="zh-CN"/>
        </w:rPr>
        <w:t>30.62</w:t>
      </w:r>
      <w:r>
        <w:rPr>
          <w:rFonts w:hint="eastAsia" w:ascii="Times New Roman" w:hAnsi="Times New Roman" w:eastAsia="仿宋_GB2312" w:cs="Times New Roman"/>
          <w:color w:val="auto"/>
          <w:sz w:val="32"/>
          <w:szCs w:val="32"/>
          <w:highlight w:val="none"/>
        </w:rPr>
        <w:t>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2020年抗疫工作补助资金100万元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2019年争资工作补助经费60万元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成品油补贴0.49万元</w:t>
      </w:r>
      <w:r>
        <w:rPr>
          <w:rFonts w:hint="eastAsia" w:ascii="Times New Roman" w:hAnsi="Times New Roman" w:eastAsia="方正仿宋_GBK"/>
          <w:color w:val="auto"/>
          <w:sz w:val="32"/>
          <w:szCs w:val="32"/>
          <w:highlight w:val="none"/>
        </w:rPr>
        <w:t>。</w:t>
      </w:r>
    </w:p>
    <w:p w14:paraId="6CB172B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00" w:firstLineChars="200"/>
        <w:jc w:val="both"/>
        <w:textAlignment w:val="auto"/>
        <w:rPr>
          <w:rFonts w:hint="eastAsia" w:ascii="Times New Roman" w:hAnsi="Times New Roman" w:eastAsia="方正仿宋_GBK"/>
          <w:color w:val="auto"/>
          <w:sz w:val="30"/>
          <w:szCs w:val="30"/>
          <w:highlight w:val="none"/>
          <w:lang w:eastAsia="zh-CN"/>
        </w:rPr>
      </w:pPr>
      <w:r>
        <w:rPr>
          <w:rFonts w:hint="eastAsia" w:ascii="Times New Roman" w:hAnsi="Times New Roman" w:eastAsia="方正仿宋_GBK"/>
          <w:color w:val="auto"/>
          <w:sz w:val="30"/>
          <w:szCs w:val="30"/>
          <w:highlight w:val="none"/>
          <w:lang w:eastAsia="zh-CN"/>
        </w:rPr>
        <w:t>3.结转结余情况。2020年度年末一般公共预算财政拨款结转和结余</w:t>
      </w:r>
      <w:r>
        <w:rPr>
          <w:rFonts w:hint="eastAsia" w:ascii="Times New Roman" w:hAnsi="Times New Roman" w:eastAsia="方正仿宋_GBK"/>
          <w:color w:val="auto"/>
          <w:sz w:val="30"/>
          <w:szCs w:val="30"/>
          <w:highlight w:val="none"/>
          <w:lang w:val="en-US" w:eastAsia="zh-CN"/>
        </w:rPr>
        <w:t>0</w:t>
      </w:r>
      <w:r>
        <w:rPr>
          <w:rFonts w:hint="eastAsia" w:ascii="Times New Roman" w:hAnsi="Times New Roman" w:eastAsia="方正仿宋_GBK"/>
          <w:color w:val="auto"/>
          <w:sz w:val="30"/>
          <w:szCs w:val="30"/>
          <w:highlight w:val="none"/>
          <w:lang w:eastAsia="zh-CN"/>
        </w:rPr>
        <w:t>元，与上年保持一致。</w:t>
      </w:r>
    </w:p>
    <w:p w14:paraId="4648B185">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00" w:firstLineChars="200"/>
        <w:jc w:val="both"/>
        <w:textAlignment w:val="auto"/>
        <w:rPr>
          <w:rFonts w:hint="eastAsia" w:ascii="Times New Roman" w:hAnsi="Times New Roman" w:eastAsia="方正仿宋_GBK"/>
          <w:color w:val="auto"/>
          <w:sz w:val="32"/>
          <w:szCs w:val="32"/>
          <w:highlight w:val="none"/>
        </w:rPr>
      </w:pPr>
      <w:r>
        <w:rPr>
          <w:rFonts w:hint="eastAsia" w:ascii="Times New Roman" w:hAnsi="Times New Roman" w:eastAsia="方正仿宋_GBK"/>
          <w:color w:val="auto"/>
          <w:sz w:val="30"/>
          <w:szCs w:val="30"/>
          <w:highlight w:val="none"/>
          <w:lang w:eastAsia="zh-CN"/>
        </w:rPr>
        <w:t>4.比较情况。本</w:t>
      </w:r>
      <w:r>
        <w:rPr>
          <w:rFonts w:hint="eastAsia" w:ascii="Times New Roman" w:hAnsi="Times New Roman" w:eastAsia="方正仿宋_GBK"/>
          <w:color w:val="auto"/>
          <w:sz w:val="32"/>
          <w:szCs w:val="32"/>
          <w:highlight w:val="none"/>
        </w:rPr>
        <w:t>部门2020年度一般公共预算财政拨款支出主要用于以下几个方面：</w:t>
      </w:r>
    </w:p>
    <w:p w14:paraId="4F761B12">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highlight w:val="none"/>
          <w:lang w:eastAsia="zh-CN"/>
        </w:rPr>
      </w:pPr>
      <w:r>
        <w:rPr>
          <w:rFonts w:hint="eastAsia" w:ascii="Times New Roman" w:hAnsi="Times New Roman" w:eastAsia="方正仿宋_GBK"/>
          <w:color w:val="auto"/>
          <w:sz w:val="32"/>
          <w:szCs w:val="32"/>
          <w:highlight w:val="none"/>
          <w:lang w:eastAsia="zh-CN"/>
        </w:rPr>
        <w:t>（1）社会保障与就业支出</w:t>
      </w:r>
      <w:r>
        <w:rPr>
          <w:rFonts w:hint="eastAsia" w:ascii="Times New Roman" w:hAnsi="Times New Roman" w:eastAsia="方正仿宋_GBK"/>
          <w:color w:val="auto"/>
          <w:sz w:val="32"/>
          <w:szCs w:val="32"/>
          <w:highlight w:val="none"/>
          <w:lang w:val="en-US" w:eastAsia="zh-CN"/>
        </w:rPr>
        <w:t>259.94</w:t>
      </w:r>
      <w:r>
        <w:rPr>
          <w:rFonts w:hint="eastAsia" w:ascii="Times New Roman" w:hAnsi="Times New Roman" w:eastAsia="方正仿宋_GBK"/>
          <w:color w:val="auto"/>
          <w:sz w:val="32"/>
          <w:szCs w:val="32"/>
          <w:highlight w:val="none"/>
          <w:lang w:eastAsia="zh-CN"/>
        </w:rPr>
        <w:t>万元，占</w:t>
      </w:r>
      <w:r>
        <w:rPr>
          <w:rFonts w:hint="eastAsia" w:ascii="Times New Roman" w:hAnsi="Times New Roman" w:eastAsia="方正仿宋_GBK"/>
          <w:color w:val="auto"/>
          <w:sz w:val="32"/>
          <w:szCs w:val="32"/>
          <w:highlight w:val="none"/>
          <w:lang w:val="en-US" w:eastAsia="zh-CN"/>
        </w:rPr>
        <w:t>6.6</w:t>
      </w:r>
      <w:r>
        <w:rPr>
          <w:rFonts w:hint="eastAsia" w:ascii="Times New Roman" w:hAnsi="Times New Roman" w:eastAsia="方正仿宋_GBK"/>
          <w:color w:val="auto"/>
          <w:sz w:val="32"/>
          <w:szCs w:val="32"/>
          <w:highlight w:val="none"/>
          <w:lang w:eastAsia="zh-CN"/>
        </w:rPr>
        <w:t>%，较年初预算数增加</w:t>
      </w:r>
      <w:r>
        <w:rPr>
          <w:rFonts w:hint="eastAsia" w:ascii="Times New Roman" w:hAnsi="Times New Roman" w:eastAsia="方正仿宋_GBK"/>
          <w:color w:val="auto"/>
          <w:sz w:val="32"/>
          <w:szCs w:val="32"/>
          <w:highlight w:val="none"/>
          <w:lang w:val="en-US" w:eastAsia="zh-CN"/>
        </w:rPr>
        <w:t>35.78</w:t>
      </w:r>
      <w:r>
        <w:rPr>
          <w:rFonts w:hint="eastAsia" w:ascii="Times New Roman" w:hAnsi="Times New Roman" w:eastAsia="方正仿宋_GBK"/>
          <w:color w:val="auto"/>
          <w:sz w:val="32"/>
          <w:szCs w:val="32"/>
          <w:highlight w:val="none"/>
          <w:lang w:eastAsia="zh-CN"/>
        </w:rPr>
        <w:t>万元，增长</w:t>
      </w:r>
      <w:r>
        <w:rPr>
          <w:rFonts w:hint="eastAsia" w:ascii="Times New Roman" w:hAnsi="Times New Roman" w:eastAsia="方正仿宋_GBK"/>
          <w:color w:val="auto"/>
          <w:sz w:val="32"/>
          <w:szCs w:val="32"/>
          <w:highlight w:val="none"/>
          <w:lang w:val="en-US" w:eastAsia="zh-CN"/>
        </w:rPr>
        <w:t>16.0</w:t>
      </w:r>
      <w:r>
        <w:rPr>
          <w:rFonts w:hint="eastAsia" w:ascii="Times New Roman" w:hAnsi="Times New Roman" w:eastAsia="方正仿宋_GBK"/>
          <w:color w:val="auto"/>
          <w:sz w:val="32"/>
          <w:szCs w:val="32"/>
          <w:highlight w:val="none"/>
          <w:lang w:eastAsia="zh-CN"/>
        </w:rPr>
        <w:t>%，主要原因是人员变动和人员工资调整追加工资支出和退休费等。</w:t>
      </w:r>
    </w:p>
    <w:p w14:paraId="05EC9CC5">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highlight w:val="none"/>
          <w:lang w:eastAsia="zh-CN"/>
        </w:rPr>
      </w:pPr>
      <w:r>
        <w:rPr>
          <w:rFonts w:hint="eastAsia" w:ascii="Times New Roman" w:hAnsi="Times New Roman" w:eastAsia="方正仿宋_GBK"/>
          <w:color w:val="auto"/>
          <w:sz w:val="32"/>
          <w:szCs w:val="32"/>
          <w:highlight w:val="none"/>
          <w:lang w:eastAsia="zh-CN"/>
        </w:rPr>
        <w:t>（</w:t>
      </w:r>
      <w:r>
        <w:rPr>
          <w:rFonts w:hint="eastAsia" w:ascii="Times New Roman" w:hAnsi="Times New Roman" w:eastAsia="方正仿宋_GBK"/>
          <w:color w:val="auto"/>
          <w:sz w:val="32"/>
          <w:szCs w:val="32"/>
          <w:highlight w:val="none"/>
          <w:lang w:val="en-US" w:eastAsia="zh-CN"/>
        </w:rPr>
        <w:t>2</w:t>
      </w:r>
      <w:r>
        <w:rPr>
          <w:rFonts w:hint="eastAsia" w:ascii="Times New Roman" w:hAnsi="Times New Roman" w:eastAsia="方正仿宋_GBK"/>
          <w:color w:val="auto"/>
          <w:sz w:val="32"/>
          <w:szCs w:val="32"/>
          <w:highlight w:val="none"/>
          <w:lang w:eastAsia="zh-CN"/>
        </w:rPr>
        <w:t>）卫生健康支出</w:t>
      </w:r>
      <w:r>
        <w:rPr>
          <w:rFonts w:hint="eastAsia" w:ascii="Times New Roman" w:hAnsi="Times New Roman" w:eastAsia="方正仿宋_GBK"/>
          <w:color w:val="auto"/>
          <w:sz w:val="32"/>
          <w:szCs w:val="32"/>
          <w:highlight w:val="none"/>
          <w:lang w:val="en-US" w:eastAsia="zh-CN"/>
        </w:rPr>
        <w:t>72.49</w:t>
      </w:r>
      <w:r>
        <w:rPr>
          <w:rFonts w:hint="eastAsia" w:ascii="Times New Roman" w:hAnsi="Times New Roman" w:eastAsia="方正仿宋_GBK"/>
          <w:color w:val="auto"/>
          <w:sz w:val="32"/>
          <w:szCs w:val="32"/>
          <w:highlight w:val="none"/>
          <w:lang w:eastAsia="zh-CN"/>
        </w:rPr>
        <w:t>万元，占</w:t>
      </w:r>
      <w:r>
        <w:rPr>
          <w:rFonts w:hint="eastAsia" w:ascii="Times New Roman" w:hAnsi="Times New Roman" w:eastAsia="方正仿宋_GBK"/>
          <w:color w:val="auto"/>
          <w:sz w:val="32"/>
          <w:szCs w:val="32"/>
          <w:highlight w:val="none"/>
          <w:lang w:val="en-US" w:eastAsia="zh-CN"/>
        </w:rPr>
        <w:t>1.8</w:t>
      </w:r>
      <w:r>
        <w:rPr>
          <w:rFonts w:hint="eastAsia" w:ascii="Times New Roman" w:hAnsi="Times New Roman" w:eastAsia="方正仿宋_GBK"/>
          <w:color w:val="auto"/>
          <w:sz w:val="32"/>
          <w:szCs w:val="32"/>
          <w:highlight w:val="none"/>
          <w:lang w:eastAsia="zh-CN"/>
        </w:rPr>
        <w:t>%，与年初数保持一致。</w:t>
      </w:r>
    </w:p>
    <w:p w14:paraId="349370F0">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（3）交通运输支出</w:t>
      </w:r>
      <w:r>
        <w:rPr>
          <w:rFonts w:hint="eastAsia" w:ascii="Times New Roman" w:hAnsi="Times New Roman" w:eastAsia="方正仿宋_GBK"/>
          <w:color w:val="auto"/>
          <w:sz w:val="32"/>
          <w:szCs w:val="32"/>
          <w:highlight w:val="none"/>
          <w:lang w:val="en-US" w:eastAsia="zh-CN"/>
        </w:rPr>
        <w:t>3550.76</w:t>
      </w:r>
      <w:r>
        <w:rPr>
          <w:rFonts w:hint="eastAsia" w:ascii="Times New Roman" w:hAnsi="Times New Roman" w:eastAsia="方正仿宋_GBK"/>
          <w:color w:val="auto"/>
          <w:sz w:val="32"/>
          <w:szCs w:val="32"/>
          <w:highlight w:val="none"/>
        </w:rPr>
        <w:t>万元，占</w:t>
      </w:r>
      <w:r>
        <w:rPr>
          <w:rFonts w:hint="eastAsia" w:ascii="Times New Roman" w:hAnsi="Times New Roman" w:eastAsia="方正仿宋_GBK"/>
          <w:color w:val="auto"/>
          <w:sz w:val="32"/>
          <w:szCs w:val="32"/>
          <w:highlight w:val="none"/>
          <w:lang w:val="en-US" w:eastAsia="zh-CN"/>
        </w:rPr>
        <w:t>89.8</w:t>
      </w:r>
      <w:r>
        <w:rPr>
          <w:rFonts w:hint="eastAsia" w:ascii="Times New Roman" w:hAnsi="Times New Roman" w:eastAsia="方正仿宋_GBK"/>
          <w:color w:val="auto"/>
          <w:sz w:val="32"/>
          <w:szCs w:val="32"/>
          <w:highlight w:val="none"/>
        </w:rPr>
        <w:t>%，较年初预算数增加</w:t>
      </w:r>
      <w:r>
        <w:rPr>
          <w:rFonts w:hint="eastAsia" w:ascii="Times New Roman" w:hAnsi="Times New Roman" w:eastAsia="方正仿宋_GBK"/>
          <w:color w:val="auto"/>
          <w:sz w:val="32"/>
          <w:szCs w:val="32"/>
          <w:highlight w:val="none"/>
          <w:lang w:val="en-US" w:eastAsia="zh-CN"/>
        </w:rPr>
        <w:t>1148.59</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47.8</w:t>
      </w:r>
      <w:r>
        <w:rPr>
          <w:rFonts w:hint="eastAsia" w:ascii="Times New Roman" w:hAnsi="Times New Roman" w:eastAsia="方正仿宋_GBK"/>
          <w:color w:val="auto"/>
          <w:sz w:val="32"/>
          <w:szCs w:val="32"/>
          <w:highlight w:val="none"/>
        </w:rPr>
        <w:t>%，主要原因是年中追加</w:t>
      </w:r>
      <w:r>
        <w:rPr>
          <w:rFonts w:hint="eastAsia" w:ascii="Times New Roman" w:hAnsi="Times New Roman" w:eastAsia="方正仿宋_GBK"/>
          <w:color w:val="auto"/>
          <w:sz w:val="32"/>
          <w:szCs w:val="32"/>
          <w:highlight w:val="none"/>
          <w:lang w:eastAsia="zh-CN"/>
        </w:rPr>
        <w:t>支出</w:t>
      </w:r>
      <w:r>
        <w:rPr>
          <w:rFonts w:hint="eastAsia" w:ascii="Times New Roman" w:hAnsi="Times New Roman" w:eastAsia="方正仿宋_GBK"/>
          <w:color w:val="auto"/>
          <w:sz w:val="32"/>
          <w:szCs w:val="32"/>
          <w:highlight w:val="none"/>
        </w:rPr>
        <w:t>基础设施建设专项经费</w:t>
      </w:r>
      <w:r>
        <w:rPr>
          <w:rFonts w:hint="eastAsia" w:ascii="Times New Roman" w:hAnsi="Times New Roman" w:eastAsia="方正仿宋_GBK"/>
          <w:color w:val="auto"/>
          <w:sz w:val="32"/>
          <w:szCs w:val="32"/>
          <w:highlight w:val="none"/>
          <w:lang w:val="en-US" w:eastAsia="zh-CN"/>
        </w:rPr>
        <w:t>552.88万元，</w:t>
      </w:r>
      <w:r>
        <w:rPr>
          <w:rFonts w:hint="eastAsia" w:ascii="Times New Roman" w:hAnsi="Times New Roman" w:eastAsia="方正仿宋_GBK"/>
          <w:color w:val="auto"/>
          <w:sz w:val="32"/>
          <w:szCs w:val="32"/>
          <w:highlight w:val="none"/>
        </w:rPr>
        <w:t>交通专项补助资金</w:t>
      </w:r>
      <w:r>
        <w:rPr>
          <w:rFonts w:hint="eastAsia" w:ascii="Times New Roman" w:hAnsi="Times New Roman" w:eastAsia="方正仿宋_GBK"/>
          <w:color w:val="auto"/>
          <w:sz w:val="32"/>
          <w:szCs w:val="32"/>
          <w:highlight w:val="none"/>
          <w:lang w:val="en-US" w:eastAsia="zh-CN"/>
        </w:rPr>
        <w:t>42</w:t>
      </w:r>
      <w:r>
        <w:rPr>
          <w:rFonts w:hint="eastAsia" w:ascii="Times New Roman" w:hAnsi="Times New Roman" w:eastAsia="方正仿宋_GBK"/>
          <w:color w:val="auto"/>
          <w:sz w:val="32"/>
          <w:szCs w:val="32"/>
          <w:highlight w:val="none"/>
        </w:rPr>
        <w:t>5万元</w:t>
      </w:r>
      <w:r>
        <w:rPr>
          <w:rFonts w:hint="eastAsia" w:ascii="Times New Roman" w:hAnsi="Times New Roman" w:eastAsia="方正仿宋_GBK"/>
          <w:color w:val="auto"/>
          <w:sz w:val="32"/>
          <w:szCs w:val="32"/>
          <w:highlight w:val="none"/>
          <w:lang w:eastAsia="zh-CN"/>
        </w:rPr>
        <w:t>、</w:t>
      </w:r>
      <w:r>
        <w:rPr>
          <w:rFonts w:hint="eastAsia" w:ascii="Times New Roman" w:hAnsi="Times New Roman" w:eastAsia="仿宋_GB2312" w:cs="Times New Roman"/>
          <w:color w:val="auto"/>
          <w:sz w:val="32"/>
          <w:szCs w:val="32"/>
          <w:highlight w:val="none"/>
        </w:rPr>
        <w:t>2020年抗疫工作补助资金100万元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2019年争资工作补助经费60万元</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成品油补贴0.49万元</w:t>
      </w:r>
      <w:r>
        <w:rPr>
          <w:rFonts w:hint="eastAsia" w:ascii="Times New Roman" w:hAnsi="Times New Roman" w:eastAsia="方正仿宋_GBK"/>
          <w:color w:val="auto"/>
          <w:sz w:val="32"/>
          <w:szCs w:val="32"/>
          <w:highlight w:val="none"/>
          <w:lang w:eastAsia="zh-CN"/>
        </w:rPr>
        <w:t>等</w:t>
      </w:r>
      <w:r>
        <w:rPr>
          <w:rFonts w:hint="eastAsia" w:ascii="Times New Roman" w:hAnsi="Times New Roman" w:eastAsia="方正仿宋_GBK"/>
          <w:color w:val="auto"/>
          <w:sz w:val="32"/>
          <w:szCs w:val="32"/>
          <w:highlight w:val="none"/>
        </w:rPr>
        <w:t>。</w:t>
      </w:r>
    </w:p>
    <w:p w14:paraId="4928655C">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w:t>
      </w:r>
      <w:r>
        <w:rPr>
          <w:rFonts w:hint="eastAsia" w:ascii="Times New Roman" w:hAnsi="Times New Roman" w:eastAsia="方正仿宋_GBK"/>
          <w:color w:val="auto"/>
          <w:sz w:val="32"/>
          <w:szCs w:val="32"/>
          <w:highlight w:val="none"/>
          <w:lang w:val="en-US" w:eastAsia="zh-CN"/>
        </w:rPr>
        <w:t>4</w:t>
      </w:r>
      <w:r>
        <w:rPr>
          <w:rFonts w:hint="eastAsia" w:ascii="Times New Roman" w:hAnsi="Times New Roman" w:eastAsia="方正仿宋_GBK"/>
          <w:color w:val="auto"/>
          <w:sz w:val="32"/>
          <w:szCs w:val="32"/>
          <w:highlight w:val="none"/>
        </w:rPr>
        <w:t>）住房保障支出</w:t>
      </w:r>
      <w:r>
        <w:rPr>
          <w:rFonts w:hint="eastAsia" w:ascii="Times New Roman" w:hAnsi="Times New Roman" w:eastAsia="方正仿宋_GBK"/>
          <w:color w:val="auto"/>
          <w:sz w:val="32"/>
          <w:szCs w:val="32"/>
          <w:highlight w:val="none"/>
          <w:lang w:val="en-US" w:eastAsia="zh-CN"/>
        </w:rPr>
        <w:t>69.37</w:t>
      </w:r>
      <w:r>
        <w:rPr>
          <w:rFonts w:hint="eastAsia" w:ascii="Times New Roman" w:hAnsi="Times New Roman" w:eastAsia="方正仿宋_GBK"/>
          <w:color w:val="auto"/>
          <w:sz w:val="32"/>
          <w:szCs w:val="32"/>
          <w:highlight w:val="none"/>
        </w:rPr>
        <w:t>万元，占</w:t>
      </w:r>
      <w:r>
        <w:rPr>
          <w:rFonts w:hint="eastAsia" w:ascii="Times New Roman" w:hAnsi="Times New Roman" w:eastAsia="方正仿宋_GBK"/>
          <w:color w:val="auto"/>
          <w:sz w:val="32"/>
          <w:szCs w:val="32"/>
          <w:highlight w:val="none"/>
          <w:lang w:val="en-US" w:eastAsia="zh-CN"/>
        </w:rPr>
        <w:t>1.8</w:t>
      </w:r>
      <w:r>
        <w:rPr>
          <w:rFonts w:hint="eastAsia" w:ascii="Times New Roman" w:hAnsi="Times New Roman" w:eastAsia="方正仿宋_GBK"/>
          <w:color w:val="auto"/>
          <w:sz w:val="32"/>
          <w:szCs w:val="32"/>
          <w:highlight w:val="none"/>
        </w:rPr>
        <w:t>%，较年初预算数增加</w:t>
      </w:r>
      <w:r>
        <w:rPr>
          <w:rFonts w:hint="eastAsia" w:ascii="Times New Roman" w:hAnsi="Times New Roman" w:eastAsia="方正仿宋_GBK"/>
          <w:color w:val="auto"/>
          <w:sz w:val="32"/>
          <w:szCs w:val="32"/>
          <w:highlight w:val="none"/>
          <w:lang w:val="en-US" w:eastAsia="zh-CN"/>
        </w:rPr>
        <w:t>16.28</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30.7</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s="方正仿宋_GBK"/>
          <w:color w:val="auto"/>
          <w:sz w:val="32"/>
          <w:szCs w:val="32"/>
          <w:highlight w:val="none"/>
          <w:shd w:val="clear" w:fill="FFFFFF"/>
          <w:lang w:eastAsia="zh-CN"/>
        </w:rPr>
        <w:t>年中追加购房补贴</w:t>
      </w:r>
      <w:r>
        <w:rPr>
          <w:rFonts w:hint="eastAsia" w:ascii="Times New Roman" w:hAnsi="Times New Roman" w:eastAsia="方正仿宋_GBK"/>
          <w:color w:val="auto"/>
          <w:sz w:val="32"/>
          <w:szCs w:val="32"/>
          <w:highlight w:val="none"/>
        </w:rPr>
        <w:t>。</w:t>
      </w:r>
    </w:p>
    <w:p w14:paraId="75336D8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（四）一般公共预算财政拨款基本支出决算情况说明</w:t>
      </w:r>
    </w:p>
    <w:p w14:paraId="5559C476">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2020年度一般公共财政拨款基本支出</w:t>
      </w:r>
      <w:r>
        <w:rPr>
          <w:rFonts w:hint="eastAsia" w:ascii="Times New Roman" w:hAnsi="Times New Roman" w:eastAsia="方正仿宋_GBK"/>
          <w:color w:val="auto"/>
          <w:sz w:val="32"/>
          <w:szCs w:val="32"/>
          <w:highlight w:val="none"/>
          <w:lang w:val="en-US" w:eastAsia="zh-CN"/>
        </w:rPr>
        <w:t>1587.48</w:t>
      </w:r>
      <w:r>
        <w:rPr>
          <w:rFonts w:hint="eastAsia" w:ascii="Times New Roman" w:hAnsi="Times New Roman" w:eastAsia="方正仿宋_GBK"/>
          <w:color w:val="auto"/>
          <w:sz w:val="32"/>
          <w:szCs w:val="32"/>
          <w:highlight w:val="none"/>
        </w:rPr>
        <w:t>万元。其中：人员经费</w:t>
      </w:r>
      <w:r>
        <w:rPr>
          <w:rFonts w:hint="eastAsia" w:ascii="Times New Roman" w:hAnsi="Times New Roman" w:eastAsia="方正仿宋_GBK"/>
          <w:color w:val="auto"/>
          <w:sz w:val="32"/>
          <w:szCs w:val="32"/>
          <w:highlight w:val="none"/>
          <w:lang w:val="en-US" w:eastAsia="zh-CN"/>
        </w:rPr>
        <w:t>1180.14</w:t>
      </w:r>
      <w:r>
        <w:rPr>
          <w:rFonts w:hint="eastAsia" w:ascii="Times New Roman" w:hAnsi="Times New Roman" w:eastAsia="方正仿宋_GBK"/>
          <w:color w:val="auto"/>
          <w:sz w:val="32"/>
          <w:szCs w:val="32"/>
          <w:highlight w:val="none"/>
        </w:rPr>
        <w:t>万元，较上年决算数减少</w:t>
      </w:r>
      <w:r>
        <w:rPr>
          <w:rFonts w:hint="eastAsia" w:ascii="Times New Roman" w:hAnsi="Times New Roman" w:eastAsia="方正仿宋_GBK"/>
          <w:color w:val="auto"/>
          <w:sz w:val="32"/>
          <w:szCs w:val="32"/>
          <w:highlight w:val="none"/>
          <w:lang w:val="en-US" w:eastAsia="zh-CN"/>
        </w:rPr>
        <w:t>61.16</w:t>
      </w:r>
      <w:r>
        <w:rPr>
          <w:rFonts w:hint="eastAsia" w:ascii="Times New Roman" w:hAnsi="Times New Roman" w:eastAsia="方正仿宋_GBK"/>
          <w:color w:val="auto"/>
          <w:sz w:val="32"/>
          <w:szCs w:val="32"/>
          <w:highlight w:val="none"/>
        </w:rPr>
        <w:t>万元，下降</w:t>
      </w:r>
      <w:r>
        <w:rPr>
          <w:rFonts w:hint="eastAsia" w:ascii="Times New Roman" w:hAnsi="Times New Roman" w:eastAsia="方正仿宋_GBK"/>
          <w:color w:val="auto"/>
          <w:sz w:val="32"/>
          <w:szCs w:val="32"/>
          <w:highlight w:val="none"/>
          <w:lang w:val="en-US" w:eastAsia="zh-CN"/>
        </w:rPr>
        <w:t>4.9</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原区质量安全监督站与原港航所合并，增加</w:t>
      </w:r>
      <w:r>
        <w:rPr>
          <w:rFonts w:hint="eastAsia" w:ascii="Times New Roman" w:hAnsi="Times New Roman" w:eastAsia="方正仿宋_GBK"/>
          <w:color w:val="auto"/>
          <w:sz w:val="32"/>
          <w:szCs w:val="32"/>
          <w:highlight w:val="none"/>
          <w:lang w:val="en-US" w:eastAsia="zh-CN"/>
        </w:rPr>
        <w:t>2名退休人员等，人员经费减少</w:t>
      </w:r>
      <w:r>
        <w:rPr>
          <w:rFonts w:hint="eastAsia" w:ascii="Times New Roman" w:hAnsi="Times New Roman" w:eastAsia="方正仿宋_GBK"/>
          <w:color w:val="auto"/>
          <w:sz w:val="32"/>
          <w:szCs w:val="32"/>
          <w:highlight w:val="none"/>
        </w:rPr>
        <w:t>。人员经费用途主要包括</w:t>
      </w:r>
      <w:r>
        <w:rPr>
          <w:rFonts w:hint="eastAsia" w:ascii="Times New Roman" w:hAnsi="Times New Roman" w:eastAsia="方正仿宋_GBK" w:cs="方正仿宋_GBK"/>
          <w:color w:val="auto"/>
          <w:sz w:val="32"/>
          <w:szCs w:val="32"/>
          <w:highlight w:val="none"/>
          <w:shd w:val="clear" w:fill="FFFFFF"/>
          <w:lang w:eastAsia="zh-CN"/>
        </w:rPr>
        <w:t>基本工资、津贴补贴、奖金、绩效工资、社会保障缴费、住房公积金、退休费、医疗费等方面。</w:t>
      </w:r>
      <w:r>
        <w:rPr>
          <w:rFonts w:hint="eastAsia" w:ascii="Times New Roman" w:hAnsi="Times New Roman" w:eastAsia="方正仿宋_GBK"/>
          <w:color w:val="auto"/>
          <w:sz w:val="32"/>
          <w:szCs w:val="32"/>
          <w:highlight w:val="none"/>
        </w:rPr>
        <w:t>公用经费</w:t>
      </w:r>
      <w:r>
        <w:rPr>
          <w:rFonts w:hint="eastAsia" w:ascii="Times New Roman" w:hAnsi="Times New Roman" w:eastAsia="方正仿宋_GBK"/>
          <w:color w:val="auto"/>
          <w:sz w:val="32"/>
          <w:szCs w:val="32"/>
          <w:highlight w:val="none"/>
          <w:lang w:val="en-US" w:eastAsia="zh-CN"/>
        </w:rPr>
        <w:t>407.34</w:t>
      </w:r>
      <w:r>
        <w:rPr>
          <w:rFonts w:hint="eastAsia" w:ascii="Times New Roman" w:hAnsi="Times New Roman" w:eastAsia="方正仿宋_GBK"/>
          <w:color w:val="auto"/>
          <w:sz w:val="32"/>
          <w:szCs w:val="32"/>
          <w:highlight w:val="none"/>
        </w:rPr>
        <w:t>万元，较上年决算数增加</w:t>
      </w:r>
      <w:r>
        <w:rPr>
          <w:rFonts w:hint="eastAsia" w:ascii="Times New Roman" w:hAnsi="Times New Roman" w:eastAsia="方正仿宋_GBK"/>
          <w:color w:val="auto"/>
          <w:sz w:val="32"/>
          <w:szCs w:val="32"/>
          <w:highlight w:val="none"/>
          <w:lang w:val="en-US" w:eastAsia="zh-CN"/>
        </w:rPr>
        <w:t>62.72</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18.2</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下属单位合并，机关及下属单位办公地点搬迁等，公用经费增加</w:t>
      </w:r>
      <w:r>
        <w:rPr>
          <w:rFonts w:hint="eastAsia" w:ascii="Times New Roman" w:hAnsi="Times New Roman" w:eastAsia="方正仿宋_GBK"/>
          <w:color w:val="auto"/>
          <w:sz w:val="32"/>
          <w:szCs w:val="32"/>
          <w:highlight w:val="none"/>
        </w:rPr>
        <w:t>。公用经费用途主要包括</w:t>
      </w:r>
      <w:r>
        <w:rPr>
          <w:rFonts w:hint="eastAsia" w:ascii="Times New Roman" w:hAnsi="Times New Roman" w:eastAsia="方正仿宋_GBK" w:cs="方正仿宋_GBK"/>
          <w:color w:val="auto"/>
          <w:sz w:val="32"/>
          <w:szCs w:val="32"/>
          <w:highlight w:val="none"/>
          <w:shd w:val="clear" w:fill="FFFFFF"/>
          <w:lang w:eastAsia="zh-CN"/>
        </w:rPr>
        <w:t>办公费、印刷费、水费、电费、邮电费、差旅费、维修费、会议费、培训费、公务接待费、劳务费、工会经费、公务用车运行维护费等方面</w:t>
      </w:r>
      <w:r>
        <w:rPr>
          <w:rFonts w:hint="eastAsia" w:ascii="Times New Roman" w:hAnsi="Times New Roman" w:eastAsia="方正仿宋_GBK"/>
          <w:color w:val="auto"/>
          <w:sz w:val="32"/>
          <w:szCs w:val="32"/>
          <w:highlight w:val="none"/>
        </w:rPr>
        <w:t>。</w:t>
      </w:r>
    </w:p>
    <w:p w14:paraId="10E1DDD7">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（五）政府性基金预算收支决算情况说明</w:t>
      </w:r>
    </w:p>
    <w:p w14:paraId="61F11196">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2020年度政府性基金预算财政拨款年初结转结余</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万元，年末结转结余</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万元。本年收入</w:t>
      </w:r>
      <w:r>
        <w:rPr>
          <w:rFonts w:hint="eastAsia" w:ascii="Times New Roman" w:hAnsi="Times New Roman" w:eastAsia="方正仿宋_GBK"/>
          <w:color w:val="auto"/>
          <w:sz w:val="32"/>
          <w:szCs w:val="32"/>
          <w:highlight w:val="none"/>
          <w:lang w:val="en-US" w:eastAsia="zh-CN"/>
        </w:rPr>
        <w:t>1670</w:t>
      </w:r>
      <w:r>
        <w:rPr>
          <w:rFonts w:hint="eastAsia" w:ascii="Times New Roman" w:hAnsi="Times New Roman" w:eastAsia="方正仿宋_GBK"/>
          <w:color w:val="auto"/>
          <w:sz w:val="32"/>
          <w:szCs w:val="32"/>
          <w:highlight w:val="none"/>
        </w:rPr>
        <w:t>万元，较上年决算数增加</w:t>
      </w:r>
      <w:r>
        <w:rPr>
          <w:rFonts w:hint="eastAsia" w:ascii="Times New Roman" w:hAnsi="Times New Roman" w:eastAsia="方正仿宋_GBK"/>
          <w:color w:val="auto"/>
          <w:sz w:val="32"/>
          <w:szCs w:val="32"/>
          <w:highlight w:val="none"/>
          <w:lang w:val="en-US" w:eastAsia="zh-CN"/>
        </w:rPr>
        <w:t>1669.52</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347816.7</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用于农村公路、干线公路等基础设施建设项目的资金增加</w:t>
      </w:r>
      <w:r>
        <w:rPr>
          <w:rFonts w:hint="eastAsia" w:ascii="Times New Roman" w:hAnsi="Times New Roman" w:eastAsia="方正仿宋_GBK"/>
          <w:color w:val="auto"/>
          <w:sz w:val="32"/>
          <w:szCs w:val="32"/>
          <w:highlight w:val="none"/>
        </w:rPr>
        <w:t>。本年支出</w:t>
      </w:r>
      <w:r>
        <w:rPr>
          <w:rFonts w:hint="eastAsia" w:ascii="Times New Roman" w:hAnsi="Times New Roman" w:eastAsia="方正仿宋_GBK"/>
          <w:color w:val="auto"/>
          <w:sz w:val="32"/>
          <w:szCs w:val="32"/>
          <w:highlight w:val="none"/>
          <w:lang w:val="en-US" w:eastAsia="zh-CN"/>
        </w:rPr>
        <w:t>1670</w:t>
      </w:r>
      <w:r>
        <w:rPr>
          <w:rFonts w:hint="eastAsia" w:ascii="Times New Roman" w:hAnsi="Times New Roman" w:eastAsia="方正仿宋_GBK"/>
          <w:color w:val="auto"/>
          <w:sz w:val="32"/>
          <w:szCs w:val="32"/>
          <w:highlight w:val="none"/>
        </w:rPr>
        <w:t>万元，较上年决算数增加</w:t>
      </w:r>
      <w:r>
        <w:rPr>
          <w:rFonts w:hint="eastAsia" w:ascii="Times New Roman" w:hAnsi="Times New Roman" w:eastAsia="方正仿宋_GBK"/>
          <w:color w:val="auto"/>
          <w:sz w:val="32"/>
          <w:szCs w:val="32"/>
          <w:highlight w:val="none"/>
          <w:lang w:val="en-US" w:eastAsia="zh-CN"/>
        </w:rPr>
        <w:t>1669.52</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347816.7</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用于农村公路、干线公路等基础设施建设项目的资金增加</w:t>
      </w:r>
      <w:r>
        <w:rPr>
          <w:rFonts w:hint="eastAsia" w:ascii="Times New Roman" w:hAnsi="Times New Roman" w:eastAsia="方正仿宋_GBK"/>
          <w:color w:val="auto"/>
          <w:sz w:val="32"/>
          <w:szCs w:val="32"/>
          <w:highlight w:val="none"/>
        </w:rPr>
        <w:t>。</w:t>
      </w:r>
    </w:p>
    <w:p w14:paraId="4022D931">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（六）国有资本经营预算财政拨款支出决算情况说明</w:t>
      </w:r>
    </w:p>
    <w:p w14:paraId="4FFBA029">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s="方正仿宋_GBK"/>
          <w:bCs/>
          <w:color w:val="auto"/>
          <w:sz w:val="32"/>
          <w:szCs w:val="32"/>
          <w:highlight w:val="none"/>
        </w:rPr>
      </w:pPr>
      <w:r>
        <w:rPr>
          <w:rFonts w:hint="eastAsia" w:ascii="Times New Roman" w:hAnsi="Times New Roman" w:eastAsia="方正仿宋_GBK"/>
          <w:color w:val="auto"/>
          <w:sz w:val="32"/>
          <w:szCs w:val="32"/>
          <w:highlight w:val="none"/>
        </w:rPr>
        <w:t>本部门2020年度无国有资本经营预算财政拨款支出。</w:t>
      </w:r>
    </w:p>
    <w:p w14:paraId="37B08D9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highlight w:val="none"/>
        </w:rPr>
      </w:pPr>
      <w:r>
        <w:rPr>
          <w:rStyle w:val="10"/>
          <w:rFonts w:hint="eastAsia" w:ascii="Times New Roman" w:hAnsi="Times New Roman" w:eastAsia="方正黑体_GBK"/>
          <w:b w:val="0"/>
          <w:color w:val="auto"/>
          <w:sz w:val="32"/>
          <w:szCs w:val="32"/>
          <w:highlight w:val="none"/>
        </w:rPr>
        <w:t>三、“三公”经费情况说明</w:t>
      </w:r>
    </w:p>
    <w:p w14:paraId="2D310A1A">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（一）“三公”经费支出总体情况说明</w:t>
      </w:r>
    </w:p>
    <w:p w14:paraId="650985D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2020年度“三公”经费支出共计</w:t>
      </w:r>
      <w:r>
        <w:rPr>
          <w:rFonts w:hint="eastAsia" w:ascii="Times New Roman" w:hAnsi="Times New Roman" w:eastAsia="方正仿宋_GBK"/>
          <w:color w:val="auto"/>
          <w:sz w:val="32"/>
          <w:szCs w:val="32"/>
          <w:highlight w:val="none"/>
          <w:lang w:val="en-US" w:eastAsia="zh-CN"/>
        </w:rPr>
        <w:t>35.2</w:t>
      </w:r>
      <w:r>
        <w:rPr>
          <w:rFonts w:hint="eastAsia" w:ascii="Times New Roman" w:hAnsi="Times New Roman" w:eastAsia="方正仿宋_GBK"/>
          <w:color w:val="auto"/>
          <w:sz w:val="32"/>
          <w:szCs w:val="32"/>
          <w:highlight w:val="none"/>
        </w:rPr>
        <w:t>万元，较年初预算数增加</w:t>
      </w:r>
      <w:r>
        <w:rPr>
          <w:rFonts w:hint="eastAsia" w:ascii="Times New Roman" w:hAnsi="Times New Roman" w:eastAsia="方正仿宋_GBK"/>
          <w:color w:val="auto"/>
          <w:sz w:val="32"/>
          <w:szCs w:val="32"/>
          <w:highlight w:val="none"/>
          <w:lang w:val="en-US" w:eastAsia="zh-CN"/>
        </w:rPr>
        <w:t>4</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10</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质安和港航所合并工作范围增多，公务车运行维护费增加</w:t>
      </w:r>
      <w:r>
        <w:rPr>
          <w:rFonts w:hint="eastAsia" w:ascii="Times New Roman" w:hAnsi="Times New Roman" w:eastAsia="方正仿宋_GBK"/>
          <w:color w:val="auto"/>
          <w:sz w:val="32"/>
          <w:szCs w:val="32"/>
          <w:highlight w:val="none"/>
        </w:rPr>
        <w:t>。较上年支出数增加</w:t>
      </w:r>
      <w:r>
        <w:rPr>
          <w:rFonts w:hint="eastAsia" w:ascii="Times New Roman" w:hAnsi="Times New Roman" w:eastAsia="方正仿宋_GBK"/>
          <w:color w:val="auto"/>
          <w:sz w:val="32"/>
          <w:szCs w:val="32"/>
          <w:highlight w:val="none"/>
          <w:lang w:val="en-US" w:eastAsia="zh-CN"/>
        </w:rPr>
        <w:t>29.44</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511.5</w:t>
      </w:r>
      <w:r>
        <w:rPr>
          <w:rFonts w:hint="eastAsia" w:ascii="Times New Roman" w:hAnsi="Times New Roman" w:eastAsia="方正仿宋_GBK"/>
          <w:color w:val="auto"/>
          <w:sz w:val="32"/>
          <w:szCs w:val="32"/>
          <w:highlight w:val="none"/>
        </w:rPr>
        <w:t>%，主要原因</w:t>
      </w:r>
      <w:r>
        <w:rPr>
          <w:rFonts w:hint="eastAsia" w:ascii="Times New Roman" w:hAnsi="Times New Roman" w:eastAsia="方正仿宋_GBK"/>
          <w:color w:val="auto"/>
          <w:sz w:val="32"/>
          <w:szCs w:val="32"/>
          <w:highlight w:val="none"/>
          <w:lang w:eastAsia="zh-CN"/>
        </w:rPr>
        <w:t>：一是质安和港航所合并，公务车辆增加，二是</w:t>
      </w:r>
      <w:r>
        <w:rPr>
          <w:rFonts w:hint="eastAsia" w:ascii="Times New Roman" w:hAnsi="Times New Roman" w:eastAsia="方正仿宋_GBK"/>
          <w:color w:val="auto"/>
          <w:sz w:val="32"/>
          <w:szCs w:val="32"/>
          <w:highlight w:val="none"/>
          <w:lang w:val="en-US" w:eastAsia="zh-CN"/>
        </w:rPr>
        <w:t>2020年增加治超专项、防汛抗灾巡查、道路抗疫检测等，增加车辆运行维护费约29万元</w:t>
      </w:r>
      <w:r>
        <w:rPr>
          <w:rFonts w:hint="eastAsia" w:ascii="Times New Roman" w:hAnsi="Times New Roman" w:eastAsia="方正仿宋_GBK"/>
          <w:color w:val="auto"/>
          <w:sz w:val="32"/>
          <w:szCs w:val="32"/>
          <w:highlight w:val="none"/>
        </w:rPr>
        <w:t>。</w:t>
      </w:r>
    </w:p>
    <w:p w14:paraId="1C2F670B">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（二）“三公”经费分项支出情况</w:t>
      </w:r>
    </w:p>
    <w:p w14:paraId="49ABE10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本单位2020年度未发生因公出国（境）费用支出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highlight w:val="none"/>
        </w:rPr>
        <w:t>。</w:t>
      </w:r>
    </w:p>
    <w:p w14:paraId="4F6185E9">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hint="eastAsia"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本单位2020年度未发生公务车购置费支出</w:t>
      </w:r>
      <w:r>
        <w:rPr>
          <w:rFonts w:hint="eastAsia" w:ascii="方正仿宋_GBK" w:hAnsi="Times New Roman" w:eastAsia="方正仿宋_GBK"/>
          <w:sz w:val="32"/>
          <w:szCs w:val="32"/>
          <w:lang w:eastAsia="zh-CN"/>
        </w:rPr>
        <w:t>，</w:t>
      </w:r>
      <w:r>
        <w:rPr>
          <w:rFonts w:hint="eastAsia" w:ascii="方正仿宋_GBK" w:hAnsi="Times New Roman" w:eastAsia="方正仿宋_GBK"/>
          <w:sz w:val="32"/>
          <w:szCs w:val="32"/>
        </w:rPr>
        <w:t>与</w:t>
      </w:r>
      <w:r>
        <w:rPr>
          <w:rFonts w:hint="eastAsia" w:ascii="Times New Roman" w:hAnsi="Times New Roman" w:eastAsia="方正仿宋_GBK"/>
          <w:color w:val="auto"/>
          <w:sz w:val="32"/>
          <w:szCs w:val="32"/>
        </w:rPr>
        <w:t>2020年预算数和2019年决</w:t>
      </w:r>
      <w:r>
        <w:rPr>
          <w:rFonts w:hint="eastAsia" w:ascii="方正仿宋_GBK" w:hAnsi="Times New Roman" w:eastAsia="方正仿宋_GBK"/>
          <w:sz w:val="32"/>
          <w:szCs w:val="32"/>
        </w:rPr>
        <w:t>算数保持一致</w:t>
      </w:r>
      <w:r>
        <w:rPr>
          <w:rFonts w:hint="eastAsia" w:ascii="方正仿宋_GBK" w:hAnsi="Times New Roman" w:eastAsia="方正仿宋_GBK"/>
          <w:sz w:val="32"/>
          <w:szCs w:val="32"/>
          <w:lang w:eastAsia="zh-CN"/>
        </w:rPr>
        <w:t>，无变动</w:t>
      </w:r>
      <w:r>
        <w:rPr>
          <w:rFonts w:hint="eastAsia" w:ascii="Times New Roman" w:hAnsi="Times New Roman" w:eastAsia="方正仿宋_GBK"/>
          <w:color w:val="auto"/>
          <w:sz w:val="32"/>
          <w:szCs w:val="32"/>
          <w:highlight w:val="none"/>
        </w:rPr>
        <w:t>。</w:t>
      </w:r>
    </w:p>
    <w:p w14:paraId="5ED3E04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公务车运行维护费</w:t>
      </w:r>
      <w:r>
        <w:rPr>
          <w:rFonts w:hint="eastAsia" w:ascii="Times New Roman" w:hAnsi="Times New Roman" w:eastAsia="方正仿宋_GBK"/>
          <w:color w:val="auto"/>
          <w:sz w:val="32"/>
          <w:szCs w:val="32"/>
          <w:highlight w:val="none"/>
          <w:lang w:val="en-US" w:eastAsia="zh-CN"/>
        </w:rPr>
        <w:t>34.98</w:t>
      </w:r>
      <w:r>
        <w:rPr>
          <w:rFonts w:hint="eastAsia" w:ascii="Times New Roman" w:hAnsi="Times New Roman" w:eastAsia="方正仿宋_GBK"/>
          <w:color w:val="auto"/>
          <w:sz w:val="32"/>
          <w:szCs w:val="32"/>
          <w:highlight w:val="none"/>
        </w:rPr>
        <w:t>万元，主要用于</w:t>
      </w:r>
      <w:r>
        <w:rPr>
          <w:rFonts w:hint="eastAsia" w:ascii="Times New Roman" w:hAnsi="Times New Roman" w:eastAsia="方正仿宋_GBK" w:cs="方正仿宋_GBK"/>
          <w:color w:val="auto"/>
          <w:sz w:val="32"/>
          <w:szCs w:val="32"/>
          <w:highlight w:val="none"/>
          <w:shd w:val="clear" w:fill="FFFFFF"/>
          <w:lang w:eastAsia="zh-CN"/>
        </w:rPr>
        <w:t>机要文件交换、市内因公出行、业务检查等工作所需车辆的燃料费、维修费、过桥过路费、保险费等</w:t>
      </w:r>
      <w:r>
        <w:rPr>
          <w:rFonts w:hint="eastAsia" w:ascii="Times New Roman" w:hAnsi="Times New Roman" w:eastAsia="方正仿宋_GBK"/>
          <w:color w:val="auto"/>
          <w:sz w:val="32"/>
          <w:szCs w:val="32"/>
          <w:highlight w:val="none"/>
        </w:rPr>
        <w:t>。费用支出较年初预算数减少</w:t>
      </w:r>
      <w:r>
        <w:rPr>
          <w:rFonts w:hint="eastAsia" w:ascii="Times New Roman" w:hAnsi="Times New Roman" w:eastAsia="方正仿宋_GBK"/>
          <w:color w:val="auto"/>
          <w:sz w:val="32"/>
          <w:szCs w:val="32"/>
          <w:highlight w:val="none"/>
          <w:lang w:val="en-US" w:eastAsia="zh-CN"/>
        </w:rPr>
        <w:t>3.02</w:t>
      </w:r>
      <w:r>
        <w:rPr>
          <w:rFonts w:hint="eastAsia" w:ascii="Times New Roman" w:hAnsi="Times New Roman" w:eastAsia="方正仿宋_GBK"/>
          <w:color w:val="auto"/>
          <w:sz w:val="32"/>
          <w:szCs w:val="32"/>
          <w:highlight w:val="none"/>
        </w:rPr>
        <w:t xml:space="preserve">万元，下降 </w:t>
      </w:r>
      <w:r>
        <w:rPr>
          <w:rFonts w:hint="eastAsia" w:ascii="Times New Roman" w:hAnsi="Times New Roman" w:eastAsia="方正仿宋_GBK"/>
          <w:color w:val="auto"/>
          <w:sz w:val="32"/>
          <w:szCs w:val="32"/>
          <w:highlight w:val="none"/>
          <w:lang w:val="en-US" w:eastAsia="zh-CN"/>
        </w:rPr>
        <w:t>8</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s="方正仿宋_GBK"/>
          <w:color w:val="auto"/>
          <w:sz w:val="32"/>
          <w:szCs w:val="32"/>
          <w:highlight w:val="none"/>
          <w:shd w:val="clear" w:fill="FFFFFF"/>
          <w:lang w:eastAsia="zh-CN"/>
        </w:rPr>
        <w:t>认真贯彻落实中央八项规定精神和厉行节约要求，加强了公务车运行维护管理</w:t>
      </w:r>
      <w:r>
        <w:rPr>
          <w:rFonts w:hint="eastAsia" w:ascii="Times New Roman" w:hAnsi="Times New Roman" w:eastAsia="方正仿宋_GBK"/>
          <w:color w:val="auto"/>
          <w:sz w:val="32"/>
          <w:szCs w:val="32"/>
          <w:highlight w:val="none"/>
        </w:rPr>
        <w:t>。较上年支出数增加</w:t>
      </w:r>
      <w:r>
        <w:rPr>
          <w:rFonts w:hint="eastAsia" w:ascii="Times New Roman" w:hAnsi="Times New Roman" w:eastAsia="方正仿宋_GBK"/>
          <w:color w:val="auto"/>
          <w:sz w:val="32"/>
          <w:szCs w:val="32"/>
          <w:highlight w:val="none"/>
          <w:lang w:val="en-US" w:eastAsia="zh-CN"/>
        </w:rPr>
        <w:t>29.34</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531.17</w:t>
      </w:r>
      <w:r>
        <w:rPr>
          <w:rFonts w:hint="eastAsia" w:ascii="Times New Roman" w:hAnsi="Times New Roman" w:eastAsia="方正仿宋_GBK"/>
          <w:color w:val="auto"/>
          <w:sz w:val="32"/>
          <w:szCs w:val="32"/>
          <w:highlight w:val="none"/>
        </w:rPr>
        <w:t>%，主要原因</w:t>
      </w:r>
      <w:r>
        <w:rPr>
          <w:rFonts w:hint="eastAsia" w:ascii="Times New Roman" w:hAnsi="Times New Roman" w:eastAsia="方正仿宋_GBK"/>
          <w:color w:val="auto"/>
          <w:sz w:val="32"/>
          <w:szCs w:val="32"/>
          <w:highlight w:val="none"/>
          <w:lang w:eastAsia="zh-CN"/>
        </w:rPr>
        <w:t>一是质安和港航所合并，公务车辆增加，二是</w:t>
      </w:r>
      <w:r>
        <w:rPr>
          <w:rFonts w:hint="eastAsia" w:ascii="Times New Roman" w:hAnsi="Times New Roman" w:eastAsia="方正仿宋_GBK"/>
          <w:color w:val="auto"/>
          <w:sz w:val="32"/>
          <w:szCs w:val="32"/>
          <w:highlight w:val="none"/>
          <w:lang w:val="en-US" w:eastAsia="zh-CN"/>
        </w:rPr>
        <w:t>2020年增加治超专项、防汛抗灾巡查、道路抗疫检测等，增加车辆运行维护费约29万元</w:t>
      </w:r>
      <w:r>
        <w:rPr>
          <w:rFonts w:hint="eastAsia" w:ascii="Times New Roman" w:hAnsi="Times New Roman" w:eastAsia="方正仿宋_GBK"/>
          <w:color w:val="auto"/>
          <w:sz w:val="32"/>
          <w:szCs w:val="32"/>
          <w:highlight w:val="none"/>
        </w:rPr>
        <w:t>。</w:t>
      </w:r>
    </w:p>
    <w:p w14:paraId="04037D9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公务接待费</w:t>
      </w:r>
      <w:r>
        <w:rPr>
          <w:rFonts w:hint="eastAsia" w:ascii="Times New Roman" w:hAnsi="Times New Roman" w:eastAsia="方正仿宋_GBK"/>
          <w:color w:val="auto"/>
          <w:sz w:val="32"/>
          <w:szCs w:val="32"/>
          <w:highlight w:val="none"/>
          <w:lang w:val="en-US" w:eastAsia="zh-CN"/>
        </w:rPr>
        <w:t>0.22</w:t>
      </w:r>
      <w:r>
        <w:rPr>
          <w:rFonts w:hint="eastAsia" w:ascii="Times New Roman" w:hAnsi="Times New Roman" w:eastAsia="方正仿宋_GBK"/>
          <w:color w:val="auto"/>
          <w:sz w:val="32"/>
          <w:szCs w:val="32"/>
          <w:highlight w:val="none"/>
        </w:rPr>
        <w:t>万元，主要用于接待</w:t>
      </w:r>
      <w:r>
        <w:rPr>
          <w:rFonts w:hint="eastAsia" w:ascii="Times New Roman" w:hAnsi="Times New Roman" w:eastAsia="方正仿宋_GBK"/>
          <w:color w:val="auto"/>
          <w:sz w:val="32"/>
          <w:szCs w:val="32"/>
          <w:highlight w:val="none"/>
          <w:lang w:eastAsia="zh-CN"/>
        </w:rPr>
        <w:t>重庆航空来我区考察交流</w:t>
      </w:r>
      <w:r>
        <w:rPr>
          <w:rFonts w:hint="eastAsia" w:ascii="Times New Roman" w:hAnsi="Times New Roman" w:eastAsia="方正仿宋_GBK"/>
          <w:color w:val="auto"/>
          <w:sz w:val="32"/>
          <w:szCs w:val="32"/>
          <w:highlight w:val="none"/>
        </w:rPr>
        <w:t>。费用支出较年初预算数减少</w:t>
      </w:r>
      <w:r>
        <w:rPr>
          <w:rFonts w:hint="eastAsia" w:ascii="Times New Roman" w:hAnsi="Times New Roman" w:eastAsia="方正仿宋_GBK"/>
          <w:color w:val="auto"/>
          <w:sz w:val="32"/>
          <w:szCs w:val="32"/>
          <w:highlight w:val="none"/>
          <w:lang w:val="en-US" w:eastAsia="zh-CN"/>
        </w:rPr>
        <w:t>0.98</w:t>
      </w:r>
      <w:r>
        <w:rPr>
          <w:rFonts w:hint="eastAsia" w:ascii="Times New Roman" w:hAnsi="Times New Roman" w:eastAsia="方正仿宋_GBK"/>
          <w:color w:val="auto"/>
          <w:sz w:val="32"/>
          <w:szCs w:val="32"/>
          <w:highlight w:val="none"/>
        </w:rPr>
        <w:t>万元，下降</w:t>
      </w:r>
      <w:r>
        <w:rPr>
          <w:rFonts w:hint="eastAsia" w:ascii="Times New Roman" w:hAnsi="Times New Roman" w:eastAsia="方正仿宋_GBK"/>
          <w:color w:val="auto"/>
          <w:sz w:val="32"/>
          <w:szCs w:val="32"/>
          <w:highlight w:val="none"/>
          <w:lang w:val="en-US" w:eastAsia="zh-CN"/>
        </w:rPr>
        <w:t>81</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s="方正仿宋_GBK"/>
          <w:color w:val="auto"/>
          <w:sz w:val="32"/>
          <w:szCs w:val="32"/>
          <w:highlight w:val="none"/>
          <w:shd w:val="clear" w:fill="FFFFFF"/>
          <w:lang w:eastAsia="zh-CN"/>
        </w:rPr>
        <w:t>贯彻落实《重庆市党政机关国内公务接待管理办法》，厉行节约，控制严格接待人次、标准</w:t>
      </w:r>
      <w:r>
        <w:rPr>
          <w:rFonts w:hint="eastAsia" w:ascii="Times New Roman" w:hAnsi="Times New Roman" w:eastAsia="方正仿宋_GBK"/>
          <w:color w:val="auto"/>
          <w:sz w:val="32"/>
          <w:szCs w:val="32"/>
          <w:highlight w:val="none"/>
        </w:rPr>
        <w:t>。较上年支出数增加</w:t>
      </w:r>
      <w:r>
        <w:rPr>
          <w:rFonts w:hint="eastAsia" w:ascii="Times New Roman" w:hAnsi="Times New Roman" w:eastAsia="方正仿宋_GBK"/>
          <w:color w:val="auto"/>
          <w:sz w:val="32"/>
          <w:szCs w:val="32"/>
          <w:highlight w:val="none"/>
          <w:lang w:val="en-US" w:eastAsia="zh-CN"/>
        </w:rPr>
        <w:t>0.01</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4.6</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接待人数变动，公务接待餐费增加</w:t>
      </w:r>
      <w:r>
        <w:rPr>
          <w:rFonts w:hint="eastAsia" w:ascii="Times New Roman" w:hAnsi="Times New Roman" w:eastAsia="方正仿宋_GBK"/>
          <w:color w:val="auto"/>
          <w:sz w:val="32"/>
          <w:szCs w:val="32"/>
          <w:highlight w:val="none"/>
        </w:rPr>
        <w:t>。</w:t>
      </w:r>
    </w:p>
    <w:p w14:paraId="6533AFE0">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hint="eastAsia" w:ascii="Times New Roman" w:hAnsi="Times New Roman" w:eastAsia="方正楷体_GBK" w:cs="方正楷体_GBK"/>
          <w:b w:val="0"/>
          <w:bCs w:val="0"/>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（三）“三公”经费实物量情况</w:t>
      </w:r>
    </w:p>
    <w:p w14:paraId="4122E4E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2020年度本部门因公出国（境）共计</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个团组，XX人；公务用车购置</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辆，公务车保有量为</w:t>
      </w:r>
      <w:r>
        <w:rPr>
          <w:rFonts w:hint="eastAsia" w:ascii="Times New Roman" w:hAnsi="Times New Roman" w:eastAsia="方正仿宋_GBK"/>
          <w:color w:val="auto"/>
          <w:sz w:val="32"/>
          <w:szCs w:val="32"/>
          <w:highlight w:val="none"/>
          <w:lang w:val="en-US" w:eastAsia="zh-CN"/>
        </w:rPr>
        <w:t>12</w:t>
      </w:r>
      <w:r>
        <w:rPr>
          <w:rFonts w:hint="eastAsia" w:ascii="Times New Roman" w:hAnsi="Times New Roman" w:eastAsia="方正仿宋_GBK"/>
          <w:color w:val="auto"/>
          <w:sz w:val="32"/>
          <w:szCs w:val="32"/>
          <w:highlight w:val="none"/>
        </w:rPr>
        <w:t>辆；国内公务接待</w:t>
      </w:r>
      <w:r>
        <w:rPr>
          <w:rFonts w:hint="eastAsia" w:ascii="Times New Roman" w:hAnsi="Times New Roman" w:eastAsia="方正仿宋_GBK"/>
          <w:color w:val="auto"/>
          <w:sz w:val="32"/>
          <w:szCs w:val="32"/>
          <w:highlight w:val="none"/>
          <w:lang w:val="en-US" w:eastAsia="zh-CN"/>
        </w:rPr>
        <w:t>1</w:t>
      </w:r>
      <w:r>
        <w:rPr>
          <w:rFonts w:hint="eastAsia" w:ascii="Times New Roman" w:hAnsi="Times New Roman" w:eastAsia="方正仿宋_GBK"/>
          <w:color w:val="auto"/>
          <w:sz w:val="32"/>
          <w:szCs w:val="32"/>
          <w:highlight w:val="none"/>
        </w:rPr>
        <w:t>批次</w:t>
      </w:r>
      <w:r>
        <w:rPr>
          <w:rFonts w:hint="eastAsia" w:ascii="Times New Roman" w:hAnsi="Times New Roman" w:eastAsia="方正仿宋_GBK"/>
          <w:color w:val="auto"/>
          <w:sz w:val="32"/>
          <w:szCs w:val="32"/>
          <w:highlight w:val="none"/>
          <w:lang w:val="en-US" w:eastAsia="zh-CN"/>
        </w:rPr>
        <w:t>22</w:t>
      </w:r>
      <w:r>
        <w:rPr>
          <w:rFonts w:hint="eastAsia" w:ascii="Times New Roman" w:hAnsi="Times New Roman" w:eastAsia="方正仿宋_GBK"/>
          <w:color w:val="auto"/>
          <w:sz w:val="32"/>
          <w:szCs w:val="32"/>
          <w:highlight w:val="none"/>
        </w:rPr>
        <w:t>人，其中：国内外事接待</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批次，</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人；国（境）外公务接待</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批次，</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人。2019年本部门人均接待费</w:t>
      </w:r>
      <w:r>
        <w:rPr>
          <w:rFonts w:hint="eastAsia" w:ascii="Times New Roman" w:hAnsi="Times New Roman" w:eastAsia="方正仿宋_GBK"/>
          <w:color w:val="auto"/>
          <w:sz w:val="32"/>
          <w:szCs w:val="32"/>
          <w:highlight w:val="none"/>
          <w:lang w:val="en-US" w:eastAsia="zh-CN"/>
        </w:rPr>
        <w:t>102.18</w:t>
      </w:r>
      <w:r>
        <w:rPr>
          <w:rFonts w:hint="eastAsia" w:ascii="Times New Roman" w:hAnsi="Times New Roman" w:eastAsia="方正仿宋_GBK"/>
          <w:color w:val="auto"/>
          <w:sz w:val="32"/>
          <w:szCs w:val="32"/>
          <w:highlight w:val="none"/>
        </w:rPr>
        <w:t>元，车均购置费</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万元，车均维护费</w:t>
      </w:r>
      <w:r>
        <w:rPr>
          <w:rFonts w:hint="eastAsia" w:ascii="Times New Roman" w:hAnsi="Times New Roman" w:eastAsia="方正仿宋_GBK"/>
          <w:color w:val="auto"/>
          <w:sz w:val="32"/>
          <w:szCs w:val="32"/>
          <w:highlight w:val="none"/>
          <w:lang w:val="en-US" w:eastAsia="zh-CN"/>
        </w:rPr>
        <w:t>2.91</w:t>
      </w:r>
      <w:r>
        <w:rPr>
          <w:rFonts w:hint="eastAsia" w:ascii="Times New Roman" w:hAnsi="Times New Roman" w:eastAsia="方正仿宋_GBK"/>
          <w:color w:val="auto"/>
          <w:sz w:val="32"/>
          <w:szCs w:val="32"/>
          <w:highlight w:val="none"/>
        </w:rPr>
        <w:t>万元。</w:t>
      </w:r>
    </w:p>
    <w:p w14:paraId="116B2780">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color w:val="auto"/>
          <w:highlight w:val="none"/>
        </w:rPr>
      </w:pPr>
      <w:r>
        <w:rPr>
          <w:rStyle w:val="10"/>
          <w:rFonts w:hint="eastAsia" w:ascii="Times New Roman" w:hAnsi="Times New Roman" w:eastAsia="方正黑体_GBK"/>
          <w:b w:val="0"/>
          <w:color w:val="auto"/>
          <w:sz w:val="32"/>
          <w:szCs w:val="32"/>
          <w:highlight w:val="none"/>
        </w:rPr>
        <w:t>四、其他需要说明的事项</w:t>
      </w:r>
    </w:p>
    <w:p w14:paraId="623BC1A0">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rPr>
        <w:t>（一）机关运行经费情况说明。</w:t>
      </w:r>
      <w:r>
        <w:rPr>
          <w:rFonts w:hint="eastAsia" w:ascii="Times New Roman" w:hAnsi="Times New Roman" w:eastAsia="方正仿宋_GBK"/>
          <w:color w:val="auto"/>
          <w:sz w:val="32"/>
          <w:szCs w:val="32"/>
          <w:highlight w:val="none"/>
        </w:rPr>
        <w:t>2020年度本部门机关运行经费支出</w:t>
      </w:r>
      <w:r>
        <w:rPr>
          <w:rFonts w:hint="eastAsia" w:ascii="Times New Roman" w:hAnsi="Times New Roman" w:eastAsia="方正仿宋_GBK"/>
          <w:color w:val="auto"/>
          <w:sz w:val="32"/>
          <w:szCs w:val="32"/>
          <w:highlight w:val="none"/>
          <w:lang w:val="en-US" w:eastAsia="zh-CN"/>
        </w:rPr>
        <w:t>287.06</w:t>
      </w:r>
      <w:r>
        <w:rPr>
          <w:rFonts w:hint="eastAsia" w:ascii="Times New Roman" w:hAnsi="Times New Roman" w:eastAsia="方正仿宋_GBK"/>
          <w:color w:val="auto"/>
          <w:sz w:val="32"/>
          <w:szCs w:val="32"/>
          <w:highlight w:val="none"/>
        </w:rPr>
        <w:t>万元，机关运行经费主要用于</w:t>
      </w:r>
      <w:r>
        <w:rPr>
          <w:rFonts w:hint="eastAsia" w:ascii="Times New Roman" w:hAnsi="Times New Roman" w:eastAsia="方正仿宋_GBK" w:cs="方正仿宋_GBK"/>
          <w:color w:val="auto"/>
          <w:sz w:val="32"/>
          <w:szCs w:val="32"/>
          <w:highlight w:val="none"/>
          <w:shd w:val="clear" w:fill="FFFFFF"/>
          <w:lang w:eastAsia="zh-CN"/>
        </w:rPr>
        <w:t>开支办公费、印刷费、水费、电费、邮电费、差旅费、维修费、会议费、培训费、公务接待费、劳务费、工会经费、公务用车运行维护费、其他交通费用、其他商品和服务支出、办公用品购置等</w:t>
      </w:r>
      <w:r>
        <w:rPr>
          <w:rFonts w:hint="eastAsia" w:ascii="Times New Roman" w:hAnsi="Times New Roman" w:eastAsia="方正仿宋_GBK"/>
          <w:color w:val="auto"/>
          <w:sz w:val="32"/>
          <w:szCs w:val="32"/>
          <w:highlight w:val="none"/>
        </w:rPr>
        <w:t>。机关运行经费较上年决算数减少</w:t>
      </w:r>
      <w:r>
        <w:rPr>
          <w:rFonts w:hint="eastAsia" w:ascii="Times New Roman" w:hAnsi="Times New Roman" w:eastAsia="方正仿宋_GBK"/>
          <w:color w:val="auto"/>
          <w:sz w:val="32"/>
          <w:szCs w:val="32"/>
          <w:highlight w:val="none"/>
          <w:lang w:val="en-US" w:eastAsia="zh-CN"/>
        </w:rPr>
        <w:t>6.22</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下降</w:t>
      </w:r>
      <w:r>
        <w:rPr>
          <w:rFonts w:hint="eastAsia" w:ascii="Times New Roman" w:hAnsi="Times New Roman" w:eastAsia="方正仿宋_GBK"/>
          <w:color w:val="auto"/>
          <w:sz w:val="32"/>
          <w:szCs w:val="32"/>
          <w:highlight w:val="none"/>
        </w:rPr>
        <w:t xml:space="preserve"> </w:t>
      </w:r>
      <w:r>
        <w:rPr>
          <w:rFonts w:hint="eastAsia" w:ascii="Times New Roman" w:hAnsi="Times New Roman" w:eastAsia="方正仿宋_GBK"/>
          <w:color w:val="auto"/>
          <w:sz w:val="32"/>
          <w:szCs w:val="32"/>
          <w:highlight w:val="none"/>
          <w:lang w:val="en-US" w:eastAsia="zh-CN"/>
        </w:rPr>
        <w:t>2.1</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s="方正仿宋_GBK"/>
          <w:color w:val="auto"/>
          <w:sz w:val="32"/>
          <w:szCs w:val="32"/>
          <w:highlight w:val="none"/>
          <w:shd w:val="clear" w:fill="FFFFFF"/>
          <w:lang w:eastAsia="zh-CN"/>
        </w:rPr>
        <w:t>厉行节约，办公设备购置减少</w:t>
      </w:r>
      <w:r>
        <w:rPr>
          <w:rFonts w:hint="eastAsia" w:ascii="Times New Roman" w:hAnsi="Times New Roman" w:eastAsia="方正仿宋_GBK"/>
          <w:color w:val="auto"/>
          <w:sz w:val="32"/>
          <w:szCs w:val="32"/>
          <w:highlight w:val="none"/>
        </w:rPr>
        <w:t>。</w:t>
      </w:r>
    </w:p>
    <w:p w14:paraId="31F7084F">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其中：本年度会议费支出</w:t>
      </w:r>
      <w:r>
        <w:rPr>
          <w:rFonts w:hint="eastAsia" w:ascii="Times New Roman" w:hAnsi="Times New Roman" w:eastAsia="方正仿宋_GBK"/>
          <w:color w:val="auto"/>
          <w:sz w:val="32"/>
          <w:szCs w:val="32"/>
          <w:highlight w:val="none"/>
          <w:lang w:val="en-US" w:eastAsia="zh-CN"/>
        </w:rPr>
        <w:t>1.48</w:t>
      </w:r>
      <w:r>
        <w:rPr>
          <w:rFonts w:hint="eastAsia" w:ascii="Times New Roman" w:hAnsi="Times New Roman" w:eastAsia="方正仿宋_GBK"/>
          <w:color w:val="auto"/>
          <w:sz w:val="32"/>
          <w:szCs w:val="32"/>
          <w:highlight w:val="none"/>
        </w:rPr>
        <w:t>万元，较上年决算数增加</w:t>
      </w:r>
      <w:r>
        <w:rPr>
          <w:rFonts w:hint="eastAsia" w:ascii="Times New Roman" w:hAnsi="Times New Roman" w:eastAsia="方正仿宋_GBK"/>
          <w:color w:val="auto"/>
          <w:sz w:val="32"/>
          <w:szCs w:val="32"/>
          <w:highlight w:val="none"/>
          <w:lang w:val="en-US" w:eastAsia="zh-CN"/>
        </w:rPr>
        <w:t>0.24</w:t>
      </w:r>
      <w:r>
        <w:rPr>
          <w:rFonts w:hint="eastAsia" w:ascii="Times New Roman" w:hAnsi="Times New Roman" w:eastAsia="方正仿宋_GBK"/>
          <w:color w:val="auto"/>
          <w:sz w:val="32"/>
          <w:szCs w:val="32"/>
          <w:highlight w:val="none"/>
        </w:rPr>
        <w:t>万元，增长</w:t>
      </w:r>
      <w:r>
        <w:rPr>
          <w:rFonts w:hint="eastAsia" w:ascii="Times New Roman" w:hAnsi="Times New Roman" w:eastAsia="方正仿宋_GBK"/>
          <w:color w:val="auto"/>
          <w:sz w:val="32"/>
          <w:szCs w:val="32"/>
          <w:highlight w:val="none"/>
          <w:lang w:val="en-US" w:eastAsia="zh-CN"/>
        </w:rPr>
        <w:t>19.5</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s="方正仿宋_GBK"/>
          <w:color w:val="auto"/>
          <w:sz w:val="32"/>
          <w:szCs w:val="32"/>
          <w:highlight w:val="none"/>
          <w:shd w:val="clear" w:fill="FFFFFF"/>
          <w:lang w:eastAsia="zh-CN"/>
        </w:rPr>
        <w:t>随着铁路建设征地拆迁、两江四岸码头船舶治理等全区性项目的有序开展，工作会议开展次数增多</w:t>
      </w:r>
      <w:r>
        <w:rPr>
          <w:rFonts w:hint="eastAsia" w:ascii="Times New Roman" w:hAnsi="Times New Roman" w:eastAsia="方正仿宋_GBK"/>
          <w:color w:val="auto"/>
          <w:sz w:val="32"/>
          <w:szCs w:val="32"/>
          <w:highlight w:val="none"/>
        </w:rPr>
        <w:t>。本年度培训费支出</w:t>
      </w:r>
      <w:r>
        <w:rPr>
          <w:rFonts w:hint="eastAsia" w:ascii="Times New Roman" w:hAnsi="Times New Roman" w:eastAsia="方正仿宋_GBK"/>
          <w:color w:val="auto"/>
          <w:sz w:val="32"/>
          <w:szCs w:val="32"/>
          <w:highlight w:val="none"/>
          <w:lang w:val="en-US" w:eastAsia="zh-CN"/>
        </w:rPr>
        <w:t>0.18</w:t>
      </w:r>
      <w:r>
        <w:rPr>
          <w:rFonts w:hint="eastAsia" w:ascii="Times New Roman" w:hAnsi="Times New Roman" w:eastAsia="方正仿宋_GBK"/>
          <w:color w:val="auto"/>
          <w:sz w:val="32"/>
          <w:szCs w:val="32"/>
          <w:highlight w:val="none"/>
        </w:rPr>
        <w:t>万元，较上年决算数减少</w:t>
      </w:r>
      <w:r>
        <w:rPr>
          <w:rFonts w:hint="eastAsia" w:ascii="Times New Roman" w:hAnsi="Times New Roman" w:eastAsia="方正仿宋_GBK"/>
          <w:color w:val="auto"/>
          <w:sz w:val="32"/>
          <w:szCs w:val="32"/>
          <w:highlight w:val="none"/>
          <w:lang w:val="en-US" w:eastAsia="zh-CN"/>
        </w:rPr>
        <w:t>0.16</w:t>
      </w:r>
      <w:r>
        <w:rPr>
          <w:rFonts w:hint="eastAsia" w:ascii="Times New Roman" w:hAnsi="Times New Roman" w:eastAsia="方正仿宋_GBK"/>
          <w:color w:val="auto"/>
          <w:sz w:val="32"/>
          <w:szCs w:val="32"/>
          <w:highlight w:val="none"/>
        </w:rPr>
        <w:t>万元，</w:t>
      </w:r>
      <w:r>
        <w:rPr>
          <w:rFonts w:hint="eastAsia" w:ascii="Times New Roman" w:hAnsi="Times New Roman" w:eastAsia="方正仿宋_GBK"/>
          <w:color w:val="auto"/>
          <w:sz w:val="32"/>
          <w:szCs w:val="32"/>
          <w:highlight w:val="none"/>
          <w:lang w:eastAsia="zh-CN"/>
        </w:rPr>
        <w:t>下降</w:t>
      </w:r>
      <w:r>
        <w:rPr>
          <w:rFonts w:hint="eastAsia" w:ascii="Times New Roman" w:hAnsi="Times New Roman" w:eastAsia="方正仿宋_GBK"/>
          <w:color w:val="auto"/>
          <w:sz w:val="32"/>
          <w:szCs w:val="32"/>
          <w:highlight w:val="none"/>
          <w:lang w:val="en-US" w:eastAsia="zh-CN"/>
        </w:rPr>
        <w:t>46.6</w:t>
      </w:r>
      <w:r>
        <w:rPr>
          <w:rFonts w:hint="eastAsia" w:ascii="Times New Roman" w:hAnsi="Times New Roman" w:eastAsia="方正仿宋_GBK"/>
          <w:color w:val="auto"/>
          <w:sz w:val="32"/>
          <w:szCs w:val="32"/>
          <w:highlight w:val="none"/>
        </w:rPr>
        <w:t>%，主要原因是</w:t>
      </w:r>
      <w:r>
        <w:rPr>
          <w:rFonts w:hint="eastAsia" w:ascii="Times New Roman" w:hAnsi="Times New Roman" w:eastAsia="方正仿宋_GBK"/>
          <w:color w:val="auto"/>
          <w:sz w:val="32"/>
          <w:szCs w:val="32"/>
          <w:highlight w:val="none"/>
          <w:lang w:eastAsia="zh-CN"/>
        </w:rPr>
        <w:t>为</w:t>
      </w:r>
      <w:r>
        <w:rPr>
          <w:rFonts w:hint="eastAsia" w:ascii="Times New Roman" w:hAnsi="Times New Roman" w:eastAsia="方正仿宋_GBK" w:cs="方正仿宋_GBK"/>
          <w:color w:val="auto"/>
          <w:sz w:val="32"/>
          <w:szCs w:val="32"/>
          <w:highlight w:val="none"/>
          <w:shd w:val="clear" w:fill="FFFFFF"/>
          <w:lang w:eastAsia="zh-CN"/>
        </w:rPr>
        <w:t>配合疫情防控，减少人员聚集的培训活动。</w:t>
      </w:r>
    </w:p>
    <w:p w14:paraId="4F3DB56C">
      <w:pPr>
        <w:keepNext w:val="0"/>
        <w:keepLines w:val="0"/>
        <w:pageBreakBefore w:val="0"/>
        <w:widowControl w:val="0"/>
        <w:numPr>
          <w:ilvl w:val="0"/>
          <w:numId w:val="3"/>
        </w:numPr>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lang w:val="en-US" w:eastAsia="zh-CN" w:bidi="ar-SA"/>
        </w:rPr>
        <w:t>国有资产占用情况说明。</w:t>
      </w:r>
      <w:r>
        <w:rPr>
          <w:rFonts w:hint="eastAsia" w:ascii="Times New Roman" w:hAnsi="Times New Roman" w:eastAsia="方正仿宋_GBK"/>
          <w:color w:val="auto"/>
          <w:sz w:val="32"/>
          <w:szCs w:val="32"/>
          <w:highlight w:val="none"/>
        </w:rPr>
        <w:t>截至2020年12月31日，本部门共有车辆</w:t>
      </w:r>
      <w:r>
        <w:rPr>
          <w:rFonts w:hint="eastAsia" w:ascii="Times New Roman" w:hAnsi="Times New Roman" w:eastAsia="方正仿宋_GBK"/>
          <w:color w:val="auto"/>
          <w:sz w:val="32"/>
          <w:szCs w:val="32"/>
          <w:highlight w:val="none"/>
          <w:lang w:val="en-US" w:eastAsia="zh-CN"/>
        </w:rPr>
        <w:t>12</w:t>
      </w:r>
      <w:r>
        <w:rPr>
          <w:rFonts w:hint="eastAsia" w:ascii="Times New Roman" w:hAnsi="Times New Roman" w:eastAsia="方正仿宋_GBK"/>
          <w:color w:val="auto"/>
          <w:sz w:val="32"/>
          <w:szCs w:val="32"/>
          <w:highlight w:val="none"/>
        </w:rPr>
        <w:t>辆，其中，副部（省）级及以上领导用车</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辆、主要领导干部用车</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辆、机要通信用车</w:t>
      </w:r>
      <w:r>
        <w:rPr>
          <w:rFonts w:hint="eastAsia" w:ascii="Times New Roman" w:hAnsi="Times New Roman" w:eastAsia="方正仿宋_GBK"/>
          <w:color w:val="auto"/>
          <w:sz w:val="32"/>
          <w:szCs w:val="32"/>
          <w:highlight w:val="none"/>
          <w:lang w:val="en-US" w:eastAsia="zh-CN"/>
        </w:rPr>
        <w:t>2</w:t>
      </w:r>
      <w:r>
        <w:rPr>
          <w:rFonts w:hint="eastAsia" w:ascii="Times New Roman" w:hAnsi="Times New Roman" w:eastAsia="方正仿宋_GBK"/>
          <w:color w:val="auto"/>
          <w:sz w:val="32"/>
          <w:szCs w:val="32"/>
          <w:highlight w:val="none"/>
        </w:rPr>
        <w:t>辆、应急保障用车</w:t>
      </w:r>
      <w:r>
        <w:rPr>
          <w:rFonts w:hint="eastAsia" w:ascii="Times New Roman" w:hAnsi="Times New Roman" w:eastAsia="方正仿宋_GBK"/>
          <w:color w:val="auto"/>
          <w:sz w:val="32"/>
          <w:szCs w:val="32"/>
          <w:highlight w:val="none"/>
          <w:lang w:val="en-US" w:eastAsia="zh-CN"/>
        </w:rPr>
        <w:t>7</w:t>
      </w:r>
      <w:r>
        <w:rPr>
          <w:rFonts w:hint="eastAsia" w:ascii="Times New Roman" w:hAnsi="Times New Roman" w:eastAsia="方正仿宋_GBK"/>
          <w:color w:val="auto"/>
          <w:sz w:val="32"/>
          <w:szCs w:val="32"/>
          <w:highlight w:val="none"/>
        </w:rPr>
        <w:t>辆、执法执勤用车</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辆，特种专业技术用车</w:t>
      </w:r>
      <w:r>
        <w:rPr>
          <w:rFonts w:hint="eastAsia" w:ascii="Times New Roman" w:hAnsi="Times New Roman" w:eastAsia="方正仿宋_GBK"/>
          <w:color w:val="auto"/>
          <w:sz w:val="32"/>
          <w:szCs w:val="32"/>
          <w:highlight w:val="none"/>
          <w:lang w:val="en-US" w:eastAsia="zh-CN"/>
        </w:rPr>
        <w:t>3</w:t>
      </w:r>
      <w:r>
        <w:rPr>
          <w:rFonts w:hint="eastAsia" w:ascii="Times New Roman" w:hAnsi="Times New Roman" w:eastAsia="方正仿宋_GBK"/>
          <w:color w:val="auto"/>
          <w:sz w:val="32"/>
          <w:szCs w:val="32"/>
          <w:highlight w:val="none"/>
        </w:rPr>
        <w:t>辆，离退休干部用车</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辆，其他用车</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辆。单价50万元（含）以上通用设备</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台（套），单价100万元（含）以上专用设备</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台（套）。</w:t>
      </w:r>
    </w:p>
    <w:p w14:paraId="61311AE1">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jc w:val="both"/>
        <w:textAlignment w:val="auto"/>
        <w:rPr>
          <w:rFonts w:ascii="Times New Roman" w:hAnsi="Times New Roman" w:eastAsia="方正仿宋_GBK"/>
          <w:color w:val="auto"/>
          <w:sz w:val="32"/>
          <w:szCs w:val="32"/>
          <w:highlight w:val="none"/>
        </w:rPr>
      </w:pPr>
      <w:r>
        <w:rPr>
          <w:rStyle w:val="10"/>
          <w:rFonts w:hint="eastAsia" w:ascii="Times New Roman" w:hAnsi="Times New Roman" w:eastAsia="方正楷体_GBK" w:cs="方正楷体_GBK"/>
          <w:b w:val="0"/>
          <w:bCs w:val="0"/>
          <w:color w:val="auto"/>
          <w:sz w:val="32"/>
          <w:szCs w:val="32"/>
          <w:highlight w:val="none"/>
          <w:lang w:val="en-US" w:eastAsia="zh-CN" w:bidi="ar-SA"/>
        </w:rPr>
        <w:t>（三）政府采购支出情况说明。</w:t>
      </w:r>
      <w:r>
        <w:rPr>
          <w:rFonts w:hint="eastAsia" w:ascii="Times New Roman" w:hAnsi="Times New Roman" w:eastAsia="方正仿宋_GBK"/>
          <w:color w:val="auto"/>
          <w:sz w:val="32"/>
          <w:szCs w:val="32"/>
          <w:highlight w:val="none"/>
        </w:rPr>
        <w:t>2020年度本部门政府采购支出总额</w:t>
      </w:r>
      <w:r>
        <w:rPr>
          <w:rFonts w:hint="eastAsia" w:ascii="Times New Roman" w:hAnsi="Times New Roman" w:eastAsia="方正仿宋_GBK"/>
          <w:color w:val="auto"/>
          <w:sz w:val="32"/>
          <w:szCs w:val="32"/>
          <w:highlight w:val="none"/>
          <w:lang w:val="en-US" w:eastAsia="zh-CN"/>
        </w:rPr>
        <w:t>431</w:t>
      </w:r>
      <w:r>
        <w:rPr>
          <w:rFonts w:hint="eastAsia" w:ascii="Times New Roman" w:hAnsi="Times New Roman" w:eastAsia="方正仿宋_GBK"/>
          <w:color w:val="auto"/>
          <w:sz w:val="32"/>
          <w:szCs w:val="32"/>
          <w:highlight w:val="none"/>
        </w:rPr>
        <w:t>万元，其中：政府采购货物支出</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万元、政府采购工程支出</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万元、政府采购服务支出</w:t>
      </w:r>
      <w:r>
        <w:rPr>
          <w:rFonts w:hint="eastAsia" w:ascii="Times New Roman" w:hAnsi="Times New Roman" w:eastAsia="方正仿宋_GBK"/>
          <w:color w:val="auto"/>
          <w:sz w:val="32"/>
          <w:szCs w:val="32"/>
          <w:highlight w:val="none"/>
          <w:lang w:val="en-US" w:eastAsia="zh-CN"/>
        </w:rPr>
        <w:t>431</w:t>
      </w:r>
      <w:r>
        <w:rPr>
          <w:rFonts w:hint="eastAsia" w:ascii="Times New Roman" w:hAnsi="Times New Roman" w:eastAsia="方正仿宋_GBK"/>
          <w:color w:val="auto"/>
          <w:sz w:val="32"/>
          <w:szCs w:val="32"/>
          <w:highlight w:val="none"/>
        </w:rPr>
        <w:t>万元。授予中小企业合同金额</w:t>
      </w:r>
      <w:r>
        <w:rPr>
          <w:rFonts w:hint="eastAsia" w:ascii="Times New Roman" w:hAnsi="Times New Roman" w:eastAsia="方正仿宋_GBK"/>
          <w:color w:val="auto"/>
          <w:sz w:val="32"/>
          <w:szCs w:val="32"/>
          <w:highlight w:val="none"/>
          <w:lang w:val="en-US" w:eastAsia="zh-CN"/>
        </w:rPr>
        <w:t>431</w:t>
      </w:r>
      <w:r>
        <w:rPr>
          <w:rFonts w:hint="eastAsia" w:ascii="Times New Roman" w:hAnsi="Times New Roman" w:eastAsia="方正仿宋_GBK"/>
          <w:color w:val="auto"/>
          <w:sz w:val="32"/>
          <w:szCs w:val="32"/>
          <w:highlight w:val="none"/>
        </w:rPr>
        <w:t>万元，占政府采购支出总额的</w:t>
      </w:r>
      <w:r>
        <w:rPr>
          <w:rFonts w:hint="eastAsia" w:ascii="Times New Roman" w:hAnsi="Times New Roman" w:eastAsia="方正仿宋_GBK"/>
          <w:color w:val="auto"/>
          <w:sz w:val="32"/>
          <w:szCs w:val="32"/>
          <w:highlight w:val="none"/>
          <w:lang w:val="en-US" w:eastAsia="zh-CN"/>
        </w:rPr>
        <w:t>100</w:t>
      </w:r>
      <w:r>
        <w:rPr>
          <w:rFonts w:hint="eastAsia" w:ascii="Times New Roman" w:hAnsi="Times New Roman" w:eastAsia="方正仿宋_GBK"/>
          <w:color w:val="auto"/>
          <w:sz w:val="32"/>
          <w:szCs w:val="32"/>
          <w:highlight w:val="none"/>
        </w:rPr>
        <w:t>%，其中：授予小微企业合同金额</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万元，占政府采购支出总额的</w:t>
      </w:r>
      <w:r>
        <w:rPr>
          <w:rFonts w:hint="eastAsia" w:ascii="Times New Roman" w:hAnsi="Times New Roman" w:eastAsia="方正仿宋_GBK"/>
          <w:color w:val="auto"/>
          <w:sz w:val="32"/>
          <w:szCs w:val="32"/>
          <w:highlight w:val="none"/>
          <w:lang w:val="en-US" w:eastAsia="zh-CN"/>
        </w:rPr>
        <w:t>0</w:t>
      </w:r>
      <w:r>
        <w:rPr>
          <w:rFonts w:hint="eastAsia" w:ascii="Times New Roman" w:hAnsi="Times New Roman" w:eastAsia="方正仿宋_GBK"/>
          <w:color w:val="auto"/>
          <w:sz w:val="32"/>
          <w:szCs w:val="32"/>
          <w:highlight w:val="none"/>
        </w:rPr>
        <w:t>%。主要用于采购</w:t>
      </w:r>
      <w:r>
        <w:rPr>
          <w:rFonts w:hint="eastAsia" w:ascii="Times New Roman" w:hAnsi="Times New Roman" w:eastAsia="方正仿宋_GBK"/>
          <w:color w:val="auto"/>
          <w:sz w:val="32"/>
          <w:szCs w:val="32"/>
          <w:highlight w:val="none"/>
          <w:lang w:eastAsia="zh-CN"/>
        </w:rPr>
        <w:t>两江四岸停泊船舶拖移拆解项目</w:t>
      </w:r>
      <w:r>
        <w:rPr>
          <w:rFonts w:hint="eastAsia" w:ascii="Times New Roman" w:hAnsi="Times New Roman" w:eastAsia="方正仿宋_GBK"/>
          <w:color w:val="auto"/>
          <w:sz w:val="32"/>
          <w:szCs w:val="32"/>
          <w:highlight w:val="none"/>
        </w:rPr>
        <w:t>。</w:t>
      </w:r>
    </w:p>
    <w:p w14:paraId="57AA180D">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b w:val="0"/>
          <w:bCs w:val="0"/>
          <w:color w:val="auto"/>
          <w:highlight w:val="none"/>
        </w:rPr>
      </w:pPr>
      <w:r>
        <w:rPr>
          <w:rStyle w:val="10"/>
          <w:rFonts w:hint="eastAsia" w:ascii="Times New Roman" w:hAnsi="Times New Roman" w:eastAsia="方正黑体_GBK"/>
          <w:b w:val="0"/>
          <w:bCs w:val="0"/>
          <w:color w:val="auto"/>
          <w:sz w:val="32"/>
          <w:szCs w:val="32"/>
          <w:highlight w:val="none"/>
        </w:rPr>
        <w:t>五、预算绩效管理情况说明</w:t>
      </w:r>
    </w:p>
    <w:p w14:paraId="120FACE2">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firstLine="640" w:firstLineChars="200"/>
        <w:textAlignment w:val="auto"/>
        <w:rPr>
          <w:rStyle w:val="10"/>
          <w:rFonts w:hint="eastAsia" w:ascii="Times New Roman" w:hAnsi="Times New Roman" w:eastAsia="方正楷体_GBK" w:cs="方正楷体_GBK"/>
          <w:b w:val="0"/>
          <w:bCs w:val="0"/>
          <w:color w:val="auto"/>
          <w:kern w:val="0"/>
          <w:sz w:val="32"/>
          <w:szCs w:val="32"/>
          <w:highlight w:val="none"/>
          <w:lang w:val="en-US" w:eastAsia="zh-CN" w:bidi="ar-SA"/>
        </w:rPr>
      </w:pPr>
      <w:r>
        <w:rPr>
          <w:rStyle w:val="10"/>
          <w:rFonts w:hint="eastAsia" w:ascii="Times New Roman" w:hAnsi="Times New Roman" w:eastAsia="方正楷体_GBK" w:cs="方正楷体_GBK"/>
          <w:b w:val="0"/>
          <w:bCs w:val="0"/>
          <w:color w:val="auto"/>
          <w:kern w:val="0"/>
          <w:sz w:val="32"/>
          <w:szCs w:val="32"/>
          <w:highlight w:val="none"/>
          <w:lang w:val="en-US" w:eastAsia="zh-CN" w:bidi="ar-SA"/>
        </w:rPr>
        <w:t>（一）预算绩效管理工作开展情况</w:t>
      </w:r>
    </w:p>
    <w:p w14:paraId="57B571BE">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宋体"/>
          <w:color w:val="auto"/>
          <w:kern w:val="0"/>
          <w:sz w:val="32"/>
          <w:szCs w:val="32"/>
          <w:highlight w:val="none"/>
        </w:rPr>
      </w:pPr>
      <w:r>
        <w:rPr>
          <w:rFonts w:hint="eastAsia" w:ascii="Times New Roman" w:hAnsi="Times New Roman" w:eastAsia="方正仿宋_GBK" w:cs="宋体"/>
          <w:color w:val="auto"/>
          <w:kern w:val="0"/>
          <w:sz w:val="32"/>
          <w:szCs w:val="32"/>
          <w:highlight w:val="none"/>
        </w:rPr>
        <w:t>根据预算绩效管理要求，本部门对</w:t>
      </w:r>
      <w:r>
        <w:rPr>
          <w:rFonts w:hint="eastAsia" w:ascii="Times New Roman" w:hAnsi="Times New Roman" w:eastAsia="方正仿宋_GBK" w:cs="宋体"/>
          <w:color w:val="auto"/>
          <w:kern w:val="0"/>
          <w:sz w:val="32"/>
          <w:szCs w:val="32"/>
          <w:highlight w:val="none"/>
          <w:lang w:val="en-US" w:eastAsia="zh-CN"/>
        </w:rPr>
        <w:t>26</w:t>
      </w:r>
      <w:r>
        <w:rPr>
          <w:rFonts w:hint="eastAsia" w:ascii="Times New Roman" w:hAnsi="Times New Roman" w:eastAsia="方正仿宋_GBK" w:cs="宋体"/>
          <w:color w:val="auto"/>
          <w:kern w:val="0"/>
          <w:sz w:val="32"/>
          <w:szCs w:val="32"/>
          <w:highlight w:val="none"/>
        </w:rPr>
        <w:t>个项目开展了绩效自评，其中，以填报目标自评表形式开展自评</w:t>
      </w:r>
      <w:r>
        <w:rPr>
          <w:rFonts w:hint="eastAsia" w:ascii="Times New Roman" w:hAnsi="Times New Roman" w:eastAsia="方正仿宋_GBK" w:cs="宋体"/>
          <w:color w:val="auto"/>
          <w:kern w:val="0"/>
          <w:sz w:val="32"/>
          <w:szCs w:val="32"/>
          <w:highlight w:val="none"/>
          <w:lang w:val="en-US" w:eastAsia="zh-CN"/>
        </w:rPr>
        <w:t>26</w:t>
      </w:r>
      <w:r>
        <w:rPr>
          <w:rFonts w:hint="eastAsia" w:ascii="Times New Roman" w:hAnsi="Times New Roman" w:eastAsia="方正仿宋_GBK" w:cs="宋体"/>
          <w:color w:val="auto"/>
          <w:kern w:val="0"/>
          <w:sz w:val="32"/>
          <w:szCs w:val="32"/>
          <w:highlight w:val="none"/>
        </w:rPr>
        <w:t>项，涉及资金</w:t>
      </w:r>
      <w:r>
        <w:rPr>
          <w:rFonts w:hint="eastAsia" w:ascii="Times New Roman" w:hAnsi="Times New Roman" w:eastAsia="方正仿宋_GBK" w:cs="宋体"/>
          <w:color w:val="auto"/>
          <w:kern w:val="0"/>
          <w:sz w:val="32"/>
          <w:szCs w:val="32"/>
          <w:highlight w:val="none"/>
          <w:lang w:val="en-US" w:eastAsia="zh-CN"/>
        </w:rPr>
        <w:t>3668.69</w:t>
      </w:r>
      <w:r>
        <w:rPr>
          <w:rFonts w:hint="eastAsia" w:ascii="Times New Roman" w:hAnsi="Times New Roman" w:eastAsia="方正仿宋_GBK" w:cs="宋体"/>
          <w:color w:val="auto"/>
          <w:kern w:val="0"/>
          <w:sz w:val="32"/>
          <w:szCs w:val="32"/>
          <w:highlight w:val="none"/>
        </w:rPr>
        <w:t>万元</w:t>
      </w:r>
      <w:r>
        <w:rPr>
          <w:rFonts w:hint="eastAsia" w:ascii="Times New Roman" w:hAnsi="Times New Roman" w:eastAsia="方正仿宋_GBK" w:cs="宋体"/>
          <w:color w:val="auto"/>
          <w:kern w:val="0"/>
          <w:sz w:val="32"/>
          <w:szCs w:val="32"/>
          <w:highlight w:val="none"/>
          <w:lang w:eastAsia="zh-CN"/>
        </w:rPr>
        <w:t>。</w:t>
      </w:r>
      <w:r>
        <w:rPr>
          <w:rFonts w:hint="eastAsia" w:ascii="Times New Roman" w:hAnsi="Times New Roman" w:eastAsia="方正仿宋_GBK" w:cs="宋体"/>
          <w:color w:val="auto"/>
          <w:kern w:val="0"/>
          <w:sz w:val="32"/>
          <w:szCs w:val="32"/>
          <w:highlight w:val="none"/>
        </w:rPr>
        <w:t>从评价情况来看，</w:t>
      </w:r>
      <w:r>
        <w:rPr>
          <w:rFonts w:hint="eastAsia" w:ascii="Times New Roman" w:hAnsi="Times New Roman" w:eastAsia="方正仿宋_GBK" w:cs="方正仿宋_GBK"/>
          <w:color w:val="auto"/>
          <w:sz w:val="32"/>
          <w:szCs w:val="32"/>
          <w:highlight w:val="none"/>
          <w:lang w:eastAsia="zh-CN"/>
        </w:rPr>
        <w:t>项目均达到了项目申报时设定的各项绩效目标。</w:t>
      </w:r>
      <w:r>
        <w:rPr>
          <w:rFonts w:hint="eastAsia" w:ascii="Times New Roman" w:hAnsi="Times New Roman" w:eastAsia="方正仿宋_GBK" w:cs="宋体"/>
          <w:color w:val="auto"/>
          <w:kern w:val="0"/>
          <w:sz w:val="32"/>
          <w:szCs w:val="32"/>
          <w:highlight w:val="none"/>
        </w:rPr>
        <w:t>。</w:t>
      </w:r>
    </w:p>
    <w:p w14:paraId="12045BA2">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firstLine="640" w:firstLineChars="200"/>
        <w:textAlignment w:val="auto"/>
        <w:rPr>
          <w:rStyle w:val="10"/>
          <w:rFonts w:hint="eastAsia" w:ascii="Times New Roman" w:hAnsi="Times New Roman" w:eastAsia="方正楷体_GBK" w:cs="方正楷体_GBK"/>
          <w:b w:val="0"/>
          <w:bCs w:val="0"/>
          <w:color w:val="auto"/>
          <w:kern w:val="0"/>
          <w:sz w:val="32"/>
          <w:szCs w:val="32"/>
          <w:highlight w:val="none"/>
          <w:lang w:val="en-US" w:eastAsia="zh-CN" w:bidi="ar-SA"/>
        </w:rPr>
      </w:pPr>
      <w:r>
        <w:rPr>
          <w:rStyle w:val="10"/>
          <w:rFonts w:hint="eastAsia" w:ascii="Times New Roman" w:hAnsi="Times New Roman" w:eastAsia="方正楷体_GBK" w:cs="方正楷体_GBK"/>
          <w:b w:val="0"/>
          <w:bCs w:val="0"/>
          <w:color w:val="auto"/>
          <w:kern w:val="0"/>
          <w:sz w:val="32"/>
          <w:szCs w:val="32"/>
          <w:highlight w:val="none"/>
          <w:lang w:val="en-US" w:eastAsia="zh-CN" w:bidi="ar-SA"/>
        </w:rPr>
        <w:t>（二）绩效自评结果</w:t>
      </w:r>
    </w:p>
    <w:p w14:paraId="55278CCD">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afterAutospacing="0" w:line="594" w:lineRule="exact"/>
        <w:ind w:firstLine="640" w:firstLineChars="200"/>
        <w:jc w:val="both"/>
        <w:textAlignment w:val="auto"/>
        <w:rPr>
          <w:rFonts w:hint="eastAsia" w:ascii="Times New Roman" w:hAnsi="Times New Roman" w:eastAsia="方正仿宋_GBK" w:cs="方正仿宋_GBK"/>
          <w:color w:val="auto"/>
          <w:kern w:val="0"/>
          <w:sz w:val="32"/>
          <w:szCs w:val="32"/>
          <w:highlight w:val="none"/>
          <w:lang w:val="en-US" w:eastAsia="zh-CN" w:bidi="ar-SA"/>
        </w:rPr>
      </w:pPr>
      <w:r>
        <w:rPr>
          <w:rFonts w:hint="eastAsia" w:ascii="Times New Roman" w:hAnsi="Times New Roman" w:eastAsia="方正仿宋_GBK" w:cs="宋体"/>
          <w:color w:val="auto"/>
          <w:kern w:val="0"/>
          <w:sz w:val="32"/>
          <w:szCs w:val="32"/>
          <w:highlight w:val="none"/>
          <w:lang w:val="en-US" w:eastAsia="zh-CN" w:bidi="ar-SA"/>
        </w:rPr>
        <w:t>1.</w:t>
      </w:r>
      <w:r>
        <w:rPr>
          <w:rFonts w:hint="eastAsia" w:ascii="Times New Roman" w:hAnsi="Times New Roman" w:eastAsia="方正仿宋_GBK" w:cs="宋体"/>
          <w:color w:val="auto"/>
          <w:kern w:val="0"/>
          <w:sz w:val="32"/>
          <w:szCs w:val="32"/>
          <w:highlight w:val="none"/>
          <w:lang w:val="en-US" w:eastAsia="zh-CN"/>
        </w:rPr>
        <w:t>2020</w:t>
      </w:r>
      <w:r>
        <w:rPr>
          <w:rFonts w:hint="eastAsia" w:ascii="Times New Roman" w:hAnsi="Times New Roman" w:eastAsia="方正仿宋_GBK" w:cs="方正仿宋_GBK"/>
          <w:color w:val="auto"/>
          <w:kern w:val="0"/>
          <w:sz w:val="32"/>
          <w:szCs w:val="32"/>
          <w:highlight w:val="none"/>
          <w:lang w:eastAsia="zh-CN"/>
        </w:rPr>
        <w:t>年</w:t>
      </w:r>
      <w:r>
        <w:rPr>
          <w:rFonts w:hint="eastAsia" w:ascii="Times New Roman" w:hAnsi="Times New Roman" w:eastAsia="方正仿宋_GBK" w:cs="方正仿宋_GBK"/>
          <w:color w:val="auto"/>
          <w:kern w:val="0"/>
          <w:sz w:val="32"/>
          <w:szCs w:val="32"/>
          <w:highlight w:val="none"/>
          <w:lang w:val="en-US" w:eastAsia="zh-CN"/>
        </w:rPr>
        <w:t>南岸区交通枢纽</w:t>
      </w:r>
      <w:r>
        <w:rPr>
          <w:rFonts w:hint="eastAsia" w:ascii="Times New Roman" w:hAnsi="Times New Roman" w:eastAsia="方正仿宋_GBK" w:cs="方正仿宋_GBK"/>
          <w:color w:val="auto"/>
          <w:kern w:val="0"/>
          <w:sz w:val="32"/>
          <w:szCs w:val="32"/>
          <w:highlight w:val="none"/>
          <w:lang w:eastAsia="zh-CN"/>
        </w:rPr>
        <w:t>抗疫</w:t>
      </w:r>
      <w:r>
        <w:rPr>
          <w:rFonts w:hint="eastAsia" w:ascii="Times New Roman" w:hAnsi="Times New Roman" w:eastAsia="方正仿宋_GBK" w:cs="方正仿宋_GBK"/>
          <w:color w:val="auto"/>
          <w:kern w:val="0"/>
          <w:sz w:val="32"/>
          <w:szCs w:val="32"/>
          <w:highlight w:val="none"/>
          <w:lang w:val="en-US" w:eastAsia="zh-CN"/>
        </w:rPr>
        <w:t>工作补助</w:t>
      </w:r>
      <w:r>
        <w:rPr>
          <w:rFonts w:hint="eastAsia" w:ascii="Times New Roman" w:hAnsi="Times New Roman" w:eastAsia="方正仿宋_GBK" w:cs="方正仿宋_GBK"/>
          <w:color w:val="auto"/>
          <w:kern w:val="0"/>
          <w:sz w:val="32"/>
          <w:szCs w:val="32"/>
          <w:highlight w:val="none"/>
          <w:lang w:eastAsia="zh-CN"/>
        </w:rPr>
        <w:t>项目</w:t>
      </w:r>
      <w:r>
        <w:rPr>
          <w:rFonts w:hint="eastAsia" w:ascii="Times New Roman" w:hAnsi="Times New Roman" w:eastAsia="方正仿宋_GBK" w:cs="方正仿宋_GBK"/>
          <w:color w:val="auto"/>
          <w:kern w:val="0"/>
          <w:sz w:val="32"/>
          <w:szCs w:val="32"/>
          <w:highlight w:val="none"/>
          <w:lang w:val="en-US" w:eastAsia="zh-CN" w:bidi="ar-SA"/>
        </w:rPr>
        <w:t>绩效自评表</w:t>
      </w:r>
    </w:p>
    <w:p w14:paraId="68154316">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lang w:val="en-US" w:eastAsia="zh-CN"/>
        </w:rPr>
      </w:pPr>
      <w:r>
        <w:rPr>
          <w:rFonts w:hint="eastAsia" w:ascii="Times New Roman" w:hAnsi="Times New Roman" w:eastAsia="方正仿宋_GBK" w:cs="宋体"/>
          <w:color w:val="auto"/>
          <w:kern w:val="0"/>
          <w:sz w:val="32"/>
          <w:szCs w:val="32"/>
          <w:highlight w:val="none"/>
          <w:lang w:val="en-US" w:eastAsia="zh-CN"/>
        </w:rPr>
        <w:t>2020</w:t>
      </w:r>
      <w:r>
        <w:rPr>
          <w:rFonts w:hint="eastAsia" w:ascii="Times New Roman" w:hAnsi="Times New Roman" w:eastAsia="方正仿宋_GBK" w:cs="方正仿宋_GBK"/>
          <w:color w:val="auto"/>
          <w:kern w:val="0"/>
          <w:sz w:val="32"/>
          <w:szCs w:val="32"/>
          <w:highlight w:val="none"/>
          <w:lang w:eastAsia="zh-CN"/>
        </w:rPr>
        <w:t>年</w:t>
      </w:r>
      <w:r>
        <w:rPr>
          <w:rFonts w:hint="eastAsia" w:ascii="Times New Roman" w:hAnsi="Times New Roman" w:eastAsia="方正仿宋_GBK" w:cs="方正仿宋_GBK"/>
          <w:color w:val="auto"/>
          <w:kern w:val="0"/>
          <w:sz w:val="32"/>
          <w:szCs w:val="32"/>
          <w:highlight w:val="none"/>
          <w:lang w:val="en-US" w:eastAsia="zh-CN"/>
        </w:rPr>
        <w:t>南岸区交通枢纽</w:t>
      </w:r>
      <w:r>
        <w:rPr>
          <w:rFonts w:hint="eastAsia" w:ascii="Times New Roman" w:hAnsi="Times New Roman" w:eastAsia="方正仿宋_GBK" w:cs="方正仿宋_GBK"/>
          <w:color w:val="auto"/>
          <w:kern w:val="0"/>
          <w:sz w:val="32"/>
          <w:szCs w:val="32"/>
          <w:highlight w:val="none"/>
          <w:lang w:eastAsia="zh-CN"/>
        </w:rPr>
        <w:t>抗疫</w:t>
      </w:r>
      <w:r>
        <w:rPr>
          <w:rFonts w:hint="eastAsia" w:ascii="Times New Roman" w:hAnsi="Times New Roman" w:eastAsia="方正仿宋_GBK" w:cs="方正仿宋_GBK"/>
          <w:color w:val="auto"/>
          <w:kern w:val="0"/>
          <w:sz w:val="32"/>
          <w:szCs w:val="32"/>
          <w:highlight w:val="none"/>
          <w:lang w:val="en-US" w:eastAsia="zh-CN"/>
        </w:rPr>
        <w:t>工作补助</w:t>
      </w:r>
      <w:r>
        <w:rPr>
          <w:rFonts w:hint="eastAsia" w:ascii="Times New Roman" w:hAnsi="Times New Roman" w:eastAsia="方正仿宋_GBK" w:cs="方正仿宋_GBK"/>
          <w:color w:val="auto"/>
          <w:kern w:val="0"/>
          <w:sz w:val="32"/>
          <w:szCs w:val="32"/>
          <w:highlight w:val="none"/>
          <w:lang w:eastAsia="zh-CN"/>
        </w:rPr>
        <w:t>项目绩效目标自评综述：</w:t>
      </w:r>
      <w:r>
        <w:rPr>
          <w:rFonts w:hint="eastAsia" w:ascii="Times New Roman" w:hAnsi="Times New Roman" w:eastAsia="方正仿宋_GBK" w:cs="方正仿宋_GBK"/>
          <w:color w:val="auto"/>
          <w:sz w:val="32"/>
          <w:szCs w:val="32"/>
          <w:highlight w:val="none"/>
        </w:rPr>
        <w:t>2020年新冠疫情期间，江南换乘枢纽站和重庆迅为四公里交通换乘枢纽有限公司作为重要交通场站开展防疫工作，</w:t>
      </w:r>
      <w:r>
        <w:rPr>
          <w:rFonts w:hint="eastAsia" w:ascii="Times New Roman" w:hAnsi="Times New Roman" w:eastAsia="方正仿宋_GBK" w:cs="方正仿宋_GBK"/>
          <w:color w:val="auto"/>
          <w:sz w:val="32"/>
          <w:szCs w:val="32"/>
          <w:highlight w:val="none"/>
          <w:lang w:val="en-US" w:eastAsia="zh-CN"/>
        </w:rPr>
        <w:t>为支持企业开展交通防疫工作，企业减轻防疫支出压力，</w:t>
      </w:r>
      <w:r>
        <w:rPr>
          <w:rFonts w:hint="eastAsia" w:ascii="Times New Roman" w:hAnsi="Times New Roman" w:eastAsia="方正仿宋_GBK" w:cs="方正仿宋_GBK"/>
          <w:color w:val="auto"/>
          <w:sz w:val="32"/>
          <w:szCs w:val="32"/>
          <w:highlight w:val="none"/>
        </w:rPr>
        <w:t>对两个枢纽站给予支出补助</w:t>
      </w:r>
      <w:r>
        <w:rPr>
          <w:rFonts w:hint="eastAsia" w:ascii="Times New Roman" w:hAnsi="Times New Roman" w:eastAsia="方正仿宋_GBK" w:cs="方正仿宋_GBK"/>
          <w:color w:val="auto"/>
          <w:kern w:val="0"/>
          <w:sz w:val="32"/>
          <w:szCs w:val="32"/>
          <w:highlight w:val="none"/>
          <w:lang w:eastAsia="zh-CN"/>
        </w:rPr>
        <w:t>。该项目预算拨款</w:t>
      </w:r>
      <w:r>
        <w:rPr>
          <w:rFonts w:hint="eastAsia" w:ascii="Times New Roman" w:hAnsi="Times New Roman" w:eastAsia="方正仿宋_GBK" w:cs="宋体"/>
          <w:color w:val="auto"/>
          <w:kern w:val="0"/>
          <w:sz w:val="32"/>
          <w:szCs w:val="32"/>
          <w:highlight w:val="none"/>
          <w:lang w:val="en-US" w:eastAsia="zh-CN"/>
        </w:rPr>
        <w:t>100</w:t>
      </w:r>
      <w:r>
        <w:rPr>
          <w:rFonts w:hint="eastAsia" w:ascii="Times New Roman" w:hAnsi="Times New Roman" w:eastAsia="方正仿宋_GBK" w:cs="方正仿宋_GBK"/>
          <w:color w:val="auto"/>
          <w:kern w:val="0"/>
          <w:sz w:val="32"/>
          <w:szCs w:val="32"/>
          <w:highlight w:val="none"/>
          <w:lang w:eastAsia="zh-CN"/>
        </w:rPr>
        <w:t>万元，执行数为</w:t>
      </w:r>
      <w:r>
        <w:rPr>
          <w:rFonts w:hint="eastAsia" w:ascii="Times New Roman" w:hAnsi="Times New Roman" w:eastAsia="方正仿宋_GBK" w:cs="宋体"/>
          <w:color w:val="auto"/>
          <w:kern w:val="0"/>
          <w:sz w:val="32"/>
          <w:szCs w:val="32"/>
          <w:highlight w:val="none"/>
          <w:lang w:val="en-US" w:eastAsia="zh-CN"/>
        </w:rPr>
        <w:t>100</w:t>
      </w:r>
      <w:r>
        <w:rPr>
          <w:rFonts w:hint="eastAsia" w:ascii="Times New Roman" w:hAnsi="Times New Roman" w:eastAsia="方正仿宋_GBK" w:cs="方正仿宋_GBK"/>
          <w:color w:val="auto"/>
          <w:kern w:val="0"/>
          <w:sz w:val="32"/>
          <w:szCs w:val="32"/>
          <w:highlight w:val="none"/>
          <w:lang w:eastAsia="zh-CN"/>
        </w:rPr>
        <w:t>万元，资金执行率</w:t>
      </w:r>
      <w:r>
        <w:rPr>
          <w:rFonts w:hint="default" w:ascii="Times New Roman" w:hAnsi="Times New Roman" w:eastAsia="方正仿宋_GBK" w:cs="宋体"/>
          <w:color w:val="auto"/>
          <w:kern w:val="0"/>
          <w:sz w:val="32"/>
          <w:szCs w:val="32"/>
          <w:highlight w:val="none"/>
          <w:lang w:val="en-US"/>
        </w:rPr>
        <w:t>100%</w:t>
      </w:r>
      <w:r>
        <w:rPr>
          <w:rFonts w:hint="eastAsia" w:ascii="Times New Roman" w:hAnsi="Times New Roman" w:eastAsia="方正仿宋_GBK" w:cs="方正仿宋_GBK"/>
          <w:color w:val="auto"/>
          <w:kern w:val="0"/>
          <w:sz w:val="32"/>
          <w:szCs w:val="32"/>
          <w:highlight w:val="none"/>
          <w:lang w:eastAsia="zh-CN"/>
        </w:rPr>
        <w:t>。该项工作</w:t>
      </w:r>
      <w:r>
        <w:rPr>
          <w:rFonts w:hint="eastAsia" w:ascii="Times New Roman" w:hAnsi="Times New Roman" w:eastAsia="方正仿宋_GBK" w:cs="方正仿宋_GBK"/>
          <w:color w:val="auto"/>
          <w:sz w:val="32"/>
          <w:szCs w:val="32"/>
          <w:highlight w:val="none"/>
          <w:lang w:val="en-US" w:eastAsia="zh-CN"/>
        </w:rPr>
        <w:t>切实为企业开展交通防疫工作减轻了经济负担，为群众安全出行提供了保障。</w:t>
      </w:r>
    </w:p>
    <w:tbl>
      <w:tblPr>
        <w:tblStyle w:val="8"/>
        <w:tblW w:w="8752" w:type="dxa"/>
        <w:tblInd w:w="135" w:type="dxa"/>
        <w:tblLayout w:type="fixed"/>
        <w:tblCellMar>
          <w:top w:w="0" w:type="dxa"/>
          <w:left w:w="108" w:type="dxa"/>
          <w:bottom w:w="0" w:type="dxa"/>
          <w:right w:w="108" w:type="dxa"/>
        </w:tblCellMar>
      </w:tblPr>
      <w:tblGrid>
        <w:gridCol w:w="638"/>
        <w:gridCol w:w="1185"/>
        <w:gridCol w:w="641"/>
        <w:gridCol w:w="598"/>
        <w:gridCol w:w="845"/>
        <w:gridCol w:w="815"/>
        <w:gridCol w:w="798"/>
        <w:gridCol w:w="779"/>
        <w:gridCol w:w="1005"/>
        <w:gridCol w:w="816"/>
        <w:gridCol w:w="632"/>
      </w:tblGrid>
      <w:tr w14:paraId="7CD2C433">
        <w:tblPrEx>
          <w:tblCellMar>
            <w:top w:w="0" w:type="dxa"/>
            <w:left w:w="108" w:type="dxa"/>
            <w:bottom w:w="0" w:type="dxa"/>
            <w:right w:w="108" w:type="dxa"/>
          </w:tblCellMar>
        </w:tblPrEx>
        <w:trPr>
          <w:trHeight w:val="601" w:hRule="atLeast"/>
        </w:trPr>
        <w:tc>
          <w:tcPr>
            <w:tcW w:w="8752" w:type="dxa"/>
            <w:gridSpan w:val="11"/>
            <w:tcBorders>
              <w:top w:val="nil"/>
              <w:left w:val="nil"/>
              <w:bottom w:val="nil"/>
              <w:right w:val="nil"/>
            </w:tcBorders>
            <w:shd w:val="clear" w:color="auto" w:fill="auto"/>
            <w:vAlign w:val="center"/>
          </w:tcPr>
          <w:p w14:paraId="107BEA2D">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小标宋_GBK"/>
                <w:color w:val="auto"/>
                <w:sz w:val="36"/>
                <w:szCs w:val="36"/>
                <w:highlight w:val="none"/>
              </w:rPr>
            </w:pPr>
          </w:p>
        </w:tc>
      </w:tr>
      <w:tr w14:paraId="01E3C211">
        <w:tblPrEx>
          <w:tblCellMar>
            <w:top w:w="0" w:type="dxa"/>
            <w:left w:w="108" w:type="dxa"/>
            <w:bottom w:w="0" w:type="dxa"/>
            <w:right w:w="108" w:type="dxa"/>
          </w:tblCellMar>
        </w:tblPrEx>
        <w:trPr>
          <w:trHeight w:val="601" w:hRule="atLeast"/>
        </w:trPr>
        <w:tc>
          <w:tcPr>
            <w:tcW w:w="8752" w:type="dxa"/>
            <w:gridSpan w:val="11"/>
            <w:tcBorders>
              <w:top w:val="nil"/>
              <w:left w:val="nil"/>
              <w:bottom w:val="nil"/>
              <w:right w:val="nil"/>
            </w:tcBorders>
            <w:shd w:val="clear" w:color="auto" w:fill="auto"/>
            <w:vAlign w:val="center"/>
          </w:tcPr>
          <w:p w14:paraId="10C2689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小标宋_GBK"/>
                <w:color w:val="auto"/>
                <w:sz w:val="36"/>
                <w:szCs w:val="36"/>
                <w:highlight w:val="none"/>
              </w:rPr>
            </w:pPr>
            <w:r>
              <w:rPr>
                <w:rFonts w:hint="eastAsia" w:ascii="Times New Roman" w:hAnsi="Times New Roman" w:eastAsia="方正小标宋_GBK"/>
                <w:color w:val="auto"/>
                <w:sz w:val="36"/>
                <w:szCs w:val="36"/>
                <w:highlight w:val="none"/>
              </w:rPr>
              <w:t>一级项目绩效自评表</w:t>
            </w:r>
          </w:p>
        </w:tc>
      </w:tr>
      <w:tr w14:paraId="3DE436D7">
        <w:tblPrEx>
          <w:tblCellMar>
            <w:top w:w="0" w:type="dxa"/>
            <w:left w:w="108" w:type="dxa"/>
            <w:bottom w:w="0" w:type="dxa"/>
            <w:right w:w="108" w:type="dxa"/>
          </w:tblCellMar>
        </w:tblPrEx>
        <w:trPr>
          <w:trHeight w:val="705" w:hRule="atLeast"/>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79AFE8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项目名称</w:t>
            </w:r>
          </w:p>
        </w:tc>
        <w:tc>
          <w:tcPr>
            <w:tcW w:w="1826" w:type="dxa"/>
            <w:gridSpan w:val="2"/>
            <w:tcBorders>
              <w:top w:val="single" w:color="auto" w:sz="4" w:space="0"/>
              <w:left w:val="nil"/>
              <w:bottom w:val="single" w:color="auto" w:sz="4" w:space="0"/>
              <w:right w:val="single" w:color="000000" w:sz="4" w:space="0"/>
            </w:tcBorders>
            <w:shd w:val="clear" w:color="auto" w:fill="auto"/>
            <w:vAlign w:val="center"/>
          </w:tcPr>
          <w:p w14:paraId="1CB75DB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2020年</w:t>
            </w:r>
            <w:r>
              <w:rPr>
                <w:rFonts w:hint="eastAsia" w:ascii="Times New Roman" w:hAnsi="Times New Roman" w:eastAsia="方正仿宋_GBK"/>
                <w:color w:val="auto"/>
                <w:sz w:val="18"/>
                <w:szCs w:val="18"/>
                <w:highlight w:val="none"/>
                <w:lang w:val="en-US" w:eastAsia="zh-CN"/>
              </w:rPr>
              <w:t>南岸区交通枢纽</w:t>
            </w:r>
            <w:r>
              <w:rPr>
                <w:rFonts w:hint="eastAsia" w:ascii="Times New Roman" w:hAnsi="Times New Roman" w:eastAsia="方正仿宋_GBK"/>
                <w:color w:val="auto"/>
                <w:sz w:val="18"/>
                <w:szCs w:val="18"/>
                <w:highlight w:val="none"/>
              </w:rPr>
              <w:t>抗疫</w:t>
            </w:r>
            <w:r>
              <w:rPr>
                <w:rFonts w:hint="eastAsia" w:ascii="Times New Roman" w:hAnsi="Times New Roman" w:eastAsia="方正仿宋_GBK"/>
                <w:color w:val="auto"/>
                <w:sz w:val="18"/>
                <w:szCs w:val="18"/>
                <w:highlight w:val="none"/>
                <w:lang w:val="en-US" w:eastAsia="zh-CN"/>
              </w:rPr>
              <w:t>工作补助</w:t>
            </w:r>
            <w:r>
              <w:rPr>
                <w:rFonts w:hint="eastAsia" w:ascii="Times New Roman" w:hAnsi="Times New Roman" w:eastAsia="方正仿宋_GBK"/>
                <w:color w:val="auto"/>
                <w:sz w:val="18"/>
                <w:szCs w:val="18"/>
                <w:highlight w:val="none"/>
              </w:rPr>
              <w:t>　</w:t>
            </w:r>
          </w:p>
        </w:tc>
        <w:tc>
          <w:tcPr>
            <w:tcW w:w="598" w:type="dxa"/>
            <w:tcBorders>
              <w:top w:val="single" w:color="auto" w:sz="4" w:space="0"/>
              <w:left w:val="nil"/>
              <w:bottom w:val="single" w:color="auto" w:sz="4" w:space="0"/>
              <w:right w:val="single" w:color="auto" w:sz="4" w:space="0"/>
            </w:tcBorders>
            <w:shd w:val="clear" w:color="auto" w:fill="auto"/>
            <w:vAlign w:val="center"/>
          </w:tcPr>
          <w:p w14:paraId="17FBAE7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项目编码</w:t>
            </w:r>
          </w:p>
        </w:tc>
        <w:tc>
          <w:tcPr>
            <w:tcW w:w="1660" w:type="dxa"/>
            <w:gridSpan w:val="2"/>
            <w:tcBorders>
              <w:top w:val="single" w:color="auto" w:sz="4" w:space="0"/>
              <w:left w:val="nil"/>
              <w:bottom w:val="single" w:color="auto" w:sz="4" w:space="0"/>
              <w:right w:val="single" w:color="000000" w:sz="4" w:space="0"/>
            </w:tcBorders>
            <w:shd w:val="clear" w:color="auto" w:fill="auto"/>
            <w:vAlign w:val="center"/>
          </w:tcPr>
          <w:p w14:paraId="672CBA9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2020B1101　</w:t>
            </w:r>
          </w:p>
        </w:tc>
        <w:tc>
          <w:tcPr>
            <w:tcW w:w="798" w:type="dxa"/>
            <w:tcBorders>
              <w:top w:val="single" w:color="auto" w:sz="4" w:space="0"/>
              <w:left w:val="nil"/>
              <w:bottom w:val="single" w:color="auto" w:sz="4" w:space="0"/>
              <w:right w:val="single" w:color="auto" w:sz="4" w:space="0"/>
            </w:tcBorders>
            <w:shd w:val="clear" w:color="auto" w:fill="auto"/>
            <w:vAlign w:val="center"/>
          </w:tcPr>
          <w:p w14:paraId="73A834D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自评总分</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14:paraId="05122A4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r>
      <w:tr w14:paraId="64F91C4E">
        <w:tblPrEx>
          <w:tblCellMar>
            <w:top w:w="0" w:type="dxa"/>
            <w:left w:w="108" w:type="dxa"/>
            <w:bottom w:w="0" w:type="dxa"/>
            <w:right w:w="108" w:type="dxa"/>
          </w:tblCellMar>
        </w:tblPrEx>
        <w:trPr>
          <w:trHeight w:val="601" w:hRule="atLeast"/>
        </w:trPr>
        <w:tc>
          <w:tcPr>
            <w:tcW w:w="638" w:type="dxa"/>
            <w:tcBorders>
              <w:top w:val="nil"/>
              <w:left w:val="single" w:color="auto" w:sz="4" w:space="0"/>
              <w:bottom w:val="single" w:color="auto" w:sz="4" w:space="0"/>
              <w:right w:val="single" w:color="auto" w:sz="4" w:space="0"/>
            </w:tcBorders>
            <w:shd w:val="clear" w:color="auto" w:fill="auto"/>
            <w:vAlign w:val="center"/>
          </w:tcPr>
          <w:p w14:paraId="3C72F32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主管部门</w:t>
            </w:r>
          </w:p>
        </w:tc>
        <w:tc>
          <w:tcPr>
            <w:tcW w:w="1826" w:type="dxa"/>
            <w:gridSpan w:val="2"/>
            <w:tcBorders>
              <w:top w:val="single" w:color="auto" w:sz="4" w:space="0"/>
              <w:left w:val="nil"/>
              <w:bottom w:val="single" w:color="auto" w:sz="4" w:space="0"/>
              <w:right w:val="single" w:color="000000" w:sz="4" w:space="0"/>
            </w:tcBorders>
            <w:shd w:val="clear" w:color="auto" w:fill="auto"/>
            <w:vAlign w:val="center"/>
          </w:tcPr>
          <w:p w14:paraId="717902D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重庆市南岸区交通局　</w:t>
            </w:r>
          </w:p>
        </w:tc>
        <w:tc>
          <w:tcPr>
            <w:tcW w:w="598" w:type="dxa"/>
            <w:tcBorders>
              <w:top w:val="nil"/>
              <w:left w:val="nil"/>
              <w:bottom w:val="single" w:color="auto" w:sz="4" w:space="0"/>
              <w:right w:val="single" w:color="auto" w:sz="4" w:space="0"/>
            </w:tcBorders>
            <w:shd w:val="clear" w:color="auto" w:fill="auto"/>
            <w:vAlign w:val="center"/>
          </w:tcPr>
          <w:p w14:paraId="7BF0EFC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财政处室</w:t>
            </w:r>
          </w:p>
        </w:tc>
        <w:tc>
          <w:tcPr>
            <w:tcW w:w="1660" w:type="dxa"/>
            <w:gridSpan w:val="2"/>
            <w:tcBorders>
              <w:top w:val="single" w:color="auto" w:sz="4" w:space="0"/>
              <w:left w:val="nil"/>
              <w:bottom w:val="single" w:color="auto" w:sz="4" w:space="0"/>
              <w:right w:val="single" w:color="000000" w:sz="4" w:space="0"/>
            </w:tcBorders>
            <w:shd w:val="clear" w:color="auto" w:fill="auto"/>
            <w:vAlign w:val="center"/>
          </w:tcPr>
          <w:p w14:paraId="03AC5BF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经建科</w:t>
            </w:r>
            <w:r>
              <w:rPr>
                <w:rFonts w:hint="eastAsia" w:ascii="Times New Roman" w:hAnsi="Times New Roman" w:eastAsia="方正仿宋_GBK"/>
                <w:color w:val="auto"/>
                <w:sz w:val="18"/>
                <w:szCs w:val="18"/>
                <w:highlight w:val="none"/>
              </w:rPr>
              <w:t>　</w:t>
            </w:r>
          </w:p>
        </w:tc>
        <w:tc>
          <w:tcPr>
            <w:tcW w:w="798" w:type="dxa"/>
            <w:tcBorders>
              <w:top w:val="nil"/>
              <w:left w:val="nil"/>
              <w:bottom w:val="single" w:color="auto" w:sz="4" w:space="0"/>
              <w:right w:val="single" w:color="auto" w:sz="4" w:space="0"/>
            </w:tcBorders>
            <w:shd w:val="clear" w:color="auto" w:fill="auto"/>
            <w:vAlign w:val="center"/>
          </w:tcPr>
          <w:p w14:paraId="6184746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联系人</w:t>
            </w:r>
          </w:p>
        </w:tc>
        <w:tc>
          <w:tcPr>
            <w:tcW w:w="779" w:type="dxa"/>
            <w:tcBorders>
              <w:top w:val="nil"/>
              <w:left w:val="nil"/>
              <w:bottom w:val="single" w:color="auto" w:sz="4" w:space="0"/>
              <w:right w:val="single" w:color="auto" w:sz="4" w:space="0"/>
            </w:tcBorders>
            <w:shd w:val="clear" w:color="auto" w:fill="auto"/>
            <w:vAlign w:val="center"/>
          </w:tcPr>
          <w:p w14:paraId="308C004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罗海航</w:t>
            </w:r>
            <w:r>
              <w:rPr>
                <w:rFonts w:hint="eastAsia" w:ascii="Times New Roman" w:hAnsi="Times New Roman" w:eastAsia="方正仿宋_GBK"/>
                <w:color w:val="auto"/>
                <w:sz w:val="18"/>
                <w:szCs w:val="18"/>
                <w:highlight w:val="none"/>
              </w:rPr>
              <w:t>　</w:t>
            </w:r>
          </w:p>
        </w:tc>
        <w:tc>
          <w:tcPr>
            <w:tcW w:w="1005" w:type="dxa"/>
            <w:tcBorders>
              <w:top w:val="nil"/>
              <w:left w:val="nil"/>
              <w:bottom w:val="single" w:color="auto" w:sz="4" w:space="0"/>
              <w:right w:val="single" w:color="auto" w:sz="4" w:space="0"/>
            </w:tcBorders>
            <w:shd w:val="clear" w:color="auto" w:fill="auto"/>
            <w:vAlign w:val="center"/>
          </w:tcPr>
          <w:p w14:paraId="27FAB2F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联系电话</w:t>
            </w:r>
          </w:p>
        </w:tc>
        <w:tc>
          <w:tcPr>
            <w:tcW w:w="1448" w:type="dxa"/>
            <w:gridSpan w:val="2"/>
            <w:tcBorders>
              <w:top w:val="single" w:color="auto" w:sz="4" w:space="0"/>
              <w:left w:val="nil"/>
              <w:bottom w:val="single" w:color="auto" w:sz="4" w:space="0"/>
              <w:right w:val="single" w:color="000000" w:sz="4" w:space="0"/>
            </w:tcBorders>
            <w:shd w:val="clear" w:color="auto" w:fill="auto"/>
            <w:vAlign w:val="center"/>
          </w:tcPr>
          <w:p w14:paraId="0228084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62980730</w:t>
            </w:r>
            <w:r>
              <w:rPr>
                <w:rFonts w:hint="eastAsia" w:ascii="Times New Roman" w:hAnsi="Times New Roman" w:eastAsia="方正仿宋_GBK"/>
                <w:color w:val="auto"/>
                <w:sz w:val="18"/>
                <w:szCs w:val="18"/>
                <w:highlight w:val="none"/>
              </w:rPr>
              <w:t>　</w:t>
            </w:r>
          </w:p>
        </w:tc>
      </w:tr>
      <w:tr w14:paraId="7AB72858">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vAlign w:val="center"/>
          </w:tcPr>
          <w:p w14:paraId="4D0B1BF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项目资金（万元）</w:t>
            </w:r>
          </w:p>
        </w:tc>
        <w:tc>
          <w:tcPr>
            <w:tcW w:w="1185" w:type="dxa"/>
            <w:tcBorders>
              <w:top w:val="nil"/>
              <w:left w:val="nil"/>
              <w:bottom w:val="single" w:color="auto" w:sz="4" w:space="0"/>
              <w:right w:val="nil"/>
            </w:tcBorders>
            <w:shd w:val="clear" w:color="auto" w:fill="auto"/>
            <w:vAlign w:val="center"/>
          </w:tcPr>
          <w:p w14:paraId="4C66A11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123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8DB8DA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年初预算数</w:t>
            </w:r>
          </w:p>
        </w:tc>
        <w:tc>
          <w:tcPr>
            <w:tcW w:w="1660" w:type="dxa"/>
            <w:gridSpan w:val="2"/>
            <w:tcBorders>
              <w:top w:val="single" w:color="auto" w:sz="4" w:space="0"/>
              <w:left w:val="nil"/>
              <w:bottom w:val="single" w:color="auto" w:sz="4" w:space="0"/>
              <w:right w:val="single" w:color="auto" w:sz="4" w:space="0"/>
            </w:tcBorders>
            <w:shd w:val="clear" w:color="auto" w:fill="auto"/>
            <w:vAlign w:val="center"/>
          </w:tcPr>
          <w:p w14:paraId="0CADE4B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全年（调整）预算数</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2DC0115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全年执行数</w:t>
            </w:r>
          </w:p>
        </w:tc>
        <w:tc>
          <w:tcPr>
            <w:tcW w:w="1005" w:type="dxa"/>
            <w:tcBorders>
              <w:top w:val="nil"/>
              <w:left w:val="nil"/>
              <w:bottom w:val="single" w:color="auto" w:sz="4" w:space="0"/>
              <w:right w:val="single" w:color="auto" w:sz="4" w:space="0"/>
            </w:tcBorders>
            <w:shd w:val="clear" w:color="auto" w:fill="auto"/>
            <w:vAlign w:val="center"/>
          </w:tcPr>
          <w:p w14:paraId="561F0A5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w:t>
            </w:r>
          </w:p>
        </w:tc>
        <w:tc>
          <w:tcPr>
            <w:tcW w:w="816" w:type="dxa"/>
            <w:tcBorders>
              <w:top w:val="nil"/>
              <w:left w:val="nil"/>
              <w:bottom w:val="single" w:color="auto" w:sz="4" w:space="0"/>
              <w:right w:val="single" w:color="auto" w:sz="4" w:space="0"/>
            </w:tcBorders>
            <w:shd w:val="clear" w:color="auto" w:fill="auto"/>
            <w:vAlign w:val="center"/>
          </w:tcPr>
          <w:p w14:paraId="163E34E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权重</w:t>
            </w:r>
          </w:p>
        </w:tc>
        <w:tc>
          <w:tcPr>
            <w:tcW w:w="632" w:type="dxa"/>
            <w:tcBorders>
              <w:top w:val="nil"/>
              <w:left w:val="nil"/>
              <w:bottom w:val="single" w:color="auto" w:sz="4" w:space="0"/>
              <w:right w:val="single" w:color="auto" w:sz="4" w:space="0"/>
            </w:tcBorders>
            <w:shd w:val="clear" w:color="auto" w:fill="auto"/>
            <w:vAlign w:val="center"/>
          </w:tcPr>
          <w:p w14:paraId="7E38962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执行率得分</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r>
      <w:tr w14:paraId="0B7C96D3">
        <w:tblPrEx>
          <w:tblCellMar>
            <w:top w:w="0" w:type="dxa"/>
            <w:left w:w="108" w:type="dxa"/>
            <w:bottom w:w="0" w:type="dxa"/>
            <w:right w:w="108" w:type="dxa"/>
          </w:tblCellMar>
        </w:tblPrEx>
        <w:trPr>
          <w:cantSplit/>
          <w:trHeight w:val="601" w:hRule="atLeast"/>
        </w:trPr>
        <w:tc>
          <w:tcPr>
            <w:tcW w:w="638" w:type="dxa"/>
            <w:vMerge w:val="continue"/>
            <w:tcBorders>
              <w:top w:val="nil"/>
              <w:left w:val="single" w:color="auto" w:sz="4" w:space="0"/>
              <w:bottom w:val="single" w:color="auto" w:sz="4" w:space="0"/>
              <w:right w:val="single" w:color="auto" w:sz="4" w:space="0"/>
            </w:tcBorders>
            <w:vAlign w:val="center"/>
          </w:tcPr>
          <w:p w14:paraId="58001DC9">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5DFF3AD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年度总金额</w:t>
            </w:r>
          </w:p>
        </w:tc>
        <w:tc>
          <w:tcPr>
            <w:tcW w:w="123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7BA433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0</w:t>
            </w:r>
            <w:r>
              <w:rPr>
                <w:rFonts w:hint="eastAsia" w:ascii="Times New Roman" w:hAnsi="Times New Roman" w:eastAsia="方正仿宋_GBK"/>
                <w:color w:val="auto"/>
                <w:sz w:val="18"/>
                <w:szCs w:val="18"/>
                <w:highlight w:val="none"/>
              </w:rPr>
              <w:t>　</w:t>
            </w:r>
          </w:p>
        </w:tc>
        <w:tc>
          <w:tcPr>
            <w:tcW w:w="1660" w:type="dxa"/>
            <w:gridSpan w:val="2"/>
            <w:tcBorders>
              <w:top w:val="single" w:color="auto" w:sz="4" w:space="0"/>
              <w:left w:val="nil"/>
              <w:bottom w:val="single" w:color="auto" w:sz="4" w:space="0"/>
              <w:right w:val="single" w:color="auto" w:sz="4" w:space="0"/>
            </w:tcBorders>
            <w:shd w:val="clear" w:color="auto" w:fill="auto"/>
            <w:vAlign w:val="center"/>
          </w:tcPr>
          <w:p w14:paraId="5AFE776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0894021A">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rPr>
              <w:t>　</w:t>
            </w:r>
            <w:r>
              <w:rPr>
                <w:rFonts w:hint="eastAsia" w:ascii="Times New Roman" w:hAnsi="Times New Roman" w:eastAsia="方正仿宋_GBK"/>
                <w:color w:val="auto"/>
                <w:sz w:val="18"/>
                <w:szCs w:val="18"/>
                <w:highlight w:val="none"/>
                <w:lang w:val="en-US" w:eastAsia="zh-CN"/>
              </w:rPr>
              <w:t>100</w:t>
            </w:r>
          </w:p>
        </w:tc>
        <w:tc>
          <w:tcPr>
            <w:tcW w:w="1005" w:type="dxa"/>
            <w:tcBorders>
              <w:top w:val="nil"/>
              <w:left w:val="nil"/>
              <w:bottom w:val="single" w:color="auto" w:sz="4" w:space="0"/>
              <w:right w:val="single" w:color="auto" w:sz="4" w:space="0"/>
            </w:tcBorders>
            <w:shd w:val="clear" w:color="auto" w:fill="auto"/>
            <w:vAlign w:val="center"/>
          </w:tcPr>
          <w:p w14:paraId="17ABC63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6" w:type="dxa"/>
            <w:tcBorders>
              <w:top w:val="nil"/>
              <w:left w:val="nil"/>
              <w:bottom w:val="single" w:color="auto" w:sz="4" w:space="0"/>
              <w:right w:val="single" w:color="auto" w:sz="4" w:space="0"/>
            </w:tcBorders>
            <w:shd w:val="clear" w:color="auto" w:fill="auto"/>
            <w:vAlign w:val="center"/>
          </w:tcPr>
          <w:p w14:paraId="6F09955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c>
          <w:tcPr>
            <w:tcW w:w="632" w:type="dxa"/>
            <w:tcBorders>
              <w:top w:val="nil"/>
              <w:left w:val="nil"/>
              <w:bottom w:val="single" w:color="auto" w:sz="4" w:space="0"/>
              <w:right w:val="single" w:color="auto" w:sz="4" w:space="0"/>
            </w:tcBorders>
            <w:shd w:val="clear" w:color="auto" w:fill="auto"/>
            <w:vAlign w:val="center"/>
          </w:tcPr>
          <w:p w14:paraId="503421A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r>
      <w:tr w14:paraId="7C26BE81">
        <w:tblPrEx>
          <w:tblCellMar>
            <w:top w:w="0" w:type="dxa"/>
            <w:left w:w="108" w:type="dxa"/>
            <w:bottom w:w="0" w:type="dxa"/>
            <w:right w:w="108" w:type="dxa"/>
          </w:tblCellMar>
        </w:tblPrEx>
        <w:trPr>
          <w:cantSplit/>
          <w:trHeight w:val="601" w:hRule="atLeast"/>
        </w:trPr>
        <w:tc>
          <w:tcPr>
            <w:tcW w:w="638" w:type="dxa"/>
            <w:vMerge w:val="continue"/>
            <w:tcBorders>
              <w:top w:val="nil"/>
              <w:left w:val="single" w:color="auto" w:sz="4" w:space="0"/>
              <w:bottom w:val="single" w:color="auto" w:sz="4" w:space="0"/>
              <w:right w:val="single" w:color="auto" w:sz="4" w:space="0"/>
            </w:tcBorders>
            <w:vAlign w:val="center"/>
          </w:tcPr>
          <w:p w14:paraId="17391B74">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14B3D8F9">
            <w:pPr>
              <w:keepNext w:val="0"/>
              <w:keepLines w:val="0"/>
              <w:pageBreakBefore w:val="0"/>
              <w:widowControl w:val="0"/>
              <w:kinsoku/>
              <w:wordWrap w:val="0"/>
              <w:overflowPunct/>
              <w:topLinePunct w:val="0"/>
              <w:autoSpaceDE/>
              <w:autoSpaceDN/>
              <w:bidi w:val="0"/>
              <w:adjustRightInd/>
              <w:snapToGrid/>
              <w:jc w:val="right"/>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其中：区级支出</w:t>
            </w:r>
          </w:p>
        </w:tc>
        <w:tc>
          <w:tcPr>
            <w:tcW w:w="123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5477EE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0</w:t>
            </w:r>
            <w:r>
              <w:rPr>
                <w:rFonts w:hint="eastAsia" w:ascii="Times New Roman" w:hAnsi="Times New Roman" w:eastAsia="方正仿宋_GBK"/>
                <w:color w:val="auto"/>
                <w:sz w:val="18"/>
                <w:szCs w:val="18"/>
                <w:highlight w:val="none"/>
              </w:rPr>
              <w:t>　</w:t>
            </w:r>
          </w:p>
        </w:tc>
        <w:tc>
          <w:tcPr>
            <w:tcW w:w="1660" w:type="dxa"/>
            <w:gridSpan w:val="2"/>
            <w:tcBorders>
              <w:top w:val="single" w:color="auto" w:sz="4" w:space="0"/>
              <w:left w:val="nil"/>
              <w:bottom w:val="single" w:color="auto" w:sz="4" w:space="0"/>
              <w:right w:val="single" w:color="auto" w:sz="4" w:space="0"/>
            </w:tcBorders>
            <w:shd w:val="clear" w:color="auto" w:fill="auto"/>
            <w:vAlign w:val="center"/>
          </w:tcPr>
          <w:p w14:paraId="647A25F7">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rPr>
              <w:t>　</w:t>
            </w:r>
            <w:r>
              <w:rPr>
                <w:rFonts w:hint="eastAsia" w:ascii="Times New Roman" w:hAnsi="Times New Roman" w:eastAsia="方正仿宋_GBK"/>
                <w:color w:val="auto"/>
                <w:sz w:val="18"/>
                <w:szCs w:val="18"/>
                <w:highlight w:val="none"/>
                <w:lang w:val="en-US" w:eastAsia="zh-CN"/>
              </w:rPr>
              <w:t>100</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09287BD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005" w:type="dxa"/>
            <w:tcBorders>
              <w:top w:val="nil"/>
              <w:left w:val="nil"/>
              <w:bottom w:val="single" w:color="auto" w:sz="4" w:space="0"/>
              <w:right w:val="single" w:color="auto" w:sz="4" w:space="0"/>
            </w:tcBorders>
            <w:shd w:val="clear" w:color="auto" w:fill="auto"/>
            <w:vAlign w:val="center"/>
          </w:tcPr>
          <w:p w14:paraId="5E51A37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6" w:type="dxa"/>
            <w:tcBorders>
              <w:top w:val="nil"/>
              <w:left w:val="nil"/>
              <w:bottom w:val="single" w:color="auto" w:sz="4" w:space="0"/>
              <w:right w:val="single" w:color="auto" w:sz="4" w:space="0"/>
            </w:tcBorders>
            <w:shd w:val="clear" w:color="auto" w:fill="auto"/>
            <w:vAlign w:val="center"/>
          </w:tcPr>
          <w:p w14:paraId="35275DF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c>
          <w:tcPr>
            <w:tcW w:w="632" w:type="dxa"/>
            <w:tcBorders>
              <w:top w:val="nil"/>
              <w:left w:val="nil"/>
              <w:bottom w:val="single" w:color="auto" w:sz="4" w:space="0"/>
              <w:right w:val="single" w:color="auto" w:sz="4" w:space="0"/>
            </w:tcBorders>
            <w:shd w:val="clear" w:color="auto" w:fill="auto"/>
            <w:vAlign w:val="center"/>
          </w:tcPr>
          <w:p w14:paraId="1A34BEE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r>
      <w:tr w14:paraId="75371740">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vAlign w:val="center"/>
          </w:tcPr>
          <w:p w14:paraId="2A810EC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当年绩效目标</w:t>
            </w:r>
          </w:p>
        </w:tc>
        <w:tc>
          <w:tcPr>
            <w:tcW w:w="2424" w:type="dxa"/>
            <w:gridSpan w:val="3"/>
            <w:tcBorders>
              <w:top w:val="single" w:color="auto" w:sz="4" w:space="0"/>
              <w:left w:val="nil"/>
              <w:bottom w:val="single" w:color="auto" w:sz="4" w:space="0"/>
              <w:right w:val="single" w:color="000000" w:sz="4" w:space="0"/>
            </w:tcBorders>
            <w:shd w:val="clear" w:color="auto" w:fill="auto"/>
            <w:vAlign w:val="center"/>
          </w:tcPr>
          <w:p w14:paraId="67481BC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年初绩效目标</w:t>
            </w:r>
          </w:p>
        </w:tc>
        <w:tc>
          <w:tcPr>
            <w:tcW w:w="3237" w:type="dxa"/>
            <w:gridSpan w:val="4"/>
            <w:tcBorders>
              <w:top w:val="single" w:color="auto" w:sz="4" w:space="0"/>
              <w:left w:val="nil"/>
              <w:bottom w:val="single" w:color="auto" w:sz="4" w:space="0"/>
              <w:right w:val="single" w:color="000000" w:sz="4" w:space="0"/>
            </w:tcBorders>
            <w:shd w:val="clear" w:color="auto" w:fill="auto"/>
            <w:vAlign w:val="center"/>
          </w:tcPr>
          <w:p w14:paraId="1AB5AAA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全年（调整）绩效目标</w:t>
            </w:r>
          </w:p>
        </w:tc>
        <w:tc>
          <w:tcPr>
            <w:tcW w:w="2453" w:type="dxa"/>
            <w:gridSpan w:val="3"/>
            <w:tcBorders>
              <w:top w:val="single" w:color="auto" w:sz="4" w:space="0"/>
              <w:left w:val="nil"/>
              <w:bottom w:val="single" w:color="auto" w:sz="4" w:space="0"/>
              <w:right w:val="single" w:color="000000" w:sz="4" w:space="0"/>
            </w:tcBorders>
            <w:shd w:val="clear" w:color="auto" w:fill="auto"/>
            <w:vAlign w:val="center"/>
          </w:tcPr>
          <w:p w14:paraId="289FBF7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全年目标实际完成情况</w:t>
            </w:r>
          </w:p>
        </w:tc>
      </w:tr>
      <w:tr w14:paraId="132D6FFC">
        <w:tblPrEx>
          <w:tblCellMar>
            <w:top w:w="0" w:type="dxa"/>
            <w:left w:w="108" w:type="dxa"/>
            <w:bottom w:w="0" w:type="dxa"/>
            <w:right w:w="108" w:type="dxa"/>
          </w:tblCellMar>
        </w:tblPrEx>
        <w:trPr>
          <w:cantSplit/>
          <w:trHeight w:val="1352" w:hRule="atLeast"/>
        </w:trPr>
        <w:tc>
          <w:tcPr>
            <w:tcW w:w="638" w:type="dxa"/>
            <w:vMerge w:val="continue"/>
            <w:tcBorders>
              <w:top w:val="nil"/>
              <w:left w:val="single" w:color="auto" w:sz="4" w:space="0"/>
              <w:bottom w:val="single" w:color="auto" w:sz="4" w:space="0"/>
              <w:right w:val="single" w:color="auto" w:sz="4" w:space="0"/>
            </w:tcBorders>
            <w:vAlign w:val="center"/>
          </w:tcPr>
          <w:p w14:paraId="77256FA7">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2424" w:type="dxa"/>
            <w:gridSpan w:val="3"/>
            <w:tcBorders>
              <w:top w:val="single" w:color="auto" w:sz="4" w:space="0"/>
              <w:left w:val="nil"/>
              <w:bottom w:val="single" w:color="auto" w:sz="4" w:space="0"/>
              <w:right w:val="single" w:color="000000" w:sz="4" w:space="0"/>
            </w:tcBorders>
            <w:shd w:val="clear" w:color="auto" w:fill="auto"/>
            <w:vAlign w:val="center"/>
          </w:tcPr>
          <w:p w14:paraId="5AD42B0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对2020年新冠疫情期间开展防疫工作的两个重要交通枢纽站（江南换乘枢纽站和重庆迅为四公里交通换乘枢纽有限公司）给予支出补助。　</w:t>
            </w:r>
          </w:p>
        </w:tc>
        <w:tc>
          <w:tcPr>
            <w:tcW w:w="3237" w:type="dxa"/>
            <w:gridSpan w:val="4"/>
            <w:tcBorders>
              <w:top w:val="single" w:color="auto" w:sz="4" w:space="0"/>
              <w:left w:val="nil"/>
              <w:bottom w:val="single" w:color="auto" w:sz="4" w:space="0"/>
              <w:right w:val="single" w:color="000000" w:sz="4" w:space="0"/>
            </w:tcBorders>
            <w:shd w:val="clear" w:color="auto" w:fill="auto"/>
            <w:vAlign w:val="center"/>
          </w:tcPr>
          <w:p w14:paraId="0AFBAE8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对2020年新冠疫情期间开展防疫工作的两个重要交通枢纽站（江南换乘枢纽站和重庆迅为四公里交通换乘枢纽有限公司）给予支出补助。</w:t>
            </w:r>
          </w:p>
        </w:tc>
        <w:tc>
          <w:tcPr>
            <w:tcW w:w="2453" w:type="dxa"/>
            <w:gridSpan w:val="3"/>
            <w:tcBorders>
              <w:top w:val="single" w:color="auto" w:sz="4" w:space="0"/>
              <w:left w:val="nil"/>
              <w:bottom w:val="single" w:color="auto" w:sz="4" w:space="0"/>
              <w:right w:val="single" w:color="000000" w:sz="4" w:space="0"/>
            </w:tcBorders>
            <w:shd w:val="clear" w:color="auto" w:fill="auto"/>
            <w:vAlign w:val="center"/>
          </w:tcPr>
          <w:p w14:paraId="6E53B61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对2020年新冠疫情期间开展防疫工作的两个重要交通枢纽站（江南换乘枢纽站和重庆迅为四公里交通换乘枢纽有限公司）给予支出补助。</w:t>
            </w:r>
          </w:p>
        </w:tc>
      </w:tr>
      <w:tr w14:paraId="2ECC7161">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541767D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绩效指标</w:t>
            </w:r>
          </w:p>
        </w:tc>
        <w:tc>
          <w:tcPr>
            <w:tcW w:w="1185" w:type="dxa"/>
            <w:tcBorders>
              <w:top w:val="nil"/>
              <w:left w:val="nil"/>
              <w:bottom w:val="single" w:color="auto" w:sz="4" w:space="0"/>
              <w:right w:val="nil"/>
            </w:tcBorders>
            <w:shd w:val="clear" w:color="auto" w:fill="auto"/>
            <w:vAlign w:val="center"/>
          </w:tcPr>
          <w:p w14:paraId="739C79D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指标名称</w:t>
            </w:r>
          </w:p>
        </w:tc>
        <w:tc>
          <w:tcPr>
            <w:tcW w:w="641" w:type="dxa"/>
            <w:tcBorders>
              <w:top w:val="nil"/>
              <w:left w:val="single" w:color="auto" w:sz="4" w:space="0"/>
              <w:bottom w:val="single" w:color="auto" w:sz="4" w:space="0"/>
              <w:right w:val="single" w:color="auto" w:sz="4" w:space="0"/>
            </w:tcBorders>
            <w:shd w:val="clear" w:color="auto" w:fill="auto"/>
            <w:vAlign w:val="center"/>
          </w:tcPr>
          <w:p w14:paraId="733A872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计量</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单位</w:t>
            </w:r>
          </w:p>
        </w:tc>
        <w:tc>
          <w:tcPr>
            <w:tcW w:w="598" w:type="dxa"/>
            <w:tcBorders>
              <w:top w:val="nil"/>
              <w:left w:val="nil"/>
              <w:bottom w:val="single" w:color="auto" w:sz="4" w:space="0"/>
              <w:right w:val="single" w:color="auto" w:sz="4" w:space="0"/>
            </w:tcBorders>
            <w:shd w:val="clear" w:color="auto" w:fill="auto"/>
            <w:vAlign w:val="center"/>
          </w:tcPr>
          <w:p w14:paraId="60B0137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性质</w:t>
            </w:r>
          </w:p>
        </w:tc>
        <w:tc>
          <w:tcPr>
            <w:tcW w:w="845" w:type="dxa"/>
            <w:tcBorders>
              <w:top w:val="nil"/>
              <w:left w:val="nil"/>
              <w:bottom w:val="single" w:color="auto" w:sz="4" w:space="0"/>
              <w:right w:val="single" w:color="auto" w:sz="4" w:space="0"/>
            </w:tcBorders>
            <w:shd w:val="clear" w:color="auto" w:fill="auto"/>
            <w:vAlign w:val="center"/>
          </w:tcPr>
          <w:p w14:paraId="7FE39C5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指标值</w:t>
            </w:r>
          </w:p>
        </w:tc>
        <w:tc>
          <w:tcPr>
            <w:tcW w:w="815" w:type="dxa"/>
            <w:tcBorders>
              <w:top w:val="nil"/>
              <w:left w:val="nil"/>
              <w:bottom w:val="single" w:color="auto" w:sz="4" w:space="0"/>
              <w:right w:val="single" w:color="auto" w:sz="4" w:space="0"/>
            </w:tcBorders>
            <w:shd w:val="clear" w:color="auto" w:fill="auto"/>
            <w:vAlign w:val="center"/>
          </w:tcPr>
          <w:p w14:paraId="4C810BA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调整</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指标值</w:t>
            </w:r>
          </w:p>
        </w:tc>
        <w:tc>
          <w:tcPr>
            <w:tcW w:w="798" w:type="dxa"/>
            <w:tcBorders>
              <w:top w:val="nil"/>
              <w:left w:val="nil"/>
              <w:bottom w:val="single" w:color="auto" w:sz="4" w:space="0"/>
              <w:right w:val="single" w:color="auto" w:sz="4" w:space="0"/>
            </w:tcBorders>
            <w:shd w:val="clear" w:color="auto" w:fill="auto"/>
            <w:vAlign w:val="center"/>
          </w:tcPr>
          <w:p w14:paraId="4916C75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完成值</w:t>
            </w:r>
          </w:p>
        </w:tc>
        <w:tc>
          <w:tcPr>
            <w:tcW w:w="779" w:type="dxa"/>
            <w:tcBorders>
              <w:top w:val="nil"/>
              <w:left w:val="nil"/>
              <w:bottom w:val="single" w:color="auto" w:sz="4" w:space="0"/>
              <w:right w:val="single" w:color="auto" w:sz="4" w:space="0"/>
            </w:tcBorders>
            <w:shd w:val="clear" w:color="auto" w:fill="auto"/>
            <w:vAlign w:val="center"/>
          </w:tcPr>
          <w:p w14:paraId="6D0BA2D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得分</w:t>
            </w:r>
            <w:r>
              <w:rPr>
                <w:rFonts w:hint="eastAsia" w:ascii="Times New Roman" w:hAnsi="Times New Roman" w:eastAsia="方正仿宋_GBK"/>
                <w:color w:val="auto"/>
                <w:sz w:val="18"/>
                <w:szCs w:val="18"/>
                <w:highlight w:val="none"/>
                <w:lang w:val="en-US" w:eastAsia="zh-CN"/>
              </w:rPr>
              <w:t>系</w:t>
            </w:r>
            <w:r>
              <w:rPr>
                <w:rFonts w:hint="eastAsia" w:ascii="Times New Roman" w:hAnsi="Times New Roman" w:eastAsia="方正仿宋_GBK"/>
                <w:color w:val="auto"/>
                <w:sz w:val="18"/>
                <w:szCs w:val="18"/>
                <w:highlight w:val="none"/>
              </w:rPr>
              <w:t>数</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w:t>
            </w:r>
          </w:p>
        </w:tc>
        <w:tc>
          <w:tcPr>
            <w:tcW w:w="1005" w:type="dxa"/>
            <w:tcBorders>
              <w:top w:val="nil"/>
              <w:left w:val="nil"/>
              <w:bottom w:val="single" w:color="auto" w:sz="4" w:space="0"/>
              <w:right w:val="single" w:color="auto" w:sz="4" w:space="0"/>
            </w:tcBorders>
            <w:shd w:val="clear" w:color="auto" w:fill="auto"/>
            <w:vAlign w:val="center"/>
          </w:tcPr>
          <w:p w14:paraId="096C4A6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指标权重</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c>
          <w:tcPr>
            <w:tcW w:w="816" w:type="dxa"/>
            <w:tcBorders>
              <w:top w:val="nil"/>
              <w:left w:val="nil"/>
              <w:bottom w:val="single" w:color="auto" w:sz="4" w:space="0"/>
              <w:right w:val="single" w:color="auto" w:sz="4" w:space="0"/>
            </w:tcBorders>
            <w:shd w:val="clear" w:color="auto" w:fill="auto"/>
            <w:vAlign w:val="center"/>
          </w:tcPr>
          <w:p w14:paraId="15812AF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指标得分</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c>
          <w:tcPr>
            <w:tcW w:w="632" w:type="dxa"/>
            <w:tcBorders>
              <w:top w:val="nil"/>
              <w:left w:val="nil"/>
              <w:bottom w:val="single" w:color="auto" w:sz="4" w:space="0"/>
              <w:right w:val="single" w:color="auto" w:sz="4" w:space="0"/>
            </w:tcBorders>
            <w:shd w:val="clear" w:color="auto" w:fill="auto"/>
            <w:vAlign w:val="center"/>
          </w:tcPr>
          <w:p w14:paraId="668E36B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是否核心指标</w:t>
            </w:r>
          </w:p>
        </w:tc>
      </w:tr>
      <w:tr w14:paraId="5DC84AAF">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C499A63">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3EFF3B4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补助企业数　</w:t>
            </w:r>
          </w:p>
        </w:tc>
        <w:tc>
          <w:tcPr>
            <w:tcW w:w="641" w:type="dxa"/>
            <w:tcBorders>
              <w:top w:val="nil"/>
              <w:left w:val="single" w:color="auto" w:sz="4" w:space="0"/>
              <w:bottom w:val="single" w:color="auto" w:sz="4" w:space="0"/>
              <w:right w:val="nil"/>
            </w:tcBorders>
            <w:shd w:val="clear" w:color="auto" w:fill="auto"/>
            <w:vAlign w:val="center"/>
          </w:tcPr>
          <w:p w14:paraId="6E6EA06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家</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2CB02F8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r>
              <w:rPr>
                <w:rFonts w:hint="eastAsia" w:ascii="Times New Roman" w:hAnsi="Times New Roman" w:eastAsia="方正仿宋_GBK"/>
                <w:color w:val="auto"/>
                <w:sz w:val="18"/>
                <w:szCs w:val="18"/>
                <w:highlight w:val="none"/>
                <w:lang w:val="en-US" w:eastAsia="zh-CN"/>
              </w:rPr>
              <w:t>=</w:t>
            </w:r>
          </w:p>
        </w:tc>
        <w:tc>
          <w:tcPr>
            <w:tcW w:w="845" w:type="dxa"/>
            <w:tcBorders>
              <w:top w:val="nil"/>
              <w:left w:val="single" w:color="auto" w:sz="4" w:space="0"/>
              <w:bottom w:val="single" w:color="auto" w:sz="4" w:space="0"/>
              <w:right w:val="nil"/>
            </w:tcBorders>
            <w:shd w:val="clear" w:color="auto" w:fill="auto"/>
            <w:vAlign w:val="center"/>
          </w:tcPr>
          <w:p w14:paraId="1000E49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5BDC534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6DB42EA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3122BF8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341059D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816" w:type="dxa"/>
            <w:tcBorders>
              <w:top w:val="nil"/>
              <w:left w:val="single" w:color="auto" w:sz="4" w:space="0"/>
              <w:bottom w:val="single" w:color="auto" w:sz="4" w:space="0"/>
              <w:right w:val="nil"/>
            </w:tcBorders>
            <w:shd w:val="clear" w:color="auto" w:fill="auto"/>
            <w:vAlign w:val="center"/>
          </w:tcPr>
          <w:p w14:paraId="66F2F5B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44DF3D3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121BEAEE">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5246D0C5">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778DF47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补助效率　</w:t>
            </w:r>
          </w:p>
        </w:tc>
        <w:tc>
          <w:tcPr>
            <w:tcW w:w="641" w:type="dxa"/>
            <w:tcBorders>
              <w:top w:val="nil"/>
              <w:left w:val="single" w:color="auto" w:sz="4" w:space="0"/>
              <w:bottom w:val="single" w:color="auto" w:sz="4" w:space="0"/>
              <w:right w:val="nil"/>
            </w:tcBorders>
            <w:shd w:val="clear" w:color="auto" w:fill="auto"/>
            <w:vAlign w:val="center"/>
          </w:tcPr>
          <w:p w14:paraId="5BC3C29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7A13EAA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w:t>
            </w:r>
            <w:r>
              <w:rPr>
                <w:rFonts w:hint="eastAsia" w:ascii="Times New Roman" w:hAnsi="Times New Roman" w:eastAsia="方正仿宋_GBK"/>
                <w:color w:val="auto"/>
                <w:sz w:val="18"/>
                <w:szCs w:val="18"/>
                <w:highlight w:val="none"/>
              </w:rPr>
              <w:t>　</w:t>
            </w:r>
          </w:p>
        </w:tc>
        <w:tc>
          <w:tcPr>
            <w:tcW w:w="845" w:type="dxa"/>
            <w:tcBorders>
              <w:top w:val="nil"/>
              <w:left w:val="single" w:color="auto" w:sz="4" w:space="0"/>
              <w:bottom w:val="single" w:color="auto" w:sz="4" w:space="0"/>
              <w:right w:val="nil"/>
            </w:tcBorders>
            <w:shd w:val="clear" w:color="auto" w:fill="auto"/>
            <w:vAlign w:val="center"/>
          </w:tcPr>
          <w:p w14:paraId="56E5C88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50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565764E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0748E43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50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0BFD393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4E3F8652">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rPr>
              <w:t>　</w:t>
            </w:r>
            <w:r>
              <w:rPr>
                <w:rFonts w:hint="eastAsia" w:ascii="Times New Roman" w:hAnsi="Times New Roman" w:eastAsia="方正仿宋_GBK"/>
                <w:color w:val="auto"/>
                <w:sz w:val="18"/>
                <w:szCs w:val="18"/>
                <w:highlight w:val="none"/>
                <w:lang w:val="en-US" w:eastAsia="zh-CN"/>
              </w:rPr>
              <w:t>20</w:t>
            </w:r>
          </w:p>
        </w:tc>
        <w:tc>
          <w:tcPr>
            <w:tcW w:w="816" w:type="dxa"/>
            <w:tcBorders>
              <w:top w:val="nil"/>
              <w:left w:val="single" w:color="auto" w:sz="4" w:space="0"/>
              <w:bottom w:val="single" w:color="auto" w:sz="4" w:space="0"/>
              <w:right w:val="nil"/>
            </w:tcBorders>
            <w:shd w:val="clear" w:color="auto" w:fill="auto"/>
            <w:vAlign w:val="center"/>
          </w:tcPr>
          <w:p w14:paraId="1B08956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5A1BA2D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027F0BED">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4BC2276">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12B5978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补助政策知晓率　</w:t>
            </w:r>
          </w:p>
        </w:tc>
        <w:tc>
          <w:tcPr>
            <w:tcW w:w="641" w:type="dxa"/>
            <w:tcBorders>
              <w:top w:val="nil"/>
              <w:left w:val="single" w:color="auto" w:sz="4" w:space="0"/>
              <w:bottom w:val="single" w:color="auto" w:sz="4" w:space="0"/>
              <w:right w:val="nil"/>
            </w:tcBorders>
            <w:shd w:val="clear" w:color="auto" w:fill="auto"/>
            <w:vAlign w:val="center"/>
          </w:tcPr>
          <w:p w14:paraId="6D9A1A7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1C7CFD6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845" w:type="dxa"/>
            <w:tcBorders>
              <w:top w:val="nil"/>
              <w:left w:val="single" w:color="auto" w:sz="4" w:space="0"/>
              <w:bottom w:val="single" w:color="auto" w:sz="4" w:space="0"/>
              <w:right w:val="nil"/>
            </w:tcBorders>
            <w:shd w:val="clear" w:color="auto" w:fill="auto"/>
            <w:vAlign w:val="center"/>
          </w:tcPr>
          <w:p w14:paraId="2D502ED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6698AAE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1480372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4E3C9F6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7378C69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816" w:type="dxa"/>
            <w:tcBorders>
              <w:top w:val="nil"/>
              <w:left w:val="single" w:color="auto" w:sz="4" w:space="0"/>
              <w:bottom w:val="single" w:color="auto" w:sz="4" w:space="0"/>
              <w:right w:val="nil"/>
            </w:tcBorders>
            <w:shd w:val="clear" w:color="auto" w:fill="auto"/>
            <w:vAlign w:val="center"/>
          </w:tcPr>
          <w:p w14:paraId="7F1D8A0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647D81C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00534AF8">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69086E1">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2EEA3D1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补助达标率　</w:t>
            </w:r>
          </w:p>
        </w:tc>
        <w:tc>
          <w:tcPr>
            <w:tcW w:w="641" w:type="dxa"/>
            <w:tcBorders>
              <w:top w:val="nil"/>
              <w:left w:val="single" w:color="auto" w:sz="4" w:space="0"/>
              <w:bottom w:val="single" w:color="auto" w:sz="4" w:space="0"/>
              <w:right w:val="nil"/>
            </w:tcBorders>
            <w:shd w:val="clear" w:color="auto" w:fill="auto"/>
            <w:vAlign w:val="center"/>
          </w:tcPr>
          <w:p w14:paraId="245BE95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17D394A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845" w:type="dxa"/>
            <w:tcBorders>
              <w:top w:val="nil"/>
              <w:left w:val="single" w:color="auto" w:sz="4" w:space="0"/>
              <w:bottom w:val="single" w:color="auto" w:sz="4" w:space="0"/>
              <w:right w:val="nil"/>
            </w:tcBorders>
            <w:shd w:val="clear" w:color="auto" w:fill="auto"/>
            <w:vAlign w:val="center"/>
          </w:tcPr>
          <w:p w14:paraId="4DCA419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1B1B8CA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2C437C8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57F1854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6F4AF71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816" w:type="dxa"/>
            <w:tcBorders>
              <w:top w:val="nil"/>
              <w:left w:val="single" w:color="auto" w:sz="4" w:space="0"/>
              <w:bottom w:val="single" w:color="auto" w:sz="4" w:space="0"/>
              <w:right w:val="nil"/>
            </w:tcBorders>
            <w:shd w:val="clear" w:color="auto" w:fill="auto"/>
            <w:vAlign w:val="center"/>
          </w:tcPr>
          <w:p w14:paraId="7483815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7626F12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2FFB862B">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76D6B6F1">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09EA202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补助对象满意度　</w:t>
            </w:r>
          </w:p>
        </w:tc>
        <w:tc>
          <w:tcPr>
            <w:tcW w:w="641" w:type="dxa"/>
            <w:tcBorders>
              <w:top w:val="nil"/>
              <w:left w:val="single" w:color="auto" w:sz="4" w:space="0"/>
              <w:bottom w:val="single" w:color="auto" w:sz="4" w:space="0"/>
              <w:right w:val="nil"/>
            </w:tcBorders>
            <w:shd w:val="clear" w:color="auto" w:fill="auto"/>
            <w:vAlign w:val="center"/>
          </w:tcPr>
          <w:p w14:paraId="7E71F3F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16C37C9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宋体" w:cs="宋体"/>
                <w:i w:val="0"/>
                <w:color w:val="auto"/>
                <w:kern w:val="0"/>
                <w:sz w:val="20"/>
                <w:szCs w:val="20"/>
                <w:highlight w:val="none"/>
              </w:rPr>
              <w:t xml:space="preserve"> </w:t>
            </w: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845" w:type="dxa"/>
            <w:tcBorders>
              <w:top w:val="nil"/>
              <w:left w:val="single" w:color="auto" w:sz="4" w:space="0"/>
              <w:bottom w:val="single" w:color="auto" w:sz="4" w:space="0"/>
              <w:right w:val="nil"/>
            </w:tcBorders>
            <w:shd w:val="clear" w:color="auto" w:fill="auto"/>
            <w:vAlign w:val="center"/>
          </w:tcPr>
          <w:p w14:paraId="58F94E5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90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4744AB1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77D6FCD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0F44A5E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90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203C8FC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816" w:type="dxa"/>
            <w:tcBorders>
              <w:top w:val="nil"/>
              <w:left w:val="single" w:color="auto" w:sz="4" w:space="0"/>
              <w:bottom w:val="single" w:color="auto" w:sz="4" w:space="0"/>
              <w:right w:val="nil"/>
            </w:tcBorders>
            <w:shd w:val="clear" w:color="auto" w:fill="auto"/>
            <w:vAlign w:val="center"/>
          </w:tcPr>
          <w:p w14:paraId="771FF29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18</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4E8033D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7FF8638A">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35C5E5C6">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185" w:type="dxa"/>
            <w:tcBorders>
              <w:top w:val="nil"/>
              <w:left w:val="nil"/>
              <w:bottom w:val="single" w:color="auto" w:sz="4" w:space="0"/>
              <w:right w:val="nil"/>
            </w:tcBorders>
            <w:shd w:val="clear" w:color="auto" w:fill="auto"/>
            <w:vAlign w:val="center"/>
          </w:tcPr>
          <w:p w14:paraId="565D480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s="宋体"/>
                <w:color w:val="auto"/>
                <w:kern w:val="0"/>
                <w:sz w:val="18"/>
                <w:szCs w:val="18"/>
                <w:highlight w:val="none"/>
                <w:lang w:val="en-US" w:eastAsia="zh-CN"/>
              </w:rPr>
              <w:t>资金执行率</w:t>
            </w:r>
          </w:p>
        </w:tc>
        <w:tc>
          <w:tcPr>
            <w:tcW w:w="641" w:type="dxa"/>
            <w:tcBorders>
              <w:top w:val="nil"/>
              <w:left w:val="single" w:color="auto" w:sz="4" w:space="0"/>
              <w:bottom w:val="single" w:color="auto" w:sz="4" w:space="0"/>
              <w:right w:val="nil"/>
            </w:tcBorders>
            <w:shd w:val="clear" w:color="auto" w:fill="auto"/>
            <w:vAlign w:val="center"/>
          </w:tcPr>
          <w:p w14:paraId="2BB02FC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598" w:type="dxa"/>
            <w:tcBorders>
              <w:top w:val="nil"/>
              <w:left w:val="single" w:color="auto" w:sz="4" w:space="0"/>
              <w:bottom w:val="single" w:color="auto" w:sz="4" w:space="0"/>
              <w:right w:val="nil"/>
            </w:tcBorders>
            <w:shd w:val="clear" w:color="auto" w:fill="auto"/>
            <w:vAlign w:val="center"/>
          </w:tcPr>
          <w:p w14:paraId="2F360FD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845" w:type="dxa"/>
            <w:tcBorders>
              <w:top w:val="nil"/>
              <w:left w:val="single" w:color="auto" w:sz="4" w:space="0"/>
              <w:bottom w:val="single" w:color="auto" w:sz="4" w:space="0"/>
              <w:right w:val="nil"/>
            </w:tcBorders>
            <w:shd w:val="clear" w:color="auto" w:fill="auto"/>
            <w:vAlign w:val="center"/>
          </w:tcPr>
          <w:p w14:paraId="13F9288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11CC0B7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11B3AF6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27B9964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90</w:t>
            </w:r>
            <w:r>
              <w:rPr>
                <w:rFonts w:hint="eastAsia" w:ascii="Times New Roman" w:hAnsi="Times New Roman" w:eastAsia="方正仿宋_GBK"/>
                <w:color w:val="auto"/>
                <w:sz w:val="18"/>
                <w:szCs w:val="18"/>
                <w:highlight w:val="none"/>
              </w:rPr>
              <w:t>　</w:t>
            </w:r>
          </w:p>
        </w:tc>
        <w:tc>
          <w:tcPr>
            <w:tcW w:w="1005" w:type="dxa"/>
            <w:tcBorders>
              <w:top w:val="nil"/>
              <w:left w:val="single" w:color="auto" w:sz="4" w:space="0"/>
              <w:bottom w:val="single" w:color="auto" w:sz="4" w:space="0"/>
              <w:right w:val="nil"/>
            </w:tcBorders>
            <w:shd w:val="clear" w:color="auto" w:fill="auto"/>
            <w:vAlign w:val="center"/>
          </w:tcPr>
          <w:p w14:paraId="75E523C4">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10</w:t>
            </w:r>
          </w:p>
        </w:tc>
        <w:tc>
          <w:tcPr>
            <w:tcW w:w="816" w:type="dxa"/>
            <w:tcBorders>
              <w:top w:val="nil"/>
              <w:left w:val="single" w:color="auto" w:sz="4" w:space="0"/>
              <w:bottom w:val="single" w:color="auto" w:sz="4" w:space="0"/>
              <w:right w:val="nil"/>
            </w:tcBorders>
            <w:shd w:val="clear" w:color="auto" w:fill="auto"/>
            <w:vAlign w:val="center"/>
          </w:tcPr>
          <w:p w14:paraId="5A65EA8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9</w:t>
            </w:r>
            <w:r>
              <w:rPr>
                <w:rFonts w:hint="eastAsia" w:ascii="Times New Roman" w:hAnsi="Times New Roman" w:eastAsia="方正仿宋_GBK"/>
                <w:color w:val="auto"/>
                <w:sz w:val="18"/>
                <w:szCs w:val="18"/>
                <w:highlight w:val="none"/>
              </w:rPr>
              <w:t>　</w:t>
            </w:r>
          </w:p>
        </w:tc>
        <w:tc>
          <w:tcPr>
            <w:tcW w:w="632" w:type="dxa"/>
            <w:tcBorders>
              <w:top w:val="nil"/>
              <w:left w:val="single" w:color="auto" w:sz="4" w:space="0"/>
              <w:bottom w:val="single" w:color="auto" w:sz="4" w:space="0"/>
              <w:right w:val="single" w:color="auto" w:sz="4" w:space="0"/>
            </w:tcBorders>
            <w:shd w:val="clear" w:color="auto" w:fill="auto"/>
            <w:vAlign w:val="center"/>
          </w:tcPr>
          <w:p w14:paraId="3741589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0BE4DDE0">
        <w:tblPrEx>
          <w:tblCellMar>
            <w:top w:w="0" w:type="dxa"/>
            <w:left w:w="108" w:type="dxa"/>
            <w:bottom w:w="0" w:type="dxa"/>
            <w:right w:w="108" w:type="dxa"/>
          </w:tblCellMar>
        </w:tblPrEx>
        <w:trPr>
          <w:trHeight w:val="755" w:hRule="atLeast"/>
        </w:trPr>
        <w:tc>
          <w:tcPr>
            <w:tcW w:w="638" w:type="dxa"/>
            <w:tcBorders>
              <w:top w:val="nil"/>
              <w:left w:val="single" w:color="auto" w:sz="4" w:space="0"/>
              <w:bottom w:val="single" w:color="auto" w:sz="4" w:space="0"/>
              <w:right w:val="single" w:color="auto" w:sz="4" w:space="0"/>
            </w:tcBorders>
            <w:shd w:val="clear" w:color="auto" w:fill="auto"/>
            <w:vAlign w:val="center"/>
          </w:tcPr>
          <w:p w14:paraId="196914D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说明</w:t>
            </w:r>
          </w:p>
        </w:tc>
        <w:tc>
          <w:tcPr>
            <w:tcW w:w="8114" w:type="dxa"/>
            <w:gridSpan w:val="10"/>
            <w:tcBorders>
              <w:top w:val="single" w:color="auto" w:sz="4" w:space="0"/>
              <w:left w:val="nil"/>
              <w:bottom w:val="single" w:color="auto" w:sz="4" w:space="0"/>
              <w:right w:val="single" w:color="auto" w:sz="4" w:space="0"/>
            </w:tcBorders>
            <w:shd w:val="clear" w:color="auto" w:fill="auto"/>
            <w:vAlign w:val="center"/>
          </w:tcPr>
          <w:p w14:paraId="59B201C1">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bl>
    <w:p w14:paraId="5EAA08FC">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left="0" w:leftChars="0" w:firstLine="640" w:firstLineChars="200"/>
        <w:textAlignment w:val="auto"/>
        <w:rPr>
          <w:rFonts w:hint="eastAsia" w:ascii="Times New Roman" w:hAnsi="Times New Roman" w:eastAsia="方正仿宋_GBK" w:cs="方正仿宋_GBK"/>
          <w:color w:val="auto"/>
          <w:kern w:val="0"/>
          <w:sz w:val="32"/>
          <w:szCs w:val="32"/>
          <w:highlight w:val="none"/>
          <w:lang w:val="en-US" w:eastAsia="zh-CN" w:bidi="ar-SA"/>
        </w:rPr>
      </w:pPr>
      <w:r>
        <w:rPr>
          <w:rFonts w:hint="eastAsia" w:ascii="Times New Roman" w:hAnsi="Times New Roman" w:eastAsia="方正仿宋_GBK" w:cs="宋体"/>
          <w:color w:val="auto"/>
          <w:kern w:val="0"/>
          <w:sz w:val="32"/>
          <w:szCs w:val="32"/>
          <w:highlight w:val="none"/>
          <w:lang w:val="en-US" w:eastAsia="zh-CN" w:bidi="ar-SA"/>
        </w:rPr>
        <w:t>1.</w:t>
      </w:r>
      <w:r>
        <w:rPr>
          <w:rFonts w:hint="eastAsia" w:ascii="Times New Roman" w:hAnsi="Times New Roman" w:eastAsia="方正仿宋_GBK" w:cs="宋体"/>
          <w:color w:val="auto"/>
          <w:kern w:val="0"/>
          <w:sz w:val="32"/>
          <w:szCs w:val="32"/>
          <w:highlight w:val="none"/>
          <w:lang w:val="en-US" w:eastAsia="zh-CN"/>
        </w:rPr>
        <w:t>2020</w:t>
      </w:r>
      <w:r>
        <w:rPr>
          <w:rFonts w:hint="eastAsia" w:ascii="Times New Roman" w:hAnsi="Times New Roman" w:eastAsia="方正仿宋_GBK" w:cs="方正仿宋_GBK"/>
          <w:color w:val="auto"/>
          <w:kern w:val="0"/>
          <w:sz w:val="32"/>
          <w:szCs w:val="32"/>
          <w:highlight w:val="none"/>
          <w:lang w:eastAsia="zh-CN"/>
        </w:rPr>
        <w:t>年农村客运车辆保险清算项目</w:t>
      </w:r>
      <w:r>
        <w:rPr>
          <w:rFonts w:hint="eastAsia" w:ascii="Times New Roman" w:hAnsi="Times New Roman" w:eastAsia="方正仿宋_GBK" w:cs="方正仿宋_GBK"/>
          <w:color w:val="auto"/>
          <w:kern w:val="0"/>
          <w:sz w:val="32"/>
          <w:szCs w:val="32"/>
          <w:highlight w:val="none"/>
          <w:lang w:val="en-US" w:eastAsia="zh-CN" w:bidi="ar-SA"/>
        </w:rPr>
        <w:t>绩效自评表</w:t>
      </w:r>
    </w:p>
    <w:p w14:paraId="45BA48BA">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left="0" w:leftChars="0" w:firstLine="640" w:firstLineChars="200"/>
        <w:textAlignment w:val="auto"/>
        <w:rPr>
          <w:rFonts w:hint="eastAsia" w:ascii="Times New Roman" w:hAnsi="Times New Roman" w:eastAsia="方正仿宋_GBK" w:cs="方正仿宋_GBK"/>
          <w:color w:val="auto"/>
          <w:kern w:val="0"/>
          <w:sz w:val="32"/>
          <w:szCs w:val="32"/>
          <w:highlight w:val="none"/>
          <w:lang w:val="en-US" w:eastAsia="zh-CN" w:bidi="ar-SA"/>
        </w:rPr>
      </w:pPr>
      <w:r>
        <w:rPr>
          <w:rFonts w:hint="eastAsia" w:ascii="Times New Roman" w:hAnsi="Times New Roman" w:eastAsia="方正仿宋_GBK" w:cs="宋体"/>
          <w:color w:val="auto"/>
          <w:kern w:val="0"/>
          <w:sz w:val="32"/>
          <w:szCs w:val="32"/>
          <w:highlight w:val="none"/>
          <w:lang w:val="en-US" w:eastAsia="zh-CN"/>
        </w:rPr>
        <w:t>2020</w:t>
      </w:r>
      <w:r>
        <w:rPr>
          <w:rFonts w:hint="eastAsia" w:ascii="Times New Roman" w:hAnsi="Times New Roman" w:eastAsia="方正仿宋_GBK" w:cs="方正仿宋_GBK"/>
          <w:color w:val="auto"/>
          <w:kern w:val="0"/>
          <w:sz w:val="32"/>
          <w:szCs w:val="32"/>
          <w:highlight w:val="none"/>
          <w:lang w:eastAsia="zh-CN"/>
        </w:rPr>
        <w:t>年农村客运车辆保险清算项目</w:t>
      </w:r>
      <w:r>
        <w:rPr>
          <w:rFonts w:hint="eastAsia" w:ascii="Times New Roman" w:hAnsi="Times New Roman" w:eastAsia="方正仿宋_GBK" w:cs="方正仿宋_GBK"/>
          <w:color w:val="auto"/>
          <w:kern w:val="0"/>
          <w:sz w:val="32"/>
          <w:szCs w:val="32"/>
          <w:highlight w:val="none"/>
          <w:lang w:val="en-US" w:eastAsia="zh-CN" w:bidi="ar-SA"/>
        </w:rPr>
        <w:t>绩效自评综述：根据市政府、市财政局和市交通局加快发展农村客运工作的相关精神，对农村客运车辆提供保险补助资金，通过补助减轻了农村客运经营者经济负担，增强了农村客运抵御风险的能力</w:t>
      </w:r>
      <w:r>
        <w:rPr>
          <w:rFonts w:hint="eastAsia" w:ascii="Times New Roman" w:hAnsi="Times New Roman" w:eastAsia="方正仿宋_GBK" w:cs="方正仿宋_GBK"/>
          <w:color w:val="auto"/>
          <w:kern w:val="0"/>
          <w:sz w:val="32"/>
          <w:szCs w:val="32"/>
          <w:highlight w:val="none"/>
          <w:lang w:eastAsia="zh-CN"/>
        </w:rPr>
        <w:t>。</w:t>
      </w:r>
    </w:p>
    <w:tbl>
      <w:tblPr>
        <w:tblStyle w:val="8"/>
        <w:tblW w:w="8752" w:type="dxa"/>
        <w:tblInd w:w="135" w:type="dxa"/>
        <w:tblLayout w:type="fixed"/>
        <w:tblCellMar>
          <w:top w:w="0" w:type="dxa"/>
          <w:left w:w="108" w:type="dxa"/>
          <w:bottom w:w="0" w:type="dxa"/>
          <w:right w:w="108" w:type="dxa"/>
        </w:tblCellMar>
      </w:tblPr>
      <w:tblGrid>
        <w:gridCol w:w="638"/>
        <w:gridCol w:w="1298"/>
        <w:gridCol w:w="583"/>
        <w:gridCol w:w="626"/>
        <w:gridCol w:w="762"/>
        <w:gridCol w:w="815"/>
        <w:gridCol w:w="798"/>
        <w:gridCol w:w="779"/>
        <w:gridCol w:w="836"/>
        <w:gridCol w:w="758"/>
        <w:gridCol w:w="859"/>
      </w:tblGrid>
      <w:tr w14:paraId="05F6CA64">
        <w:tblPrEx>
          <w:tblCellMar>
            <w:top w:w="0" w:type="dxa"/>
            <w:left w:w="108" w:type="dxa"/>
            <w:bottom w:w="0" w:type="dxa"/>
            <w:right w:w="108" w:type="dxa"/>
          </w:tblCellMar>
        </w:tblPrEx>
        <w:trPr>
          <w:trHeight w:val="870" w:hRule="atLeast"/>
        </w:trPr>
        <w:tc>
          <w:tcPr>
            <w:tcW w:w="8752" w:type="dxa"/>
            <w:gridSpan w:val="11"/>
            <w:tcBorders>
              <w:top w:val="nil"/>
              <w:left w:val="nil"/>
              <w:bottom w:val="nil"/>
              <w:right w:val="nil"/>
            </w:tcBorders>
            <w:shd w:val="clear" w:color="auto" w:fill="auto"/>
            <w:vAlign w:val="center"/>
          </w:tcPr>
          <w:p w14:paraId="5DD4865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小标宋_GBK"/>
                <w:color w:val="auto"/>
                <w:sz w:val="36"/>
                <w:szCs w:val="36"/>
                <w:highlight w:val="none"/>
              </w:rPr>
            </w:pPr>
            <w:r>
              <w:rPr>
                <w:rFonts w:hint="eastAsia" w:ascii="Times New Roman" w:hAnsi="Times New Roman" w:eastAsia="方正小标宋_GBK"/>
                <w:color w:val="auto"/>
                <w:sz w:val="36"/>
                <w:szCs w:val="36"/>
                <w:highlight w:val="none"/>
                <w:lang w:eastAsia="zh-CN"/>
              </w:rPr>
              <w:t>二</w:t>
            </w:r>
            <w:r>
              <w:rPr>
                <w:rFonts w:hint="eastAsia" w:ascii="Times New Roman" w:hAnsi="Times New Roman" w:eastAsia="方正小标宋_GBK"/>
                <w:color w:val="auto"/>
                <w:sz w:val="36"/>
                <w:szCs w:val="36"/>
                <w:highlight w:val="none"/>
              </w:rPr>
              <w:t>级项目绩效自评表</w:t>
            </w:r>
          </w:p>
        </w:tc>
      </w:tr>
      <w:tr w14:paraId="16F9975B">
        <w:tblPrEx>
          <w:tblCellMar>
            <w:top w:w="0" w:type="dxa"/>
            <w:left w:w="108" w:type="dxa"/>
            <w:bottom w:w="0" w:type="dxa"/>
            <w:right w:w="108" w:type="dxa"/>
          </w:tblCellMar>
        </w:tblPrEx>
        <w:trPr>
          <w:trHeight w:val="705" w:hRule="atLeast"/>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89CF44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项目名称</w:t>
            </w:r>
          </w:p>
        </w:tc>
        <w:tc>
          <w:tcPr>
            <w:tcW w:w="1881" w:type="dxa"/>
            <w:gridSpan w:val="2"/>
            <w:tcBorders>
              <w:top w:val="single" w:color="auto" w:sz="4" w:space="0"/>
              <w:left w:val="nil"/>
              <w:bottom w:val="single" w:color="auto" w:sz="4" w:space="0"/>
              <w:right w:val="single" w:color="000000" w:sz="4" w:space="0"/>
            </w:tcBorders>
            <w:shd w:val="clear" w:color="auto" w:fill="auto"/>
            <w:vAlign w:val="center"/>
          </w:tcPr>
          <w:p w14:paraId="3CDC222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2020</w:t>
            </w:r>
            <w:r>
              <w:rPr>
                <w:rFonts w:hint="eastAsia" w:ascii="Times New Roman" w:hAnsi="Times New Roman" w:eastAsia="方正仿宋_GBK"/>
                <w:color w:val="auto"/>
                <w:sz w:val="18"/>
                <w:szCs w:val="18"/>
                <w:highlight w:val="none"/>
                <w:lang w:eastAsia="zh-CN"/>
              </w:rPr>
              <w:t>年农村客运车辆保险清算资金</w:t>
            </w:r>
            <w:r>
              <w:rPr>
                <w:rFonts w:hint="eastAsia" w:ascii="Times New Roman" w:hAnsi="Times New Roman" w:eastAsia="方正仿宋_GBK"/>
                <w:color w:val="auto"/>
                <w:sz w:val="18"/>
                <w:szCs w:val="18"/>
                <w:highlight w:val="none"/>
              </w:rPr>
              <w:t>　</w:t>
            </w:r>
          </w:p>
        </w:tc>
        <w:tc>
          <w:tcPr>
            <w:tcW w:w="626" w:type="dxa"/>
            <w:tcBorders>
              <w:top w:val="single" w:color="auto" w:sz="4" w:space="0"/>
              <w:left w:val="nil"/>
              <w:bottom w:val="single" w:color="auto" w:sz="4" w:space="0"/>
              <w:right w:val="single" w:color="auto" w:sz="4" w:space="0"/>
            </w:tcBorders>
            <w:shd w:val="clear" w:color="auto" w:fill="auto"/>
            <w:vAlign w:val="center"/>
          </w:tcPr>
          <w:p w14:paraId="0D03C8A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项目编码</w:t>
            </w:r>
          </w:p>
        </w:tc>
        <w:tc>
          <w:tcPr>
            <w:tcW w:w="1577" w:type="dxa"/>
            <w:gridSpan w:val="2"/>
            <w:tcBorders>
              <w:top w:val="single" w:color="auto" w:sz="4" w:space="0"/>
              <w:left w:val="nil"/>
              <w:bottom w:val="single" w:color="auto" w:sz="4" w:space="0"/>
              <w:right w:val="single" w:color="000000" w:sz="4" w:space="0"/>
            </w:tcBorders>
            <w:shd w:val="clear" w:color="auto" w:fill="auto"/>
            <w:vAlign w:val="center"/>
          </w:tcPr>
          <w:p w14:paraId="3892616F">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rPr>
              <w:t>2020B1</w:t>
            </w:r>
            <w:r>
              <w:rPr>
                <w:rFonts w:hint="eastAsia" w:ascii="Times New Roman" w:hAnsi="Times New Roman" w:eastAsia="方正仿宋_GBK"/>
                <w:color w:val="auto"/>
                <w:sz w:val="18"/>
                <w:szCs w:val="18"/>
                <w:highlight w:val="none"/>
                <w:lang w:val="en-US" w:eastAsia="zh-CN"/>
              </w:rPr>
              <w:t>019</w:t>
            </w:r>
          </w:p>
        </w:tc>
        <w:tc>
          <w:tcPr>
            <w:tcW w:w="798" w:type="dxa"/>
            <w:tcBorders>
              <w:top w:val="single" w:color="auto" w:sz="4" w:space="0"/>
              <w:left w:val="nil"/>
              <w:bottom w:val="single" w:color="auto" w:sz="4" w:space="0"/>
              <w:right w:val="single" w:color="auto" w:sz="4" w:space="0"/>
            </w:tcBorders>
            <w:shd w:val="clear" w:color="auto" w:fill="auto"/>
            <w:vAlign w:val="center"/>
          </w:tcPr>
          <w:p w14:paraId="314D1B2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自评总分</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14:paraId="5EC76FE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r>
      <w:tr w14:paraId="58A1C523">
        <w:tblPrEx>
          <w:tblCellMar>
            <w:top w:w="0" w:type="dxa"/>
            <w:left w:w="108" w:type="dxa"/>
            <w:bottom w:w="0" w:type="dxa"/>
            <w:right w:w="108" w:type="dxa"/>
          </w:tblCellMar>
        </w:tblPrEx>
        <w:trPr>
          <w:trHeight w:val="601" w:hRule="atLeast"/>
        </w:trPr>
        <w:tc>
          <w:tcPr>
            <w:tcW w:w="638" w:type="dxa"/>
            <w:tcBorders>
              <w:top w:val="nil"/>
              <w:left w:val="single" w:color="auto" w:sz="4" w:space="0"/>
              <w:bottom w:val="single" w:color="auto" w:sz="4" w:space="0"/>
              <w:right w:val="single" w:color="auto" w:sz="4" w:space="0"/>
            </w:tcBorders>
            <w:shd w:val="clear" w:color="auto" w:fill="auto"/>
            <w:vAlign w:val="center"/>
          </w:tcPr>
          <w:p w14:paraId="5CF3E26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主管部门</w:t>
            </w:r>
          </w:p>
        </w:tc>
        <w:tc>
          <w:tcPr>
            <w:tcW w:w="1881" w:type="dxa"/>
            <w:gridSpan w:val="2"/>
            <w:tcBorders>
              <w:top w:val="single" w:color="auto" w:sz="4" w:space="0"/>
              <w:left w:val="nil"/>
              <w:bottom w:val="single" w:color="auto" w:sz="4" w:space="0"/>
              <w:right w:val="single" w:color="000000" w:sz="4" w:space="0"/>
            </w:tcBorders>
            <w:shd w:val="clear" w:color="auto" w:fill="auto"/>
            <w:vAlign w:val="center"/>
          </w:tcPr>
          <w:p w14:paraId="796809A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重庆市南岸区交通局　</w:t>
            </w:r>
          </w:p>
        </w:tc>
        <w:tc>
          <w:tcPr>
            <w:tcW w:w="626" w:type="dxa"/>
            <w:tcBorders>
              <w:top w:val="nil"/>
              <w:left w:val="nil"/>
              <w:bottom w:val="single" w:color="auto" w:sz="4" w:space="0"/>
              <w:right w:val="single" w:color="auto" w:sz="4" w:space="0"/>
            </w:tcBorders>
            <w:shd w:val="clear" w:color="auto" w:fill="auto"/>
            <w:vAlign w:val="center"/>
          </w:tcPr>
          <w:p w14:paraId="428E0DD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财政处室</w:t>
            </w:r>
          </w:p>
        </w:tc>
        <w:tc>
          <w:tcPr>
            <w:tcW w:w="1577" w:type="dxa"/>
            <w:gridSpan w:val="2"/>
            <w:tcBorders>
              <w:top w:val="single" w:color="auto" w:sz="4" w:space="0"/>
              <w:left w:val="nil"/>
              <w:bottom w:val="single" w:color="auto" w:sz="4" w:space="0"/>
              <w:right w:val="single" w:color="000000" w:sz="4" w:space="0"/>
            </w:tcBorders>
            <w:shd w:val="clear" w:color="auto" w:fill="auto"/>
            <w:vAlign w:val="center"/>
          </w:tcPr>
          <w:p w14:paraId="69A152A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经建科</w:t>
            </w:r>
            <w:r>
              <w:rPr>
                <w:rFonts w:hint="eastAsia" w:ascii="Times New Roman" w:hAnsi="Times New Roman" w:eastAsia="方正仿宋_GBK"/>
                <w:color w:val="auto"/>
                <w:sz w:val="18"/>
                <w:szCs w:val="18"/>
                <w:highlight w:val="none"/>
              </w:rPr>
              <w:t>　</w:t>
            </w:r>
          </w:p>
        </w:tc>
        <w:tc>
          <w:tcPr>
            <w:tcW w:w="798" w:type="dxa"/>
            <w:tcBorders>
              <w:top w:val="nil"/>
              <w:left w:val="nil"/>
              <w:bottom w:val="single" w:color="auto" w:sz="4" w:space="0"/>
              <w:right w:val="single" w:color="auto" w:sz="4" w:space="0"/>
            </w:tcBorders>
            <w:shd w:val="clear" w:color="auto" w:fill="auto"/>
            <w:vAlign w:val="center"/>
          </w:tcPr>
          <w:p w14:paraId="2944060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联系人</w:t>
            </w:r>
          </w:p>
        </w:tc>
        <w:tc>
          <w:tcPr>
            <w:tcW w:w="779" w:type="dxa"/>
            <w:tcBorders>
              <w:top w:val="nil"/>
              <w:left w:val="nil"/>
              <w:bottom w:val="single" w:color="auto" w:sz="4" w:space="0"/>
              <w:right w:val="single" w:color="auto" w:sz="4" w:space="0"/>
            </w:tcBorders>
            <w:shd w:val="clear" w:color="auto" w:fill="auto"/>
            <w:vAlign w:val="center"/>
          </w:tcPr>
          <w:p w14:paraId="4FF7921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艾云舟</w:t>
            </w:r>
            <w:r>
              <w:rPr>
                <w:rFonts w:hint="eastAsia" w:ascii="Times New Roman" w:hAnsi="Times New Roman" w:eastAsia="方正仿宋_GBK"/>
                <w:color w:val="auto"/>
                <w:sz w:val="18"/>
                <w:szCs w:val="18"/>
                <w:highlight w:val="none"/>
              </w:rPr>
              <w:t>　</w:t>
            </w:r>
          </w:p>
        </w:tc>
        <w:tc>
          <w:tcPr>
            <w:tcW w:w="836" w:type="dxa"/>
            <w:tcBorders>
              <w:top w:val="nil"/>
              <w:left w:val="nil"/>
              <w:bottom w:val="single" w:color="auto" w:sz="4" w:space="0"/>
              <w:right w:val="single" w:color="auto" w:sz="4" w:space="0"/>
            </w:tcBorders>
            <w:shd w:val="clear" w:color="auto" w:fill="auto"/>
            <w:vAlign w:val="center"/>
          </w:tcPr>
          <w:p w14:paraId="49B8D24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联系电话</w:t>
            </w:r>
          </w:p>
        </w:tc>
        <w:tc>
          <w:tcPr>
            <w:tcW w:w="1617" w:type="dxa"/>
            <w:gridSpan w:val="2"/>
            <w:tcBorders>
              <w:top w:val="single" w:color="auto" w:sz="4" w:space="0"/>
              <w:left w:val="nil"/>
              <w:bottom w:val="single" w:color="auto" w:sz="4" w:space="0"/>
              <w:right w:val="single" w:color="000000" w:sz="4" w:space="0"/>
            </w:tcBorders>
            <w:shd w:val="clear" w:color="auto" w:fill="auto"/>
            <w:vAlign w:val="center"/>
          </w:tcPr>
          <w:p w14:paraId="2D3EA93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62982092</w:t>
            </w:r>
            <w:r>
              <w:rPr>
                <w:rFonts w:hint="eastAsia" w:ascii="Times New Roman" w:hAnsi="Times New Roman" w:eastAsia="方正仿宋_GBK"/>
                <w:color w:val="auto"/>
                <w:sz w:val="18"/>
                <w:szCs w:val="18"/>
                <w:highlight w:val="none"/>
              </w:rPr>
              <w:t>　</w:t>
            </w:r>
          </w:p>
        </w:tc>
      </w:tr>
      <w:tr w14:paraId="505FC847">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vAlign w:val="center"/>
          </w:tcPr>
          <w:p w14:paraId="54934F4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项目资金（万元）</w:t>
            </w:r>
          </w:p>
        </w:tc>
        <w:tc>
          <w:tcPr>
            <w:tcW w:w="1298" w:type="dxa"/>
            <w:tcBorders>
              <w:top w:val="nil"/>
              <w:left w:val="nil"/>
              <w:bottom w:val="single" w:color="auto" w:sz="4" w:space="0"/>
              <w:right w:val="nil"/>
            </w:tcBorders>
            <w:shd w:val="clear" w:color="auto" w:fill="auto"/>
            <w:vAlign w:val="center"/>
          </w:tcPr>
          <w:p w14:paraId="5A65CC5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120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C9FC61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年初预算数</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2FA5E64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全年（调整）预算数</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5FD5830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全年执行数</w:t>
            </w:r>
          </w:p>
        </w:tc>
        <w:tc>
          <w:tcPr>
            <w:tcW w:w="836" w:type="dxa"/>
            <w:tcBorders>
              <w:top w:val="nil"/>
              <w:left w:val="nil"/>
              <w:bottom w:val="single" w:color="auto" w:sz="4" w:space="0"/>
              <w:right w:val="single" w:color="auto" w:sz="4" w:space="0"/>
            </w:tcBorders>
            <w:shd w:val="clear" w:color="auto" w:fill="auto"/>
            <w:vAlign w:val="center"/>
          </w:tcPr>
          <w:p w14:paraId="45F6B4D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w:t>
            </w:r>
          </w:p>
        </w:tc>
        <w:tc>
          <w:tcPr>
            <w:tcW w:w="758" w:type="dxa"/>
            <w:tcBorders>
              <w:top w:val="nil"/>
              <w:left w:val="nil"/>
              <w:bottom w:val="single" w:color="auto" w:sz="4" w:space="0"/>
              <w:right w:val="single" w:color="auto" w:sz="4" w:space="0"/>
            </w:tcBorders>
            <w:shd w:val="clear" w:color="auto" w:fill="auto"/>
            <w:vAlign w:val="center"/>
          </w:tcPr>
          <w:p w14:paraId="7EB4659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权重</w:t>
            </w:r>
          </w:p>
        </w:tc>
        <w:tc>
          <w:tcPr>
            <w:tcW w:w="859" w:type="dxa"/>
            <w:tcBorders>
              <w:top w:val="nil"/>
              <w:left w:val="nil"/>
              <w:bottom w:val="single" w:color="auto" w:sz="4" w:space="0"/>
              <w:right w:val="single" w:color="auto" w:sz="4" w:space="0"/>
            </w:tcBorders>
            <w:shd w:val="clear" w:color="auto" w:fill="auto"/>
            <w:vAlign w:val="center"/>
          </w:tcPr>
          <w:p w14:paraId="76E6109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执行率得分</w:t>
            </w:r>
            <w:r>
              <w:rPr>
                <w:rFonts w:hint="eastAsia" w:ascii="Times New Roman" w:hAnsi="Times New Roman" w:eastAsia="方正仿宋_GBK"/>
                <w:color w:val="auto"/>
                <w:sz w:val="18"/>
                <w:szCs w:val="18"/>
                <w:highlight w:val="none"/>
              </w:rPr>
              <w:br w:type="textWrapping" w:clear="all"/>
            </w:r>
            <w:r>
              <w:rPr>
                <w:rFonts w:hint="eastAsia" w:ascii="Times New Roman" w:hAnsi="Times New Roman" w:eastAsia="方正仿宋_GBK"/>
                <w:color w:val="auto"/>
                <w:sz w:val="18"/>
                <w:szCs w:val="18"/>
                <w:highlight w:val="none"/>
              </w:rPr>
              <w:t>（分）</w:t>
            </w:r>
          </w:p>
        </w:tc>
      </w:tr>
      <w:tr w14:paraId="44D47CFA">
        <w:tblPrEx>
          <w:tblCellMar>
            <w:top w:w="0" w:type="dxa"/>
            <w:left w:w="108" w:type="dxa"/>
            <w:bottom w:w="0" w:type="dxa"/>
            <w:right w:w="108" w:type="dxa"/>
          </w:tblCellMar>
        </w:tblPrEx>
        <w:trPr>
          <w:cantSplit/>
          <w:trHeight w:val="601" w:hRule="atLeast"/>
        </w:trPr>
        <w:tc>
          <w:tcPr>
            <w:tcW w:w="638" w:type="dxa"/>
            <w:vMerge w:val="continue"/>
            <w:tcBorders>
              <w:top w:val="nil"/>
              <w:left w:val="single" w:color="auto" w:sz="4" w:space="0"/>
              <w:bottom w:val="single" w:color="auto" w:sz="4" w:space="0"/>
              <w:right w:val="single" w:color="auto" w:sz="4" w:space="0"/>
            </w:tcBorders>
            <w:vAlign w:val="center"/>
          </w:tcPr>
          <w:p w14:paraId="69E20C19">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12444D6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年度总金额</w:t>
            </w:r>
          </w:p>
        </w:tc>
        <w:tc>
          <w:tcPr>
            <w:tcW w:w="120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14EB03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23</w:t>
            </w:r>
            <w:r>
              <w:rPr>
                <w:rFonts w:hint="eastAsia" w:ascii="Times New Roman" w:hAnsi="Times New Roman" w:eastAsia="方正仿宋_GBK"/>
                <w:color w:val="auto"/>
                <w:sz w:val="18"/>
                <w:szCs w:val="18"/>
                <w:highlight w:val="none"/>
              </w:rPr>
              <w:t>　</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2A2F667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23</w:t>
            </w:r>
            <w:r>
              <w:rPr>
                <w:rFonts w:hint="eastAsia" w:ascii="Times New Roman" w:hAnsi="Times New Roman" w:eastAsia="方正仿宋_GBK"/>
                <w:color w:val="auto"/>
                <w:sz w:val="18"/>
                <w:szCs w:val="18"/>
                <w:highlight w:val="none"/>
              </w:rPr>
              <w:t>　</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74040391">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23</w:t>
            </w:r>
          </w:p>
        </w:tc>
        <w:tc>
          <w:tcPr>
            <w:tcW w:w="836" w:type="dxa"/>
            <w:tcBorders>
              <w:top w:val="nil"/>
              <w:left w:val="nil"/>
              <w:bottom w:val="single" w:color="auto" w:sz="4" w:space="0"/>
              <w:right w:val="single" w:color="auto" w:sz="4" w:space="0"/>
            </w:tcBorders>
            <w:shd w:val="clear" w:color="auto" w:fill="auto"/>
            <w:vAlign w:val="center"/>
          </w:tcPr>
          <w:p w14:paraId="6A09F61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58" w:type="dxa"/>
            <w:tcBorders>
              <w:top w:val="nil"/>
              <w:left w:val="nil"/>
              <w:bottom w:val="single" w:color="auto" w:sz="4" w:space="0"/>
              <w:right w:val="single" w:color="auto" w:sz="4" w:space="0"/>
            </w:tcBorders>
            <w:shd w:val="clear" w:color="auto" w:fill="auto"/>
            <w:vAlign w:val="center"/>
          </w:tcPr>
          <w:p w14:paraId="608FE46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c>
          <w:tcPr>
            <w:tcW w:w="859" w:type="dxa"/>
            <w:tcBorders>
              <w:top w:val="nil"/>
              <w:left w:val="nil"/>
              <w:bottom w:val="single" w:color="auto" w:sz="4" w:space="0"/>
              <w:right w:val="single" w:color="auto" w:sz="4" w:space="0"/>
            </w:tcBorders>
            <w:shd w:val="clear" w:color="auto" w:fill="auto"/>
            <w:vAlign w:val="center"/>
          </w:tcPr>
          <w:p w14:paraId="209CDF8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r>
      <w:tr w14:paraId="3F65566F">
        <w:tblPrEx>
          <w:tblCellMar>
            <w:top w:w="0" w:type="dxa"/>
            <w:left w:w="108" w:type="dxa"/>
            <w:bottom w:w="0" w:type="dxa"/>
            <w:right w:w="108" w:type="dxa"/>
          </w:tblCellMar>
        </w:tblPrEx>
        <w:trPr>
          <w:cantSplit/>
          <w:trHeight w:val="601" w:hRule="atLeast"/>
        </w:trPr>
        <w:tc>
          <w:tcPr>
            <w:tcW w:w="638" w:type="dxa"/>
            <w:vMerge w:val="continue"/>
            <w:tcBorders>
              <w:top w:val="nil"/>
              <w:left w:val="single" w:color="auto" w:sz="4" w:space="0"/>
              <w:bottom w:val="single" w:color="auto" w:sz="4" w:space="0"/>
              <w:right w:val="single" w:color="auto" w:sz="4" w:space="0"/>
            </w:tcBorders>
            <w:vAlign w:val="center"/>
          </w:tcPr>
          <w:p w14:paraId="1CBA4616">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2BCC74ED">
            <w:pPr>
              <w:keepNext w:val="0"/>
              <w:keepLines w:val="0"/>
              <w:pageBreakBefore w:val="0"/>
              <w:widowControl w:val="0"/>
              <w:kinsoku/>
              <w:wordWrap w:val="0"/>
              <w:overflowPunct/>
              <w:topLinePunct w:val="0"/>
              <w:autoSpaceDE/>
              <w:autoSpaceDN/>
              <w:bidi w:val="0"/>
              <w:adjustRightInd/>
              <w:snapToGrid/>
              <w:jc w:val="right"/>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其中：区级支出</w:t>
            </w:r>
          </w:p>
        </w:tc>
        <w:tc>
          <w:tcPr>
            <w:tcW w:w="120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0E5AB7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23</w:t>
            </w:r>
            <w:r>
              <w:rPr>
                <w:rFonts w:hint="eastAsia" w:ascii="Times New Roman" w:hAnsi="Times New Roman" w:eastAsia="方正仿宋_GBK"/>
                <w:color w:val="auto"/>
                <w:sz w:val="18"/>
                <w:szCs w:val="18"/>
                <w:highlight w:val="none"/>
              </w:rPr>
              <w:t>　</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758EC8D2">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23</w:t>
            </w:r>
          </w:p>
        </w:tc>
        <w:tc>
          <w:tcPr>
            <w:tcW w:w="1577" w:type="dxa"/>
            <w:gridSpan w:val="2"/>
            <w:tcBorders>
              <w:top w:val="single" w:color="auto" w:sz="4" w:space="0"/>
              <w:left w:val="nil"/>
              <w:bottom w:val="single" w:color="auto" w:sz="4" w:space="0"/>
              <w:right w:val="single" w:color="auto" w:sz="4" w:space="0"/>
            </w:tcBorders>
            <w:shd w:val="clear" w:color="auto" w:fill="auto"/>
            <w:vAlign w:val="center"/>
          </w:tcPr>
          <w:p w14:paraId="21EBB2D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23</w:t>
            </w:r>
            <w:r>
              <w:rPr>
                <w:rFonts w:hint="eastAsia" w:ascii="Times New Roman" w:hAnsi="Times New Roman" w:eastAsia="方正仿宋_GBK"/>
                <w:color w:val="auto"/>
                <w:sz w:val="18"/>
                <w:szCs w:val="18"/>
                <w:highlight w:val="none"/>
              </w:rPr>
              <w:t>　</w:t>
            </w:r>
          </w:p>
        </w:tc>
        <w:tc>
          <w:tcPr>
            <w:tcW w:w="836" w:type="dxa"/>
            <w:tcBorders>
              <w:top w:val="nil"/>
              <w:left w:val="nil"/>
              <w:bottom w:val="single" w:color="auto" w:sz="4" w:space="0"/>
              <w:right w:val="single" w:color="auto" w:sz="4" w:space="0"/>
            </w:tcBorders>
            <w:shd w:val="clear" w:color="auto" w:fill="auto"/>
            <w:vAlign w:val="center"/>
          </w:tcPr>
          <w:p w14:paraId="1BE3F7B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58" w:type="dxa"/>
            <w:tcBorders>
              <w:top w:val="nil"/>
              <w:left w:val="nil"/>
              <w:bottom w:val="single" w:color="auto" w:sz="4" w:space="0"/>
              <w:right w:val="single" w:color="auto" w:sz="4" w:space="0"/>
            </w:tcBorders>
            <w:shd w:val="clear" w:color="auto" w:fill="auto"/>
            <w:vAlign w:val="center"/>
          </w:tcPr>
          <w:p w14:paraId="023FE08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c>
          <w:tcPr>
            <w:tcW w:w="859" w:type="dxa"/>
            <w:tcBorders>
              <w:top w:val="nil"/>
              <w:left w:val="nil"/>
              <w:bottom w:val="single" w:color="auto" w:sz="4" w:space="0"/>
              <w:right w:val="single" w:color="auto" w:sz="4" w:space="0"/>
            </w:tcBorders>
            <w:shd w:val="clear" w:color="auto" w:fill="auto"/>
            <w:vAlign w:val="center"/>
          </w:tcPr>
          <w:p w14:paraId="737B8C7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r>
      <w:tr w14:paraId="111D4670">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vAlign w:val="center"/>
          </w:tcPr>
          <w:p w14:paraId="30FD863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当年绩效目标</w:t>
            </w:r>
          </w:p>
        </w:tc>
        <w:tc>
          <w:tcPr>
            <w:tcW w:w="2507" w:type="dxa"/>
            <w:gridSpan w:val="3"/>
            <w:tcBorders>
              <w:top w:val="single" w:color="auto" w:sz="4" w:space="0"/>
              <w:left w:val="nil"/>
              <w:bottom w:val="single" w:color="auto" w:sz="4" w:space="0"/>
              <w:right w:val="single" w:color="000000" w:sz="4" w:space="0"/>
            </w:tcBorders>
            <w:shd w:val="clear" w:color="auto" w:fill="auto"/>
            <w:vAlign w:val="center"/>
          </w:tcPr>
          <w:p w14:paraId="64FDA3D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年初绩效目标</w:t>
            </w:r>
          </w:p>
        </w:tc>
        <w:tc>
          <w:tcPr>
            <w:tcW w:w="3154" w:type="dxa"/>
            <w:gridSpan w:val="4"/>
            <w:tcBorders>
              <w:top w:val="single" w:color="auto" w:sz="4" w:space="0"/>
              <w:left w:val="nil"/>
              <w:bottom w:val="single" w:color="auto" w:sz="4" w:space="0"/>
              <w:right w:val="single" w:color="000000" w:sz="4" w:space="0"/>
            </w:tcBorders>
            <w:shd w:val="clear" w:color="auto" w:fill="auto"/>
            <w:vAlign w:val="center"/>
          </w:tcPr>
          <w:p w14:paraId="4A03A41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全年（调整）绩效目标</w:t>
            </w:r>
          </w:p>
        </w:tc>
        <w:tc>
          <w:tcPr>
            <w:tcW w:w="2453" w:type="dxa"/>
            <w:gridSpan w:val="3"/>
            <w:tcBorders>
              <w:top w:val="single" w:color="auto" w:sz="4" w:space="0"/>
              <w:left w:val="nil"/>
              <w:bottom w:val="single" w:color="auto" w:sz="4" w:space="0"/>
              <w:right w:val="single" w:color="000000" w:sz="4" w:space="0"/>
            </w:tcBorders>
            <w:shd w:val="clear" w:color="auto" w:fill="auto"/>
            <w:vAlign w:val="center"/>
          </w:tcPr>
          <w:p w14:paraId="1F85CA1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全年目标实际完成情况</w:t>
            </w:r>
          </w:p>
        </w:tc>
      </w:tr>
      <w:tr w14:paraId="33AE73B9">
        <w:tblPrEx>
          <w:tblCellMar>
            <w:top w:w="0" w:type="dxa"/>
            <w:left w:w="108" w:type="dxa"/>
            <w:bottom w:w="0" w:type="dxa"/>
            <w:right w:w="108" w:type="dxa"/>
          </w:tblCellMar>
        </w:tblPrEx>
        <w:trPr>
          <w:cantSplit/>
          <w:trHeight w:val="624" w:hRule="atLeast"/>
        </w:trPr>
        <w:tc>
          <w:tcPr>
            <w:tcW w:w="638" w:type="dxa"/>
            <w:vMerge w:val="continue"/>
            <w:tcBorders>
              <w:top w:val="nil"/>
              <w:left w:val="single" w:color="auto" w:sz="4" w:space="0"/>
              <w:bottom w:val="single" w:color="auto" w:sz="4" w:space="0"/>
              <w:right w:val="single" w:color="auto" w:sz="4" w:space="0"/>
            </w:tcBorders>
            <w:vAlign w:val="center"/>
          </w:tcPr>
          <w:p w14:paraId="109B1BCC">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2507" w:type="dxa"/>
            <w:gridSpan w:val="3"/>
            <w:tcBorders>
              <w:top w:val="single" w:color="auto" w:sz="4" w:space="0"/>
              <w:left w:val="nil"/>
              <w:bottom w:val="single" w:color="auto" w:sz="4" w:space="0"/>
              <w:right w:val="single" w:color="000000" w:sz="4" w:space="0"/>
            </w:tcBorders>
            <w:shd w:val="clear" w:color="auto" w:fill="auto"/>
            <w:vAlign w:val="center"/>
          </w:tcPr>
          <w:p w14:paraId="704B3B64">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按时完成农村客运车辆投保</w:t>
            </w:r>
            <w:r>
              <w:rPr>
                <w:rFonts w:hint="eastAsia" w:ascii="Times New Roman" w:hAnsi="Times New Roman" w:eastAsia="方正仿宋_GBK"/>
                <w:color w:val="auto"/>
                <w:sz w:val="18"/>
                <w:szCs w:val="18"/>
                <w:highlight w:val="none"/>
              </w:rPr>
              <w:t>　</w:t>
            </w:r>
          </w:p>
        </w:tc>
        <w:tc>
          <w:tcPr>
            <w:tcW w:w="3154" w:type="dxa"/>
            <w:gridSpan w:val="4"/>
            <w:tcBorders>
              <w:top w:val="single" w:color="auto" w:sz="4" w:space="0"/>
              <w:left w:val="nil"/>
              <w:bottom w:val="single" w:color="auto" w:sz="4" w:space="0"/>
              <w:right w:val="single" w:color="000000" w:sz="4" w:space="0"/>
            </w:tcBorders>
            <w:shd w:val="clear" w:color="auto" w:fill="auto"/>
            <w:vAlign w:val="center"/>
          </w:tcPr>
          <w:p w14:paraId="338ED8BC">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按时完成农村客运车辆投保</w:t>
            </w:r>
          </w:p>
        </w:tc>
        <w:tc>
          <w:tcPr>
            <w:tcW w:w="2453" w:type="dxa"/>
            <w:gridSpan w:val="3"/>
            <w:tcBorders>
              <w:top w:val="single" w:color="auto" w:sz="4" w:space="0"/>
              <w:left w:val="nil"/>
              <w:bottom w:val="single" w:color="auto" w:sz="4" w:space="0"/>
              <w:right w:val="single" w:color="000000" w:sz="4" w:space="0"/>
            </w:tcBorders>
            <w:shd w:val="clear" w:color="auto" w:fill="auto"/>
            <w:vAlign w:val="center"/>
          </w:tcPr>
          <w:p w14:paraId="401A7243">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按时完成农村客运车辆投保</w:t>
            </w:r>
          </w:p>
        </w:tc>
      </w:tr>
      <w:tr w14:paraId="2F0F5D17">
        <w:tblPrEx>
          <w:tblCellMar>
            <w:top w:w="0" w:type="dxa"/>
            <w:left w:w="108" w:type="dxa"/>
            <w:bottom w:w="0" w:type="dxa"/>
            <w:right w:w="108" w:type="dxa"/>
          </w:tblCellMar>
        </w:tblPrEx>
        <w:trPr>
          <w:cantSplit/>
          <w:trHeight w:val="601" w:hRule="atLeast"/>
        </w:trPr>
        <w:tc>
          <w:tcPr>
            <w:tcW w:w="638"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3DCA99C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绩效指标</w:t>
            </w:r>
          </w:p>
        </w:tc>
        <w:tc>
          <w:tcPr>
            <w:tcW w:w="1298" w:type="dxa"/>
            <w:tcBorders>
              <w:top w:val="nil"/>
              <w:left w:val="nil"/>
              <w:bottom w:val="single" w:color="auto" w:sz="4" w:space="0"/>
              <w:right w:val="nil"/>
            </w:tcBorders>
            <w:shd w:val="clear" w:color="auto" w:fill="auto"/>
            <w:vAlign w:val="center"/>
          </w:tcPr>
          <w:p w14:paraId="664F45B4">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指标名称</w:t>
            </w:r>
          </w:p>
        </w:tc>
        <w:tc>
          <w:tcPr>
            <w:tcW w:w="583" w:type="dxa"/>
            <w:tcBorders>
              <w:top w:val="nil"/>
              <w:left w:val="single" w:color="auto" w:sz="4" w:space="0"/>
              <w:bottom w:val="single" w:color="auto" w:sz="4" w:space="0"/>
              <w:right w:val="single" w:color="auto" w:sz="4" w:space="0"/>
            </w:tcBorders>
            <w:shd w:val="clear" w:color="auto" w:fill="auto"/>
            <w:vAlign w:val="center"/>
          </w:tcPr>
          <w:p w14:paraId="12BC8609">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计量</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单位</w:t>
            </w:r>
          </w:p>
        </w:tc>
        <w:tc>
          <w:tcPr>
            <w:tcW w:w="626" w:type="dxa"/>
            <w:tcBorders>
              <w:top w:val="nil"/>
              <w:left w:val="nil"/>
              <w:bottom w:val="single" w:color="auto" w:sz="4" w:space="0"/>
              <w:right w:val="single" w:color="auto" w:sz="4" w:space="0"/>
            </w:tcBorders>
            <w:shd w:val="clear" w:color="auto" w:fill="auto"/>
            <w:vAlign w:val="center"/>
          </w:tcPr>
          <w:p w14:paraId="78DFF634">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性质</w:t>
            </w:r>
          </w:p>
        </w:tc>
        <w:tc>
          <w:tcPr>
            <w:tcW w:w="762" w:type="dxa"/>
            <w:tcBorders>
              <w:top w:val="nil"/>
              <w:left w:val="nil"/>
              <w:bottom w:val="single" w:color="auto" w:sz="4" w:space="0"/>
              <w:right w:val="single" w:color="auto" w:sz="4" w:space="0"/>
            </w:tcBorders>
            <w:shd w:val="clear" w:color="auto" w:fill="auto"/>
            <w:vAlign w:val="center"/>
          </w:tcPr>
          <w:p w14:paraId="1490B5B2">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年初</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指标值</w:t>
            </w:r>
          </w:p>
        </w:tc>
        <w:tc>
          <w:tcPr>
            <w:tcW w:w="815" w:type="dxa"/>
            <w:tcBorders>
              <w:top w:val="nil"/>
              <w:left w:val="nil"/>
              <w:bottom w:val="single" w:color="auto" w:sz="4" w:space="0"/>
              <w:right w:val="single" w:color="auto" w:sz="4" w:space="0"/>
            </w:tcBorders>
            <w:shd w:val="clear" w:color="auto" w:fill="auto"/>
            <w:vAlign w:val="center"/>
          </w:tcPr>
          <w:p w14:paraId="696770F0">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调整</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指标值</w:t>
            </w:r>
          </w:p>
        </w:tc>
        <w:tc>
          <w:tcPr>
            <w:tcW w:w="798" w:type="dxa"/>
            <w:tcBorders>
              <w:top w:val="nil"/>
              <w:left w:val="nil"/>
              <w:bottom w:val="single" w:color="auto" w:sz="4" w:space="0"/>
              <w:right w:val="single" w:color="auto" w:sz="4" w:space="0"/>
            </w:tcBorders>
            <w:shd w:val="clear" w:color="auto" w:fill="auto"/>
            <w:vAlign w:val="center"/>
          </w:tcPr>
          <w:p w14:paraId="72A7A31C">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全年</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完成值</w:t>
            </w:r>
          </w:p>
        </w:tc>
        <w:tc>
          <w:tcPr>
            <w:tcW w:w="779" w:type="dxa"/>
            <w:tcBorders>
              <w:top w:val="nil"/>
              <w:left w:val="nil"/>
              <w:bottom w:val="single" w:color="auto" w:sz="4" w:space="0"/>
              <w:right w:val="single" w:color="auto" w:sz="4" w:space="0"/>
            </w:tcBorders>
            <w:shd w:val="clear" w:color="auto" w:fill="auto"/>
            <w:vAlign w:val="center"/>
          </w:tcPr>
          <w:p w14:paraId="5AE5B1EA">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得分</w:t>
            </w:r>
            <w:r>
              <w:rPr>
                <w:rFonts w:hint="eastAsia" w:ascii="Times New Roman" w:hAnsi="Times New Roman" w:eastAsia="方正仿宋_GBK"/>
                <w:color w:val="auto"/>
                <w:sz w:val="18"/>
                <w:szCs w:val="18"/>
                <w:highlight w:val="none"/>
                <w:lang w:val="en-US" w:eastAsia="zh-CN"/>
              </w:rPr>
              <w:t>系</w:t>
            </w:r>
            <w:r>
              <w:rPr>
                <w:rFonts w:hint="eastAsia" w:ascii="Times New Roman" w:hAnsi="Times New Roman" w:eastAsia="方正仿宋_GBK"/>
                <w:color w:val="auto"/>
                <w:sz w:val="18"/>
                <w:szCs w:val="18"/>
                <w:highlight w:val="none"/>
              </w:rPr>
              <w:t>数</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w:t>
            </w:r>
          </w:p>
        </w:tc>
        <w:tc>
          <w:tcPr>
            <w:tcW w:w="836" w:type="dxa"/>
            <w:tcBorders>
              <w:top w:val="nil"/>
              <w:left w:val="nil"/>
              <w:bottom w:val="single" w:color="auto" w:sz="4" w:space="0"/>
              <w:right w:val="single" w:color="auto" w:sz="4" w:space="0"/>
            </w:tcBorders>
            <w:shd w:val="clear" w:color="auto" w:fill="auto"/>
            <w:vAlign w:val="center"/>
          </w:tcPr>
          <w:p w14:paraId="3BC48C21">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指标权重</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（分）</w:t>
            </w:r>
          </w:p>
        </w:tc>
        <w:tc>
          <w:tcPr>
            <w:tcW w:w="758" w:type="dxa"/>
            <w:tcBorders>
              <w:top w:val="nil"/>
              <w:left w:val="nil"/>
              <w:bottom w:val="single" w:color="auto" w:sz="4" w:space="0"/>
              <w:right w:val="single" w:color="auto" w:sz="4" w:space="0"/>
            </w:tcBorders>
            <w:shd w:val="clear" w:color="auto" w:fill="auto"/>
            <w:vAlign w:val="center"/>
          </w:tcPr>
          <w:p w14:paraId="2691431B">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指标得分</w:t>
            </w:r>
            <w:r>
              <w:rPr>
                <w:rFonts w:hint="eastAsia" w:ascii="Times New Roman" w:hAnsi="Times New Roman" w:eastAsia="方正仿宋_GBK"/>
                <w:color w:val="auto"/>
                <w:sz w:val="18"/>
                <w:szCs w:val="18"/>
                <w:highlight w:val="none"/>
              </w:rPr>
              <w:br w:type="textWrapping"/>
            </w:r>
            <w:r>
              <w:rPr>
                <w:rFonts w:hint="eastAsia" w:ascii="Times New Roman" w:hAnsi="Times New Roman" w:eastAsia="方正仿宋_GBK"/>
                <w:color w:val="auto"/>
                <w:sz w:val="18"/>
                <w:szCs w:val="18"/>
                <w:highlight w:val="none"/>
              </w:rPr>
              <w:t>（分）</w:t>
            </w:r>
          </w:p>
        </w:tc>
        <w:tc>
          <w:tcPr>
            <w:tcW w:w="859" w:type="dxa"/>
            <w:tcBorders>
              <w:top w:val="nil"/>
              <w:left w:val="nil"/>
              <w:bottom w:val="single" w:color="auto" w:sz="4" w:space="0"/>
              <w:right w:val="single" w:color="auto" w:sz="4" w:space="0"/>
            </w:tcBorders>
            <w:shd w:val="clear" w:color="auto" w:fill="auto"/>
            <w:vAlign w:val="center"/>
          </w:tcPr>
          <w:p w14:paraId="2D3E35C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是否核心指标</w:t>
            </w:r>
          </w:p>
        </w:tc>
      </w:tr>
      <w:tr w14:paraId="3E87D8A6">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4D9A751">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04E5D0B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车辆保险</w:t>
            </w:r>
            <w:r>
              <w:rPr>
                <w:rFonts w:hint="eastAsia" w:ascii="Times New Roman" w:hAnsi="Times New Roman" w:eastAsia="方正仿宋_GBK"/>
                <w:color w:val="auto"/>
                <w:sz w:val="18"/>
                <w:szCs w:val="18"/>
                <w:highlight w:val="none"/>
              </w:rPr>
              <w:t>　</w:t>
            </w:r>
          </w:p>
        </w:tc>
        <w:tc>
          <w:tcPr>
            <w:tcW w:w="583" w:type="dxa"/>
            <w:tcBorders>
              <w:top w:val="nil"/>
              <w:left w:val="single" w:color="auto" w:sz="4" w:space="0"/>
              <w:bottom w:val="single" w:color="auto" w:sz="4" w:space="0"/>
              <w:right w:val="nil"/>
            </w:tcBorders>
            <w:shd w:val="clear" w:color="auto" w:fill="auto"/>
            <w:vAlign w:val="center"/>
          </w:tcPr>
          <w:p w14:paraId="50BD52B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家</w:t>
            </w: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268AE93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r>
              <w:rPr>
                <w:rFonts w:hint="eastAsia" w:ascii="Times New Roman" w:hAnsi="Times New Roman" w:eastAsia="方正仿宋_GBK"/>
                <w:color w:val="auto"/>
                <w:sz w:val="18"/>
                <w:szCs w:val="18"/>
                <w:highlight w:val="none"/>
                <w:lang w:val="en-US" w:eastAsia="zh-CN"/>
              </w:rPr>
              <w:t>=</w:t>
            </w:r>
          </w:p>
        </w:tc>
        <w:tc>
          <w:tcPr>
            <w:tcW w:w="762" w:type="dxa"/>
            <w:tcBorders>
              <w:top w:val="nil"/>
              <w:left w:val="single" w:color="auto" w:sz="4" w:space="0"/>
              <w:bottom w:val="single" w:color="auto" w:sz="4" w:space="0"/>
              <w:right w:val="nil"/>
            </w:tcBorders>
            <w:shd w:val="clear" w:color="auto" w:fill="auto"/>
            <w:vAlign w:val="center"/>
          </w:tcPr>
          <w:p w14:paraId="5FB6B3A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1AFB994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5C1482E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3D2D992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1404DC4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13</w:t>
            </w:r>
            <w:r>
              <w:rPr>
                <w:rFonts w:hint="eastAsia" w:ascii="Times New Roman" w:hAnsi="Times New Roman" w:eastAsia="方正仿宋_GBK"/>
                <w:color w:val="auto"/>
                <w:sz w:val="18"/>
                <w:szCs w:val="18"/>
                <w:highlight w:val="none"/>
              </w:rPr>
              <w:t>　</w:t>
            </w:r>
          </w:p>
        </w:tc>
        <w:tc>
          <w:tcPr>
            <w:tcW w:w="758" w:type="dxa"/>
            <w:tcBorders>
              <w:top w:val="nil"/>
              <w:left w:val="single" w:color="auto" w:sz="4" w:space="0"/>
              <w:bottom w:val="single" w:color="auto" w:sz="4" w:space="0"/>
              <w:right w:val="nil"/>
            </w:tcBorders>
            <w:shd w:val="clear" w:color="auto" w:fill="auto"/>
            <w:vAlign w:val="center"/>
          </w:tcPr>
          <w:p w14:paraId="7BE74DB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13</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31066AB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7A6EAF09">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3C6215C7">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385CF53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座位保险</w:t>
            </w:r>
            <w:r>
              <w:rPr>
                <w:rFonts w:hint="eastAsia" w:ascii="Times New Roman" w:hAnsi="Times New Roman" w:eastAsia="方正仿宋_GBK"/>
                <w:color w:val="auto"/>
                <w:sz w:val="18"/>
                <w:szCs w:val="18"/>
                <w:highlight w:val="none"/>
              </w:rPr>
              <w:t>　</w:t>
            </w:r>
          </w:p>
        </w:tc>
        <w:tc>
          <w:tcPr>
            <w:tcW w:w="583" w:type="dxa"/>
            <w:tcBorders>
              <w:top w:val="nil"/>
              <w:left w:val="single" w:color="auto" w:sz="4" w:space="0"/>
              <w:bottom w:val="single" w:color="auto" w:sz="4" w:space="0"/>
              <w:right w:val="nil"/>
            </w:tcBorders>
            <w:shd w:val="clear" w:color="auto" w:fill="auto"/>
            <w:vAlign w:val="center"/>
          </w:tcPr>
          <w:p w14:paraId="35AEC0B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0C65A8A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w:t>
            </w:r>
            <w:r>
              <w:rPr>
                <w:rFonts w:hint="eastAsia" w:ascii="Times New Roman" w:hAnsi="Times New Roman" w:eastAsia="方正仿宋_GBK"/>
                <w:color w:val="auto"/>
                <w:sz w:val="18"/>
                <w:szCs w:val="18"/>
                <w:highlight w:val="none"/>
              </w:rPr>
              <w:t>　</w:t>
            </w:r>
          </w:p>
        </w:tc>
        <w:tc>
          <w:tcPr>
            <w:tcW w:w="762" w:type="dxa"/>
            <w:tcBorders>
              <w:top w:val="nil"/>
              <w:left w:val="single" w:color="auto" w:sz="4" w:space="0"/>
              <w:bottom w:val="single" w:color="auto" w:sz="4" w:space="0"/>
              <w:right w:val="nil"/>
            </w:tcBorders>
            <w:shd w:val="clear" w:color="auto" w:fill="auto"/>
            <w:vAlign w:val="center"/>
          </w:tcPr>
          <w:p w14:paraId="46E0A4E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50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5D9778F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6895406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50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3A6371BD">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1D1A5421">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13</w:t>
            </w:r>
          </w:p>
        </w:tc>
        <w:tc>
          <w:tcPr>
            <w:tcW w:w="758" w:type="dxa"/>
            <w:tcBorders>
              <w:top w:val="nil"/>
              <w:left w:val="single" w:color="auto" w:sz="4" w:space="0"/>
              <w:bottom w:val="single" w:color="auto" w:sz="4" w:space="0"/>
              <w:right w:val="nil"/>
            </w:tcBorders>
            <w:shd w:val="clear" w:color="auto" w:fill="auto"/>
            <w:vAlign w:val="center"/>
          </w:tcPr>
          <w:p w14:paraId="2413C8A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13</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73F0F0B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6B5FF44D">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492236C8">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250A7AF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座位投保有效期</w:t>
            </w:r>
            <w:r>
              <w:rPr>
                <w:rFonts w:hint="eastAsia" w:ascii="Times New Roman" w:hAnsi="Times New Roman" w:eastAsia="方正仿宋_GBK"/>
                <w:color w:val="auto"/>
                <w:sz w:val="18"/>
                <w:szCs w:val="18"/>
                <w:highlight w:val="none"/>
              </w:rPr>
              <w:t>　</w:t>
            </w:r>
          </w:p>
        </w:tc>
        <w:tc>
          <w:tcPr>
            <w:tcW w:w="583" w:type="dxa"/>
            <w:tcBorders>
              <w:top w:val="nil"/>
              <w:left w:val="single" w:color="auto" w:sz="4" w:space="0"/>
              <w:bottom w:val="single" w:color="auto" w:sz="4" w:space="0"/>
              <w:right w:val="nil"/>
            </w:tcBorders>
            <w:shd w:val="clear" w:color="auto" w:fill="auto"/>
            <w:vAlign w:val="center"/>
          </w:tcPr>
          <w:p w14:paraId="110C8A7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2AC80BA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762" w:type="dxa"/>
            <w:tcBorders>
              <w:top w:val="nil"/>
              <w:left w:val="single" w:color="auto" w:sz="4" w:space="0"/>
              <w:bottom w:val="single" w:color="auto" w:sz="4" w:space="0"/>
              <w:right w:val="nil"/>
            </w:tcBorders>
            <w:shd w:val="clear" w:color="auto" w:fill="auto"/>
            <w:vAlign w:val="center"/>
          </w:tcPr>
          <w:p w14:paraId="62452C31">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1D9568E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0F60847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6C514DC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109756F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14</w:t>
            </w:r>
            <w:r>
              <w:rPr>
                <w:rFonts w:hint="eastAsia" w:ascii="Times New Roman" w:hAnsi="Times New Roman" w:eastAsia="方正仿宋_GBK"/>
                <w:color w:val="auto"/>
                <w:sz w:val="18"/>
                <w:szCs w:val="18"/>
                <w:highlight w:val="none"/>
              </w:rPr>
              <w:t>　</w:t>
            </w:r>
          </w:p>
        </w:tc>
        <w:tc>
          <w:tcPr>
            <w:tcW w:w="758" w:type="dxa"/>
            <w:tcBorders>
              <w:top w:val="nil"/>
              <w:left w:val="single" w:color="auto" w:sz="4" w:space="0"/>
              <w:bottom w:val="single" w:color="auto" w:sz="4" w:space="0"/>
              <w:right w:val="nil"/>
            </w:tcBorders>
            <w:shd w:val="clear" w:color="auto" w:fill="auto"/>
            <w:vAlign w:val="center"/>
          </w:tcPr>
          <w:p w14:paraId="5654559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14</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70B555E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4CAE00DC">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E9A00DE">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101E7C4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有效减轻农村客运车辆补贴</w:t>
            </w:r>
            <w:r>
              <w:rPr>
                <w:rFonts w:hint="eastAsia" w:ascii="Times New Roman" w:hAnsi="Times New Roman" w:eastAsia="方正仿宋_GBK"/>
                <w:color w:val="auto"/>
                <w:sz w:val="18"/>
                <w:szCs w:val="18"/>
                <w:highlight w:val="none"/>
              </w:rPr>
              <w:t>　</w:t>
            </w:r>
          </w:p>
        </w:tc>
        <w:tc>
          <w:tcPr>
            <w:tcW w:w="583" w:type="dxa"/>
            <w:tcBorders>
              <w:top w:val="nil"/>
              <w:left w:val="single" w:color="auto" w:sz="4" w:space="0"/>
              <w:bottom w:val="single" w:color="auto" w:sz="4" w:space="0"/>
              <w:right w:val="nil"/>
            </w:tcBorders>
            <w:shd w:val="clear" w:color="auto" w:fill="auto"/>
            <w:vAlign w:val="center"/>
          </w:tcPr>
          <w:p w14:paraId="44CC2AC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334CDD0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定性</w:t>
            </w:r>
            <w:r>
              <w:rPr>
                <w:rFonts w:hint="eastAsia" w:ascii="Times New Roman" w:hAnsi="Times New Roman" w:eastAsia="方正仿宋_GBK"/>
                <w:color w:val="auto"/>
                <w:sz w:val="18"/>
                <w:szCs w:val="18"/>
                <w:highlight w:val="none"/>
              </w:rPr>
              <w:t>　</w:t>
            </w:r>
          </w:p>
        </w:tc>
        <w:tc>
          <w:tcPr>
            <w:tcW w:w="762" w:type="dxa"/>
            <w:tcBorders>
              <w:top w:val="nil"/>
              <w:left w:val="single" w:color="auto" w:sz="4" w:space="0"/>
              <w:bottom w:val="single" w:color="auto" w:sz="4" w:space="0"/>
              <w:right w:val="nil"/>
            </w:tcBorders>
            <w:shd w:val="clear" w:color="auto" w:fill="auto"/>
            <w:vAlign w:val="center"/>
          </w:tcPr>
          <w:p w14:paraId="056509E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有效减轻</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42A88C4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39BD2C9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eastAsia="zh-CN"/>
              </w:rPr>
              <w:t>有效减轻</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75D7AB8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25C954E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758" w:type="dxa"/>
            <w:tcBorders>
              <w:top w:val="nil"/>
              <w:left w:val="single" w:color="auto" w:sz="4" w:space="0"/>
              <w:bottom w:val="single" w:color="auto" w:sz="4" w:space="0"/>
              <w:right w:val="nil"/>
            </w:tcBorders>
            <w:shd w:val="clear" w:color="auto" w:fill="auto"/>
            <w:vAlign w:val="center"/>
          </w:tcPr>
          <w:p w14:paraId="5C0631AA">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15</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23791224">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3F02850B">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62828BE6">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0C45DF42">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lang w:eastAsia="zh-CN"/>
              </w:rPr>
            </w:pPr>
            <w:r>
              <w:rPr>
                <w:rFonts w:hint="eastAsia" w:ascii="Times New Roman" w:hAnsi="Times New Roman" w:eastAsia="方正仿宋_GBK"/>
                <w:color w:val="auto"/>
                <w:sz w:val="18"/>
                <w:szCs w:val="18"/>
                <w:highlight w:val="none"/>
                <w:lang w:eastAsia="zh-CN"/>
              </w:rPr>
              <w:t>农村公交客运车辆保险费</w:t>
            </w:r>
          </w:p>
        </w:tc>
        <w:tc>
          <w:tcPr>
            <w:tcW w:w="583" w:type="dxa"/>
            <w:tcBorders>
              <w:top w:val="nil"/>
              <w:left w:val="single" w:color="auto" w:sz="4" w:space="0"/>
              <w:bottom w:val="single" w:color="auto" w:sz="4" w:space="0"/>
              <w:right w:val="nil"/>
            </w:tcBorders>
            <w:shd w:val="clear" w:color="auto" w:fill="auto"/>
            <w:vAlign w:val="center"/>
          </w:tcPr>
          <w:p w14:paraId="3F0CDA89">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万元</w:t>
            </w:r>
          </w:p>
        </w:tc>
        <w:tc>
          <w:tcPr>
            <w:tcW w:w="626" w:type="dxa"/>
            <w:tcBorders>
              <w:top w:val="nil"/>
              <w:left w:val="single" w:color="auto" w:sz="4" w:space="0"/>
              <w:bottom w:val="single" w:color="auto" w:sz="4" w:space="0"/>
              <w:right w:val="nil"/>
            </w:tcBorders>
            <w:shd w:val="clear" w:color="auto" w:fill="auto"/>
            <w:vAlign w:val="center"/>
          </w:tcPr>
          <w:p w14:paraId="5B402605">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宋体" w:cs="宋体"/>
                <w:i w:val="0"/>
                <w:color w:val="auto"/>
                <w:kern w:val="0"/>
                <w:sz w:val="20"/>
                <w:szCs w:val="20"/>
                <w:highlight w:val="none"/>
              </w:rPr>
            </w:pPr>
            <w:r>
              <w:rPr>
                <w:rFonts w:hint="eastAsia" w:ascii="Times New Roman" w:hAnsi="Times New Roman" w:eastAsia="方正仿宋_GBK"/>
                <w:color w:val="auto"/>
                <w:sz w:val="18"/>
                <w:szCs w:val="18"/>
                <w:highlight w:val="none"/>
                <w:lang w:val="en-US" w:eastAsia="zh-CN"/>
              </w:rPr>
              <w:t>≥</w:t>
            </w:r>
          </w:p>
        </w:tc>
        <w:tc>
          <w:tcPr>
            <w:tcW w:w="762" w:type="dxa"/>
            <w:tcBorders>
              <w:top w:val="nil"/>
              <w:left w:val="single" w:color="auto" w:sz="4" w:space="0"/>
              <w:bottom w:val="single" w:color="auto" w:sz="4" w:space="0"/>
              <w:right w:val="nil"/>
            </w:tcBorders>
            <w:shd w:val="clear" w:color="auto" w:fill="auto"/>
            <w:vAlign w:val="center"/>
          </w:tcPr>
          <w:p w14:paraId="5EFD4584">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23</w:t>
            </w:r>
          </w:p>
        </w:tc>
        <w:tc>
          <w:tcPr>
            <w:tcW w:w="815" w:type="dxa"/>
            <w:tcBorders>
              <w:top w:val="nil"/>
              <w:left w:val="single" w:color="auto" w:sz="4" w:space="0"/>
              <w:bottom w:val="single" w:color="auto" w:sz="4" w:space="0"/>
              <w:right w:val="nil"/>
            </w:tcBorders>
            <w:shd w:val="clear" w:color="auto" w:fill="auto"/>
            <w:vAlign w:val="center"/>
          </w:tcPr>
          <w:p w14:paraId="1F793672">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p>
        </w:tc>
        <w:tc>
          <w:tcPr>
            <w:tcW w:w="798" w:type="dxa"/>
            <w:tcBorders>
              <w:top w:val="nil"/>
              <w:left w:val="single" w:color="auto" w:sz="4" w:space="0"/>
              <w:bottom w:val="single" w:color="auto" w:sz="4" w:space="0"/>
              <w:right w:val="nil"/>
            </w:tcBorders>
            <w:shd w:val="clear" w:color="auto" w:fill="auto"/>
            <w:vAlign w:val="center"/>
          </w:tcPr>
          <w:p w14:paraId="664BB7B6">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30.68</w:t>
            </w:r>
          </w:p>
        </w:tc>
        <w:tc>
          <w:tcPr>
            <w:tcW w:w="779" w:type="dxa"/>
            <w:tcBorders>
              <w:top w:val="nil"/>
              <w:left w:val="single" w:color="auto" w:sz="4" w:space="0"/>
              <w:bottom w:val="single" w:color="auto" w:sz="4" w:space="0"/>
              <w:right w:val="nil"/>
            </w:tcBorders>
            <w:shd w:val="clear" w:color="auto" w:fill="auto"/>
            <w:vAlign w:val="center"/>
          </w:tcPr>
          <w:p w14:paraId="62F46610">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6C852834">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15</w:t>
            </w:r>
          </w:p>
        </w:tc>
        <w:tc>
          <w:tcPr>
            <w:tcW w:w="758" w:type="dxa"/>
            <w:tcBorders>
              <w:top w:val="nil"/>
              <w:left w:val="single" w:color="auto" w:sz="4" w:space="0"/>
              <w:bottom w:val="single" w:color="auto" w:sz="4" w:space="0"/>
              <w:right w:val="nil"/>
            </w:tcBorders>
            <w:shd w:val="clear" w:color="auto" w:fill="auto"/>
            <w:vAlign w:val="center"/>
          </w:tcPr>
          <w:p w14:paraId="45E92A67">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15</w:t>
            </w:r>
          </w:p>
        </w:tc>
        <w:tc>
          <w:tcPr>
            <w:tcW w:w="859" w:type="dxa"/>
            <w:tcBorders>
              <w:top w:val="nil"/>
              <w:left w:val="single" w:color="auto" w:sz="4" w:space="0"/>
              <w:bottom w:val="single" w:color="auto" w:sz="4" w:space="0"/>
              <w:right w:val="single" w:color="auto" w:sz="4" w:space="0"/>
            </w:tcBorders>
            <w:shd w:val="clear" w:color="auto" w:fill="auto"/>
            <w:vAlign w:val="center"/>
          </w:tcPr>
          <w:p w14:paraId="598868D6">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_GBK"/>
                <w:color w:val="auto"/>
                <w:sz w:val="18"/>
                <w:szCs w:val="18"/>
                <w:highlight w:val="none"/>
              </w:rPr>
            </w:pPr>
          </w:p>
        </w:tc>
      </w:tr>
      <w:tr w14:paraId="6F6D0D2C">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5017B582">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451F8893">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补助对象满意度　</w:t>
            </w:r>
          </w:p>
        </w:tc>
        <w:tc>
          <w:tcPr>
            <w:tcW w:w="583" w:type="dxa"/>
            <w:tcBorders>
              <w:top w:val="nil"/>
              <w:left w:val="single" w:color="auto" w:sz="4" w:space="0"/>
              <w:bottom w:val="single" w:color="auto" w:sz="4" w:space="0"/>
              <w:right w:val="nil"/>
            </w:tcBorders>
            <w:shd w:val="clear" w:color="auto" w:fill="auto"/>
            <w:vAlign w:val="center"/>
          </w:tcPr>
          <w:p w14:paraId="348C830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446A4EE7">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宋体" w:cs="宋体"/>
                <w:i w:val="0"/>
                <w:color w:val="auto"/>
                <w:kern w:val="0"/>
                <w:sz w:val="20"/>
                <w:szCs w:val="20"/>
                <w:highlight w:val="none"/>
              </w:rPr>
              <w:t xml:space="preserve"> </w:t>
            </w: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762" w:type="dxa"/>
            <w:tcBorders>
              <w:top w:val="nil"/>
              <w:left w:val="single" w:color="auto" w:sz="4" w:space="0"/>
              <w:bottom w:val="single" w:color="auto" w:sz="4" w:space="0"/>
              <w:right w:val="nil"/>
            </w:tcBorders>
            <w:shd w:val="clear" w:color="auto" w:fill="auto"/>
            <w:vAlign w:val="center"/>
          </w:tcPr>
          <w:p w14:paraId="578F17F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90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44C7B370">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1395324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3A3CD47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5C7C2F9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758" w:type="dxa"/>
            <w:tcBorders>
              <w:top w:val="nil"/>
              <w:left w:val="single" w:color="auto" w:sz="4" w:space="0"/>
              <w:bottom w:val="single" w:color="auto" w:sz="4" w:space="0"/>
              <w:right w:val="nil"/>
            </w:tcBorders>
            <w:shd w:val="clear" w:color="auto" w:fill="auto"/>
            <w:vAlign w:val="center"/>
          </w:tcPr>
          <w:p w14:paraId="580FB386">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20</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2E6646EC">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3ECEA4AC">
        <w:tblPrEx>
          <w:tblCellMar>
            <w:top w:w="0" w:type="dxa"/>
            <w:left w:w="108" w:type="dxa"/>
            <w:bottom w:w="0" w:type="dxa"/>
            <w:right w:w="108" w:type="dxa"/>
          </w:tblCellMar>
        </w:tblPrEx>
        <w:trPr>
          <w:cantSplit/>
          <w:trHeight w:val="523" w:hRule="atLeast"/>
        </w:trPr>
        <w:tc>
          <w:tcPr>
            <w:tcW w:w="638" w:type="dxa"/>
            <w:vMerge w:val="continue"/>
            <w:tcBorders>
              <w:top w:val="nil"/>
              <w:left w:val="single" w:color="auto" w:sz="4" w:space="0"/>
              <w:bottom w:val="single" w:color="auto" w:sz="4" w:space="0"/>
              <w:right w:val="single" w:color="auto" w:sz="4" w:space="0"/>
            </w:tcBorders>
            <w:vAlign w:val="center"/>
          </w:tcPr>
          <w:p w14:paraId="579D2178">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p>
        </w:tc>
        <w:tc>
          <w:tcPr>
            <w:tcW w:w="1298" w:type="dxa"/>
            <w:tcBorders>
              <w:top w:val="nil"/>
              <w:left w:val="nil"/>
              <w:bottom w:val="single" w:color="auto" w:sz="4" w:space="0"/>
              <w:right w:val="nil"/>
            </w:tcBorders>
            <w:shd w:val="clear" w:color="auto" w:fill="auto"/>
            <w:vAlign w:val="center"/>
          </w:tcPr>
          <w:p w14:paraId="7D79BE79">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s="宋体"/>
                <w:color w:val="auto"/>
                <w:kern w:val="0"/>
                <w:sz w:val="18"/>
                <w:szCs w:val="18"/>
                <w:highlight w:val="none"/>
                <w:lang w:val="en-US" w:eastAsia="zh-CN"/>
              </w:rPr>
              <w:t>资金执行率</w:t>
            </w:r>
          </w:p>
        </w:tc>
        <w:tc>
          <w:tcPr>
            <w:tcW w:w="583" w:type="dxa"/>
            <w:tcBorders>
              <w:top w:val="nil"/>
              <w:left w:val="single" w:color="auto" w:sz="4" w:space="0"/>
              <w:bottom w:val="single" w:color="auto" w:sz="4" w:space="0"/>
              <w:right w:val="nil"/>
            </w:tcBorders>
            <w:shd w:val="clear" w:color="auto" w:fill="auto"/>
            <w:vAlign w:val="center"/>
          </w:tcPr>
          <w:p w14:paraId="14F9FF5E">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626" w:type="dxa"/>
            <w:tcBorders>
              <w:top w:val="nil"/>
              <w:left w:val="single" w:color="auto" w:sz="4" w:space="0"/>
              <w:bottom w:val="single" w:color="auto" w:sz="4" w:space="0"/>
              <w:right w:val="nil"/>
            </w:tcBorders>
            <w:shd w:val="clear" w:color="auto" w:fill="auto"/>
            <w:vAlign w:val="center"/>
          </w:tcPr>
          <w:p w14:paraId="1B5D83F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w:t>
            </w:r>
            <w:r>
              <w:rPr>
                <w:rFonts w:hint="eastAsia" w:ascii="Times New Roman" w:hAnsi="Times New Roman" w:eastAsia="方正仿宋_GBK"/>
                <w:color w:val="auto"/>
                <w:sz w:val="18"/>
                <w:szCs w:val="18"/>
                <w:highlight w:val="none"/>
              </w:rPr>
              <w:t>　</w:t>
            </w:r>
          </w:p>
        </w:tc>
        <w:tc>
          <w:tcPr>
            <w:tcW w:w="762" w:type="dxa"/>
            <w:tcBorders>
              <w:top w:val="nil"/>
              <w:left w:val="single" w:color="auto" w:sz="4" w:space="0"/>
              <w:bottom w:val="single" w:color="auto" w:sz="4" w:space="0"/>
              <w:right w:val="nil"/>
            </w:tcBorders>
            <w:shd w:val="clear" w:color="auto" w:fill="auto"/>
            <w:vAlign w:val="center"/>
          </w:tcPr>
          <w:p w14:paraId="708C17A8">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15" w:type="dxa"/>
            <w:tcBorders>
              <w:top w:val="nil"/>
              <w:left w:val="single" w:color="auto" w:sz="4" w:space="0"/>
              <w:bottom w:val="single" w:color="auto" w:sz="4" w:space="0"/>
              <w:right w:val="nil"/>
            </w:tcBorders>
            <w:shd w:val="clear" w:color="auto" w:fill="auto"/>
            <w:vAlign w:val="center"/>
          </w:tcPr>
          <w:p w14:paraId="0C9BBD5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c>
          <w:tcPr>
            <w:tcW w:w="798" w:type="dxa"/>
            <w:tcBorders>
              <w:top w:val="nil"/>
              <w:left w:val="single" w:color="auto" w:sz="4" w:space="0"/>
              <w:bottom w:val="single" w:color="auto" w:sz="4" w:space="0"/>
              <w:right w:val="nil"/>
            </w:tcBorders>
            <w:shd w:val="clear" w:color="auto" w:fill="auto"/>
            <w:vAlign w:val="center"/>
          </w:tcPr>
          <w:p w14:paraId="0AB2BE6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779" w:type="dxa"/>
            <w:tcBorders>
              <w:top w:val="nil"/>
              <w:left w:val="single" w:color="auto" w:sz="4" w:space="0"/>
              <w:bottom w:val="single" w:color="auto" w:sz="4" w:space="0"/>
              <w:right w:val="nil"/>
            </w:tcBorders>
            <w:shd w:val="clear" w:color="auto" w:fill="auto"/>
            <w:vAlign w:val="center"/>
          </w:tcPr>
          <w:p w14:paraId="6B46A4DB">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100%</w:t>
            </w:r>
            <w:r>
              <w:rPr>
                <w:rFonts w:hint="eastAsia" w:ascii="Times New Roman" w:hAnsi="Times New Roman" w:eastAsia="方正仿宋_GBK"/>
                <w:color w:val="auto"/>
                <w:sz w:val="18"/>
                <w:szCs w:val="18"/>
                <w:highlight w:val="none"/>
              </w:rPr>
              <w:t>　</w:t>
            </w:r>
          </w:p>
        </w:tc>
        <w:tc>
          <w:tcPr>
            <w:tcW w:w="836" w:type="dxa"/>
            <w:tcBorders>
              <w:top w:val="nil"/>
              <w:left w:val="single" w:color="auto" w:sz="4" w:space="0"/>
              <w:bottom w:val="single" w:color="auto" w:sz="4" w:space="0"/>
              <w:right w:val="nil"/>
            </w:tcBorders>
            <w:shd w:val="clear" w:color="auto" w:fill="auto"/>
            <w:vAlign w:val="center"/>
          </w:tcPr>
          <w:p w14:paraId="14107A50">
            <w:pPr>
              <w:keepNext w:val="0"/>
              <w:keepLines w:val="0"/>
              <w:pageBreakBefore w:val="0"/>
              <w:widowControl w:val="0"/>
              <w:kinsoku/>
              <w:overflowPunct/>
              <w:topLinePunct w:val="0"/>
              <w:autoSpaceDE/>
              <w:autoSpaceDN/>
              <w:bidi w:val="0"/>
              <w:adjustRightInd/>
              <w:snapToGrid/>
              <w:jc w:val="center"/>
              <w:textAlignment w:val="auto"/>
              <w:rPr>
                <w:rFonts w:hint="default" w:ascii="Times New Roman" w:hAnsi="Times New Roman" w:eastAsia="方正仿宋_GBK"/>
                <w:color w:val="auto"/>
                <w:sz w:val="18"/>
                <w:szCs w:val="18"/>
                <w:highlight w:val="none"/>
                <w:lang w:val="en-US" w:eastAsia="zh-CN"/>
              </w:rPr>
            </w:pPr>
            <w:r>
              <w:rPr>
                <w:rFonts w:hint="eastAsia" w:ascii="Times New Roman" w:hAnsi="Times New Roman" w:eastAsia="方正仿宋_GBK"/>
                <w:color w:val="auto"/>
                <w:sz w:val="18"/>
                <w:szCs w:val="18"/>
                <w:highlight w:val="none"/>
                <w:lang w:val="en-US" w:eastAsia="zh-CN"/>
              </w:rPr>
              <w:t>10</w:t>
            </w:r>
          </w:p>
        </w:tc>
        <w:tc>
          <w:tcPr>
            <w:tcW w:w="758" w:type="dxa"/>
            <w:tcBorders>
              <w:top w:val="nil"/>
              <w:left w:val="single" w:color="auto" w:sz="4" w:space="0"/>
              <w:bottom w:val="single" w:color="auto" w:sz="4" w:space="0"/>
              <w:right w:val="nil"/>
            </w:tcBorders>
            <w:shd w:val="clear" w:color="auto" w:fill="auto"/>
            <w:vAlign w:val="center"/>
          </w:tcPr>
          <w:p w14:paraId="512CD6B2">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lang w:val="en-US" w:eastAsia="zh-CN"/>
              </w:rPr>
              <w:t>10</w:t>
            </w:r>
            <w:r>
              <w:rPr>
                <w:rFonts w:hint="eastAsia" w:ascii="Times New Roman" w:hAnsi="Times New Roman" w:eastAsia="方正仿宋_GBK"/>
                <w:color w:val="auto"/>
                <w:sz w:val="18"/>
                <w:szCs w:val="18"/>
                <w:highlight w:val="none"/>
              </w:rPr>
              <w:t>　</w:t>
            </w:r>
          </w:p>
        </w:tc>
        <w:tc>
          <w:tcPr>
            <w:tcW w:w="859" w:type="dxa"/>
            <w:tcBorders>
              <w:top w:val="nil"/>
              <w:left w:val="single" w:color="auto" w:sz="4" w:space="0"/>
              <w:bottom w:val="single" w:color="auto" w:sz="4" w:space="0"/>
              <w:right w:val="single" w:color="auto" w:sz="4" w:space="0"/>
            </w:tcBorders>
            <w:shd w:val="clear" w:color="auto" w:fill="auto"/>
            <w:vAlign w:val="center"/>
          </w:tcPr>
          <w:p w14:paraId="730F4EDF">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r w14:paraId="184F8438">
        <w:tblPrEx>
          <w:tblCellMar>
            <w:top w:w="0" w:type="dxa"/>
            <w:left w:w="108" w:type="dxa"/>
            <w:bottom w:w="0" w:type="dxa"/>
            <w:right w:w="108" w:type="dxa"/>
          </w:tblCellMar>
        </w:tblPrEx>
        <w:trPr>
          <w:trHeight w:val="411" w:hRule="atLeast"/>
        </w:trPr>
        <w:tc>
          <w:tcPr>
            <w:tcW w:w="638" w:type="dxa"/>
            <w:tcBorders>
              <w:top w:val="nil"/>
              <w:left w:val="single" w:color="auto" w:sz="4" w:space="0"/>
              <w:bottom w:val="single" w:color="auto" w:sz="4" w:space="0"/>
              <w:right w:val="single" w:color="auto" w:sz="4" w:space="0"/>
            </w:tcBorders>
            <w:shd w:val="clear" w:color="auto" w:fill="auto"/>
            <w:vAlign w:val="center"/>
          </w:tcPr>
          <w:p w14:paraId="4EB00E05">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说明</w:t>
            </w:r>
          </w:p>
        </w:tc>
        <w:tc>
          <w:tcPr>
            <w:tcW w:w="8114" w:type="dxa"/>
            <w:gridSpan w:val="10"/>
            <w:tcBorders>
              <w:top w:val="single" w:color="auto" w:sz="4" w:space="0"/>
              <w:left w:val="nil"/>
              <w:bottom w:val="single" w:color="auto" w:sz="4" w:space="0"/>
              <w:right w:val="single" w:color="auto" w:sz="4" w:space="0"/>
            </w:tcBorders>
            <w:shd w:val="clear" w:color="auto" w:fill="auto"/>
            <w:vAlign w:val="center"/>
          </w:tcPr>
          <w:p w14:paraId="50BC41C1">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_GBK"/>
                <w:color w:val="auto"/>
                <w:sz w:val="18"/>
                <w:szCs w:val="18"/>
                <w:highlight w:val="none"/>
              </w:rPr>
            </w:pPr>
            <w:r>
              <w:rPr>
                <w:rFonts w:hint="eastAsia" w:ascii="Times New Roman" w:hAnsi="Times New Roman" w:eastAsia="方正仿宋_GBK"/>
                <w:color w:val="auto"/>
                <w:sz w:val="18"/>
                <w:szCs w:val="18"/>
                <w:highlight w:val="none"/>
              </w:rPr>
              <w:t>　</w:t>
            </w:r>
          </w:p>
        </w:tc>
      </w:tr>
    </w:tbl>
    <w:p w14:paraId="3F0C8A21">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left="0" w:leftChars="0" w:firstLine="640" w:firstLineChars="200"/>
        <w:textAlignment w:val="auto"/>
        <w:rPr>
          <w:rFonts w:hint="eastAsia" w:ascii="Times New Roman" w:hAnsi="Times New Roman" w:eastAsia="方正楷体_GBK" w:cs="方正楷体_GBK"/>
          <w:b w:val="0"/>
          <w:bCs/>
          <w:color w:val="auto"/>
          <w:kern w:val="0"/>
          <w:sz w:val="32"/>
          <w:szCs w:val="32"/>
          <w:highlight w:val="none"/>
        </w:rPr>
      </w:pPr>
      <w:r>
        <w:rPr>
          <w:rFonts w:hint="eastAsia" w:ascii="Times New Roman" w:hAnsi="Times New Roman" w:eastAsia="方正楷体_GBK" w:cs="方正楷体_GBK"/>
          <w:b w:val="0"/>
          <w:bCs/>
          <w:color w:val="auto"/>
          <w:kern w:val="0"/>
          <w:sz w:val="32"/>
          <w:szCs w:val="32"/>
          <w:highlight w:val="none"/>
        </w:rPr>
        <w:t>（三）重点绩效评价结果</w:t>
      </w:r>
    </w:p>
    <w:p w14:paraId="05F67581">
      <w:pPr>
        <w:pStyle w:val="14"/>
        <w:keepNext w:val="0"/>
        <w:keepLines w:val="0"/>
        <w:pageBreakBefore w:val="0"/>
        <w:widowControl w:val="0"/>
        <w:tabs>
          <w:tab w:val="center" w:pos="4153"/>
          <w:tab w:val="left" w:pos="7275"/>
        </w:tabs>
        <w:kinsoku/>
        <w:wordWrap/>
        <w:overflowPunct/>
        <w:topLinePunct w:val="0"/>
        <w:autoSpaceDE/>
        <w:autoSpaceDN/>
        <w:bidi w:val="0"/>
        <w:adjustRightInd/>
        <w:snapToGrid/>
        <w:spacing w:line="594" w:lineRule="exact"/>
        <w:ind w:firstLine="640"/>
        <w:textAlignment w:val="auto"/>
        <w:rPr>
          <w:rFonts w:ascii="Times New Roman" w:hAnsi="Times New Roman" w:eastAsia="方正仿宋_GBK" w:cs="宋体"/>
          <w:b/>
          <w:color w:val="auto"/>
          <w:kern w:val="0"/>
          <w:sz w:val="32"/>
          <w:szCs w:val="32"/>
          <w:highlight w:val="none"/>
        </w:rPr>
      </w:pPr>
      <w:r>
        <w:rPr>
          <w:rFonts w:hint="eastAsia" w:ascii="Times New Roman" w:hAnsi="Times New Roman" w:eastAsia="方正仿宋_GBK"/>
          <w:color w:val="auto"/>
          <w:sz w:val="32"/>
          <w:szCs w:val="32"/>
          <w:highlight w:val="none"/>
        </w:rPr>
        <w:t>本</w:t>
      </w:r>
      <w:r>
        <w:rPr>
          <w:rFonts w:hint="eastAsia" w:ascii="Times New Roman" w:hAnsi="Times New Roman" w:eastAsia="方正仿宋_GBK"/>
          <w:color w:val="auto"/>
          <w:sz w:val="32"/>
          <w:szCs w:val="32"/>
          <w:highlight w:val="none"/>
          <w:lang w:val="en-US" w:eastAsia="zh-CN"/>
        </w:rPr>
        <w:t>部门</w:t>
      </w:r>
      <w:r>
        <w:rPr>
          <w:rFonts w:hint="eastAsia" w:ascii="Times New Roman" w:hAnsi="Times New Roman" w:eastAsia="方正仿宋_GBK"/>
          <w:color w:val="auto"/>
          <w:sz w:val="32"/>
          <w:szCs w:val="32"/>
          <w:highlight w:val="none"/>
        </w:rPr>
        <w:t>2020年度</w:t>
      </w:r>
      <w:r>
        <w:rPr>
          <w:rFonts w:hint="eastAsia" w:ascii="Times New Roman" w:hAnsi="Times New Roman" w:eastAsia="方正仿宋_GBK"/>
          <w:color w:val="auto"/>
          <w:sz w:val="32"/>
          <w:szCs w:val="32"/>
          <w:highlight w:val="none"/>
          <w:lang w:eastAsia="zh-CN"/>
        </w:rPr>
        <w:t>无</w:t>
      </w:r>
      <w:r>
        <w:rPr>
          <w:rFonts w:hint="eastAsia" w:ascii="Times New Roman" w:hAnsi="Times New Roman" w:eastAsia="方正仿宋_GBK"/>
          <w:color w:val="auto"/>
          <w:sz w:val="32"/>
          <w:szCs w:val="32"/>
          <w:highlight w:val="none"/>
        </w:rPr>
        <w:t>重点绩效评价</w:t>
      </w:r>
      <w:r>
        <w:rPr>
          <w:rFonts w:hint="eastAsia" w:ascii="Times New Roman" w:hAnsi="Times New Roman" w:eastAsia="方正仿宋_GBK"/>
          <w:color w:val="auto"/>
          <w:sz w:val="32"/>
          <w:szCs w:val="32"/>
          <w:highlight w:val="none"/>
          <w:lang w:eastAsia="zh-CN"/>
        </w:rPr>
        <w:t>项目。</w:t>
      </w:r>
    </w:p>
    <w:p w14:paraId="57C8D14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Style w:val="10"/>
          <w:rFonts w:ascii="Times New Roman" w:hAnsi="Times New Roman" w:eastAsia="方正黑体_GBK"/>
          <w:color w:val="auto"/>
          <w:highlight w:val="none"/>
        </w:rPr>
      </w:pPr>
      <w:r>
        <w:rPr>
          <w:rStyle w:val="10"/>
          <w:rFonts w:hint="eastAsia" w:ascii="Times New Roman" w:hAnsi="Times New Roman" w:eastAsia="方正黑体_GBK"/>
          <w:b w:val="0"/>
          <w:color w:val="auto"/>
          <w:sz w:val="32"/>
          <w:szCs w:val="32"/>
          <w:highlight w:val="none"/>
        </w:rPr>
        <w:t>六、专业名词解释</w:t>
      </w:r>
    </w:p>
    <w:p w14:paraId="4835AACE">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（一）财政拨款收入：</w:t>
      </w:r>
      <w:r>
        <w:rPr>
          <w:rFonts w:hint="eastAsia" w:ascii="Times New Roman" w:hAnsi="Times New Roman" w:eastAsia="方正仿宋_GBK"/>
          <w:color w:val="auto"/>
          <w:sz w:val="32"/>
          <w:szCs w:val="32"/>
          <w:highlight w:val="none"/>
          <w:lang w:val="en-US" w:eastAsia="zh-CN"/>
        </w:rPr>
        <w:t>指</w:t>
      </w:r>
      <w:r>
        <w:rPr>
          <w:rFonts w:hint="eastAsia" w:ascii="Times New Roman" w:hAnsi="Times New Roman" w:eastAsia="方正仿宋_GBK"/>
          <w:color w:val="auto"/>
          <w:sz w:val="32"/>
          <w:szCs w:val="32"/>
          <w:highlight w:val="none"/>
        </w:rPr>
        <w:t>本年度从本级财政部门取得的财政拨款，包括一般公共预算财政拨款和政府性基金预算财政拨款。</w:t>
      </w:r>
    </w:p>
    <w:p w14:paraId="030A0C7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（二）事业收入：</w:t>
      </w:r>
      <w:r>
        <w:rPr>
          <w:rFonts w:hint="eastAsia" w:ascii="Times New Roman" w:hAnsi="Times New Roman" w:eastAsia="方正仿宋_GBK"/>
          <w:color w:val="auto"/>
          <w:sz w:val="32"/>
          <w:szCs w:val="32"/>
          <w:highlight w:val="none"/>
        </w:rPr>
        <w:t>指事业单位开展专业业务活动及其辅助活动取得的现金流入；事业单位收到的财政专户实际核拨的教育收费等资金在此反映。</w:t>
      </w:r>
    </w:p>
    <w:p w14:paraId="29A2CF79">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（三）经营收入：</w:t>
      </w:r>
      <w:r>
        <w:rPr>
          <w:rFonts w:hint="eastAsia" w:ascii="Times New Roman" w:hAnsi="Times New Roman" w:eastAsia="方正仿宋_GBK"/>
          <w:color w:val="auto"/>
          <w:sz w:val="32"/>
          <w:szCs w:val="32"/>
          <w:highlight w:val="none"/>
        </w:rPr>
        <w:t>指事业单位在专业业务活动及其辅助活动之外开展非独立核算经营活动取得的现金流入。</w:t>
      </w:r>
    </w:p>
    <w:p w14:paraId="188A7565">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（四）其他收入：</w:t>
      </w:r>
      <w:r>
        <w:rPr>
          <w:rFonts w:hint="eastAsia" w:ascii="Times New Roman" w:hAnsi="Times New Roman" w:eastAsia="方正仿宋_GBK"/>
          <w:color w:val="auto"/>
          <w:sz w:val="32"/>
          <w:szCs w:val="32"/>
          <w:highlight w:val="none"/>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736C2608">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（五）用事业基金弥补收支差额：</w:t>
      </w:r>
      <w:r>
        <w:rPr>
          <w:rFonts w:hint="eastAsia" w:ascii="Times New Roman" w:hAnsi="Times New Roman" w:eastAsia="方正仿宋_GBK"/>
          <w:color w:val="auto"/>
          <w:sz w:val="32"/>
          <w:szCs w:val="32"/>
          <w:highlight w:val="none"/>
        </w:rPr>
        <w:t>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14:paraId="3C95DD9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（六）年初结转和结余：</w:t>
      </w:r>
      <w:r>
        <w:rPr>
          <w:rFonts w:hint="eastAsia" w:ascii="Times New Roman" w:hAnsi="Times New Roman" w:eastAsia="方正仿宋_GBK"/>
          <w:color w:val="auto"/>
          <w:sz w:val="32"/>
          <w:szCs w:val="32"/>
          <w:highlight w:val="none"/>
        </w:rPr>
        <w:t>指单位上年结转本年使用的基本支出结转、项目支出结转和结余、经营结余。</w:t>
      </w:r>
    </w:p>
    <w:p w14:paraId="2EA926A1">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（七）结余分配：</w:t>
      </w:r>
      <w:r>
        <w:rPr>
          <w:rFonts w:hint="eastAsia" w:ascii="Times New Roman" w:hAnsi="Times New Roman" w:eastAsia="方正仿宋_GBK"/>
          <w:color w:val="auto"/>
          <w:sz w:val="32"/>
          <w:szCs w:val="32"/>
          <w:highlight w:val="none"/>
        </w:rPr>
        <w:t>指单位按照国家有关规定，缴纳所得税、提取专用基金、转入事业基金等当年结余的分配情况。</w:t>
      </w:r>
    </w:p>
    <w:p w14:paraId="6F28A329">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（八）年末结转和结余：</w:t>
      </w:r>
      <w:r>
        <w:rPr>
          <w:rFonts w:hint="eastAsia" w:ascii="Times New Roman" w:hAnsi="Times New Roman" w:eastAsia="方正仿宋_GBK"/>
          <w:color w:val="auto"/>
          <w:sz w:val="32"/>
          <w:szCs w:val="32"/>
          <w:highlight w:val="none"/>
        </w:rPr>
        <w:t>指单位结转下年的基本支出结转、项目支出结转和结余、经营结余。</w:t>
      </w:r>
    </w:p>
    <w:p w14:paraId="5E9984C3">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（九）基本支出：</w:t>
      </w:r>
      <w:r>
        <w:rPr>
          <w:rFonts w:hint="eastAsia" w:ascii="Times New Roman" w:hAnsi="Times New Roman" w:eastAsia="方正仿宋_GBK"/>
          <w:color w:val="auto"/>
          <w:sz w:val="32"/>
          <w:szCs w:val="32"/>
          <w:highlight w:val="none"/>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07781CE">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（十）项目支出：</w:t>
      </w:r>
      <w:r>
        <w:rPr>
          <w:rFonts w:hint="eastAsia" w:ascii="Times New Roman" w:hAnsi="Times New Roman" w:eastAsia="方正仿宋_GBK"/>
          <w:color w:val="auto"/>
          <w:sz w:val="32"/>
          <w:szCs w:val="32"/>
          <w:highlight w:val="none"/>
        </w:rPr>
        <w:t>指在基本支出之外为完成特定行政任务和事业发展目标所发生的支出。</w:t>
      </w:r>
    </w:p>
    <w:p w14:paraId="543DFC0F">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（十一）经营支出：</w:t>
      </w:r>
      <w:r>
        <w:rPr>
          <w:rFonts w:hint="eastAsia" w:ascii="Times New Roman" w:hAnsi="Times New Roman" w:eastAsia="方正仿宋_GBK"/>
          <w:color w:val="auto"/>
          <w:sz w:val="32"/>
          <w:szCs w:val="32"/>
          <w:highlight w:val="none"/>
        </w:rPr>
        <w:t>指事业单位在专业业务活动及其辅助活动之外开展非独立核算经营活动发生的支出。</w:t>
      </w:r>
    </w:p>
    <w:p w14:paraId="738DB4EA">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（十二）“三公”经费：</w:t>
      </w:r>
      <w:r>
        <w:rPr>
          <w:rFonts w:hint="eastAsia" w:ascii="Times New Roman" w:hAnsi="Times New Roman" w:eastAsia="方正仿宋_GBK"/>
          <w:color w:val="auto"/>
          <w:sz w:val="32"/>
          <w:szCs w:val="32"/>
          <w:highlight w:val="none"/>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67B8C202">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（十三）机关运行经费：</w:t>
      </w:r>
      <w:r>
        <w:rPr>
          <w:rFonts w:hint="eastAsia" w:ascii="Times New Roman" w:hAnsi="Times New Roman" w:eastAsia="方正仿宋_GBK"/>
          <w:color w:val="auto"/>
          <w:sz w:val="32"/>
          <w:szCs w:val="32"/>
          <w:highlight w:val="none"/>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491D7C1C">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（十四）工资福利支出（支出经济分类科目类级）：</w:t>
      </w:r>
      <w:r>
        <w:rPr>
          <w:rFonts w:hint="eastAsia" w:ascii="Times New Roman" w:hAnsi="Times New Roman" w:eastAsia="方正仿宋_GBK"/>
          <w:color w:val="auto"/>
          <w:sz w:val="32"/>
          <w:szCs w:val="32"/>
          <w:highlight w:val="none"/>
        </w:rPr>
        <w:t>反映单位开支的在职职工和编制外长期聘用人员的各类劳动报酬，以及为上述人员缴纳的各项社会保险费等。</w:t>
      </w:r>
    </w:p>
    <w:p w14:paraId="66DBAC19">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（十五）商品和服务支出（支出经济分类科目类级）：</w:t>
      </w:r>
      <w:r>
        <w:rPr>
          <w:rFonts w:hint="eastAsia" w:ascii="Times New Roman" w:hAnsi="Times New Roman" w:eastAsia="方正仿宋_GBK"/>
          <w:color w:val="auto"/>
          <w:sz w:val="32"/>
          <w:szCs w:val="32"/>
          <w:highlight w:val="none"/>
        </w:rPr>
        <w:t>反映单位购买商品和服务的支出（不包括用于购置固定资产的支出、战略性和应急储备支出）。</w:t>
      </w:r>
    </w:p>
    <w:p w14:paraId="22686D75">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（十六）对个人和家庭的补助（支出经济分类科目类级）：</w:t>
      </w:r>
      <w:r>
        <w:rPr>
          <w:rFonts w:hint="eastAsia" w:ascii="Times New Roman" w:hAnsi="Times New Roman" w:eastAsia="方正仿宋_GBK"/>
          <w:color w:val="auto"/>
          <w:sz w:val="32"/>
          <w:szCs w:val="32"/>
          <w:highlight w:val="none"/>
        </w:rPr>
        <w:t>反映用于对个人和家庭的补助支出。</w:t>
      </w:r>
    </w:p>
    <w:p w14:paraId="1CD0A14F">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楷体_GBK" w:cs="方正楷体_GBK"/>
          <w:b w:val="0"/>
          <w:bCs/>
          <w:color w:val="auto"/>
          <w:kern w:val="0"/>
          <w:sz w:val="32"/>
          <w:szCs w:val="32"/>
          <w:highlight w:val="none"/>
          <w:lang w:val="en-US" w:eastAsia="zh-CN" w:bidi="ar-SA"/>
        </w:rPr>
        <w:t>（十七）其他资本性支出（支出经济分类科目类级）：</w:t>
      </w:r>
      <w:r>
        <w:rPr>
          <w:rFonts w:hint="eastAsia" w:ascii="Times New Roman" w:hAnsi="Times New Roman" w:eastAsia="方正仿宋_GBK"/>
          <w:color w:val="auto"/>
          <w:sz w:val="32"/>
          <w:szCs w:val="32"/>
          <w:highlight w:val="none"/>
        </w:rPr>
        <w:t>反映非各级发展与改革部门集中安排的用于购置固定资产、战略性和应急性储备、土地和无形资产，以及构建基础设施、大型修缮和财政支持企业更新改造所发生的支出。</w:t>
      </w:r>
    </w:p>
    <w:p w14:paraId="6CFC59FA">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outlineLvl w:val="0"/>
        <w:rPr>
          <w:rFonts w:ascii="Times New Roman" w:hAnsi="Times New Roman" w:eastAsia="方正黑体_GBK"/>
          <w:b/>
          <w:color w:val="auto"/>
          <w:sz w:val="32"/>
          <w:szCs w:val="32"/>
          <w:highlight w:val="none"/>
        </w:rPr>
      </w:pPr>
      <w:r>
        <w:rPr>
          <w:rStyle w:val="10"/>
          <w:rFonts w:hint="eastAsia" w:ascii="Times New Roman" w:hAnsi="Times New Roman" w:eastAsia="方正黑体_GBK"/>
          <w:b w:val="0"/>
          <w:color w:val="auto"/>
          <w:sz w:val="32"/>
          <w:szCs w:val="32"/>
          <w:highlight w:val="none"/>
        </w:rPr>
        <w:t>七、决算公开联系方式及信息反馈渠道</w:t>
      </w:r>
    </w:p>
    <w:p w14:paraId="3AEC8EC4">
      <w:pPr>
        <w:pStyle w:val="7"/>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94" w:lineRule="exact"/>
        <w:ind w:firstLine="640" w:firstLineChars="200"/>
        <w:jc w:val="both"/>
        <w:textAlignment w:val="auto"/>
        <w:rPr>
          <w:rFonts w:ascii="Times New Roman" w:hAnsi="Times New Roman" w:eastAsia="方正仿宋_GBK"/>
          <w:color w:val="auto"/>
          <w:sz w:val="32"/>
          <w:szCs w:val="32"/>
          <w:highlight w:val="none"/>
        </w:rPr>
      </w:pPr>
      <w:r>
        <w:rPr>
          <w:rFonts w:hint="eastAsia" w:ascii="Times New Roman" w:hAnsi="Times New Roman" w:eastAsia="方正仿宋_GBK"/>
          <w:color w:val="auto"/>
          <w:sz w:val="32"/>
          <w:szCs w:val="32"/>
          <w:highlight w:val="none"/>
        </w:rPr>
        <w:t>本单位决算公开信息反馈和联系方式：023-6298</w:t>
      </w:r>
      <w:r>
        <w:rPr>
          <w:rFonts w:hint="eastAsia" w:ascii="Times New Roman" w:hAnsi="Times New Roman" w:eastAsia="方正仿宋_GBK"/>
          <w:color w:val="auto"/>
          <w:sz w:val="32"/>
          <w:szCs w:val="32"/>
          <w:highlight w:val="none"/>
          <w:lang w:val="en-US" w:eastAsia="zh-CN"/>
        </w:rPr>
        <w:t>0721</w:t>
      </w:r>
      <w:r>
        <w:rPr>
          <w:rFonts w:hint="eastAsia" w:ascii="Times New Roman" w:hAnsi="Times New Roman" w:eastAsia="方正仿宋_GBK"/>
          <w:color w:val="auto"/>
          <w:sz w:val="32"/>
          <w:szCs w:val="32"/>
          <w:highlight w:val="none"/>
        </w:rPr>
        <w:t>。</w:t>
      </w:r>
    </w:p>
    <w:p w14:paraId="080D29F2">
      <w:pPr>
        <w:pStyle w:val="7"/>
        <w:keepNext w:val="0"/>
        <w:keepLines w:val="0"/>
        <w:pageBreakBefore w:val="0"/>
        <w:widowControl w:val="0"/>
        <w:shd w:val="clear" w:color="auto" w:fill="FFFFFF"/>
        <w:kinsoku/>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Times New Roman" w:hAnsi="Times New Roman" w:eastAsia="方正仿宋_GBK"/>
          <w:color w:val="auto"/>
          <w:sz w:val="32"/>
          <w:szCs w:val="32"/>
          <w:highlight w:val="none"/>
        </w:rPr>
      </w:pPr>
    </w:p>
    <w:sectPr>
      <w:footerReference r:id="rId3" w:type="default"/>
      <w:pgSz w:w="11907" w:h="16840"/>
      <w:pgMar w:top="2098" w:right="1474" w:bottom="1985" w:left="1587" w:header="850"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32487"/>
      <w:docPartObj>
        <w:docPartGallery w:val="autotext"/>
      </w:docPartObj>
    </w:sdtPr>
    <w:sdtContent>
      <w:p w14:paraId="684C0A57">
        <w:pPr>
          <w:pStyle w:val="5"/>
          <w:jc w:val="center"/>
        </w:pPr>
      </w:p>
      <w:p w14:paraId="5082137E">
        <w:pPr>
          <w:pStyle w:val="5"/>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C697FEF">
                    <w:pPr>
                      <w:pStyle w:val="5"/>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16</w:t>
                    </w:r>
                    <w:r>
                      <w:rPr>
                        <w:rFonts w:ascii="Times New Roman" w:hAnsi="Times New Roman" w:cs="Times New Roman"/>
                        <w:sz w:val="21"/>
                        <w:szCs w:val="21"/>
                      </w:rPr>
                      <w:fldChar w:fldCharType="end"/>
                    </w:r>
                  </w:p>
                </w:txbxContent>
              </v:textbox>
            </v:shape>
          </w:pict>
        </w:r>
      </w:p>
    </w:sdtContent>
  </w:sdt>
  <w:p w14:paraId="0D8E4CF2">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B26F8"/>
    <w:multiLevelType w:val="singleLevel"/>
    <w:tmpl w:val="D3AB26F8"/>
    <w:lvl w:ilvl="0" w:tentative="0">
      <w:start w:val="3"/>
      <w:numFmt w:val="chineseCounting"/>
      <w:suff w:val="nothing"/>
      <w:lvlText w:val="（%1）"/>
      <w:lvlJc w:val="left"/>
      <w:rPr>
        <w:rFonts w:hint="eastAsia"/>
      </w:rPr>
    </w:lvl>
  </w:abstractNum>
  <w:abstractNum w:abstractNumId="1">
    <w:nsid w:val="4A94A9D2"/>
    <w:multiLevelType w:val="singleLevel"/>
    <w:tmpl w:val="4A94A9D2"/>
    <w:lvl w:ilvl="0" w:tentative="0">
      <w:start w:val="4"/>
      <w:numFmt w:val="chineseCounting"/>
      <w:suff w:val="nothing"/>
      <w:lvlText w:val="（%1）"/>
      <w:lvlJc w:val="left"/>
      <w:rPr>
        <w:rFonts w:hint="eastAsia"/>
      </w:rPr>
    </w:lvl>
  </w:abstractNum>
  <w:abstractNum w:abstractNumId="2">
    <w:nsid w:val="7B3C45FA"/>
    <w:multiLevelType w:val="singleLevel"/>
    <w:tmpl w:val="7B3C45FA"/>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9A41FA"/>
    <w:rsid w:val="000478A4"/>
    <w:rsid w:val="00065022"/>
    <w:rsid w:val="00115962"/>
    <w:rsid w:val="00221A09"/>
    <w:rsid w:val="0030438F"/>
    <w:rsid w:val="00316F52"/>
    <w:rsid w:val="00317DE3"/>
    <w:rsid w:val="00323DC8"/>
    <w:rsid w:val="003269CF"/>
    <w:rsid w:val="003463D8"/>
    <w:rsid w:val="00420E29"/>
    <w:rsid w:val="0063459A"/>
    <w:rsid w:val="006B3A67"/>
    <w:rsid w:val="006F08AE"/>
    <w:rsid w:val="007813B9"/>
    <w:rsid w:val="0087676C"/>
    <w:rsid w:val="009A41FA"/>
    <w:rsid w:val="009D65BE"/>
    <w:rsid w:val="00B61C9F"/>
    <w:rsid w:val="00C947A8"/>
    <w:rsid w:val="00D33E16"/>
    <w:rsid w:val="00D73116"/>
    <w:rsid w:val="00E07898"/>
    <w:rsid w:val="00F364CA"/>
    <w:rsid w:val="04E2789E"/>
    <w:rsid w:val="0C2F59B2"/>
    <w:rsid w:val="0D55144D"/>
    <w:rsid w:val="2E9200FC"/>
    <w:rsid w:val="36293F78"/>
    <w:rsid w:val="441A26CB"/>
    <w:rsid w:val="494C7277"/>
    <w:rsid w:val="6087582F"/>
    <w:rsid w:val="6891469E"/>
    <w:rsid w:val="68CF51E4"/>
    <w:rsid w:val="73A33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2">
    <w:name w:val="heading 6"/>
    <w:basedOn w:val="1"/>
    <w:next w:val="1"/>
    <w:qFormat/>
    <w:uiPriority w:val="9"/>
    <w:pPr>
      <w:keepNext/>
      <w:keepLines/>
      <w:widowControl/>
      <w:suppressLineNumbers w:val="0"/>
      <w:spacing w:before="240" w:beforeAutospacing="0" w:after="64" w:afterAutospacing="0" w:line="319" w:lineRule="auto"/>
      <w:ind w:left="0" w:right="0"/>
      <w:jc w:val="left"/>
      <w:outlineLvl w:val="5"/>
    </w:pPr>
    <w:rPr>
      <w:rFonts w:hint="default" w:ascii="Cambria" w:hAnsi="Cambria" w:eastAsia="宋体" w:cs="Times New Roman"/>
      <w:b/>
      <w:kern w:val="0"/>
      <w:sz w:val="24"/>
      <w:szCs w:val="24"/>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3"/>
    <w:semiHidden/>
    <w:unhideWhenUsed/>
    <w:qFormat/>
    <w:uiPriority w:val="99"/>
    <w:rPr>
      <w:sz w:val="18"/>
      <w:szCs w:val="18"/>
    </w:rPr>
  </w:style>
  <w:style w:type="paragraph" w:styleId="4">
    <w:name w:val="Body Text"/>
    <w:basedOn w:val="1"/>
    <w:qFormat/>
    <w:uiPriority w:val="0"/>
    <w:rPr>
      <w:b/>
      <w:sz w:val="36"/>
      <w:szCs w:val="20"/>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100" w:beforeAutospacing="1" w:after="100" w:afterAutospacing="1"/>
    </w:pPr>
  </w:style>
  <w:style w:type="character" w:styleId="10">
    <w:name w:val="Strong"/>
    <w:basedOn w:val="9"/>
    <w:qFormat/>
    <w:uiPriority w:val="22"/>
    <w:rPr>
      <w:b/>
      <w:bCs/>
    </w:rPr>
  </w:style>
  <w:style w:type="character" w:customStyle="1" w:styleId="11">
    <w:name w:val="页眉 Char"/>
    <w:basedOn w:val="9"/>
    <w:link w:val="6"/>
    <w:semiHidden/>
    <w:qFormat/>
    <w:locked/>
    <w:uiPriority w:val="99"/>
    <w:rPr>
      <w:rFonts w:hint="eastAsia" w:ascii="宋体" w:hAnsi="宋体" w:eastAsia="宋体" w:cs="宋体"/>
      <w:sz w:val="18"/>
      <w:szCs w:val="18"/>
    </w:rPr>
  </w:style>
  <w:style w:type="character" w:customStyle="1" w:styleId="12">
    <w:name w:val="页脚 Char"/>
    <w:basedOn w:val="9"/>
    <w:link w:val="5"/>
    <w:qFormat/>
    <w:locked/>
    <w:uiPriority w:val="99"/>
    <w:rPr>
      <w:rFonts w:hint="eastAsia" w:ascii="宋体" w:hAnsi="宋体" w:eastAsia="宋体" w:cs="宋体"/>
      <w:sz w:val="18"/>
      <w:szCs w:val="18"/>
    </w:rPr>
  </w:style>
  <w:style w:type="character" w:customStyle="1" w:styleId="13">
    <w:name w:val="文档结构图 Char"/>
    <w:basedOn w:val="9"/>
    <w:link w:val="3"/>
    <w:semiHidden/>
    <w:qFormat/>
    <w:locked/>
    <w:uiPriority w:val="99"/>
    <w:rPr>
      <w:rFonts w:hint="eastAsia" w:ascii="宋体" w:hAnsi="宋体" w:eastAsia="宋体" w:cs="宋体"/>
      <w:sz w:val="18"/>
      <w:szCs w:val="18"/>
    </w:rPr>
  </w:style>
  <w:style w:type="paragraph" w:styleId="14">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15">
    <w:name w:val="msonormal"/>
    <w:basedOn w:val="1"/>
    <w:semiHidden/>
    <w:qFormat/>
    <w:uiPriority w:val="99"/>
    <w:pPr>
      <w:spacing w:before="100" w:beforeAutospacing="1" w:after="100" w:afterAutospacing="1"/>
    </w:pPr>
  </w:style>
  <w:style w:type="paragraph" w:customStyle="1" w:styleId="16">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A99550-B257-4546-AB00-96699E81D5B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6983</Words>
  <Characters>7808</Characters>
  <Lines>70</Lines>
  <Paragraphs>19</Paragraphs>
  <TotalTime>4</TotalTime>
  <ScaleCrop>false</ScaleCrop>
  <LinksUpToDate>false</LinksUpToDate>
  <CharactersWithSpaces>7983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李星星</cp:lastModifiedBy>
  <cp:lastPrinted>2021-08-31T06:34:00Z</cp:lastPrinted>
  <dcterms:modified xsi:type="dcterms:W3CDTF">2026-01-28T02:56:23Z</dcterms:modified>
  <dc:title>公开报告模板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D8FA8D1C57E64FB29C65924215EEA74B</vt:lpwstr>
  </property>
  <property fmtid="{D5CDD505-2E9C-101B-9397-08002B2CF9AE}" pid="4" name="KSOTemplateDocerSaveRecord">
    <vt:lpwstr>eyJoZGlkIjoiZDdjMDA4YjJkMDc5ZTQ3Mzg5YjI2NmJhYTA3NzU3OWEiLCJ1c2VySWQiOiIzMzUyNjEwMDEifQ==</vt:lpwstr>
  </property>
</Properties>
</file>