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2636D">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center"/>
        <w:textAlignment w:val="auto"/>
        <w:rPr>
          <w:rFonts w:hint="eastAsia" w:ascii="Times New Roman" w:hAnsi="Times New Roman" w:eastAsia="方正小标宋_GBK"/>
          <w:color w:val="auto"/>
          <w:sz w:val="44"/>
          <w:szCs w:val="44"/>
          <w:lang w:eastAsia="zh-CN"/>
        </w:rPr>
      </w:pPr>
      <w:r>
        <w:rPr>
          <w:rFonts w:hint="eastAsia" w:ascii="Times New Roman" w:hAnsi="Times New Roman" w:eastAsia="方正小标宋_GBK"/>
          <w:color w:val="auto"/>
          <w:sz w:val="44"/>
          <w:szCs w:val="44"/>
          <w:lang w:eastAsia="zh-CN"/>
        </w:rPr>
        <w:t>重庆市南岸区交通局</w:t>
      </w:r>
    </w:p>
    <w:p w14:paraId="37879449">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center"/>
        <w:textAlignment w:val="auto"/>
        <w:outlineLvl w:val="0"/>
        <w:rPr>
          <w:rFonts w:ascii="Times New Roman" w:hAnsi="Times New Roman" w:eastAsia="方正小标宋_GBK"/>
          <w:color w:val="auto"/>
          <w:sz w:val="44"/>
          <w:szCs w:val="44"/>
        </w:rPr>
      </w:pPr>
      <w:r>
        <w:rPr>
          <w:rFonts w:hint="eastAsia" w:ascii="Times New Roman" w:hAnsi="Times New Roman" w:eastAsia="方正小标宋_GBK"/>
          <w:color w:val="auto"/>
          <w:sz w:val="44"/>
          <w:szCs w:val="44"/>
        </w:rPr>
        <w:t>2020年度部门决算情况说明</w:t>
      </w:r>
    </w:p>
    <w:p w14:paraId="0C565DC6">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jc w:val="both"/>
        <w:textAlignment w:val="auto"/>
        <w:rPr>
          <w:rStyle w:val="10"/>
          <w:rFonts w:ascii="Times New Roman" w:hAnsi="Times New Roman"/>
          <w:color w:val="auto"/>
        </w:rPr>
      </w:pPr>
    </w:p>
    <w:p w14:paraId="651ACA1B">
      <w:pPr>
        <w:pStyle w:val="7"/>
        <w:keepNext w:val="0"/>
        <w:keepLines w:val="0"/>
        <w:pageBreakBefore w:val="0"/>
        <w:widowControl w:val="0"/>
        <w:numPr>
          <w:ilvl w:val="0"/>
          <w:numId w:val="1"/>
        </w:numPr>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黑体_GBK"/>
          <w:b w:val="0"/>
          <w:color w:val="auto"/>
          <w:sz w:val="32"/>
          <w:szCs w:val="32"/>
        </w:rPr>
      </w:pPr>
      <w:r>
        <w:rPr>
          <w:rStyle w:val="10"/>
          <w:rFonts w:hint="eastAsia" w:ascii="Times New Roman" w:hAnsi="Times New Roman" w:eastAsia="方正黑体_GBK"/>
          <w:b w:val="0"/>
          <w:color w:val="auto"/>
          <w:sz w:val="32"/>
          <w:szCs w:val="32"/>
        </w:rPr>
        <w:t>部门基本情况</w:t>
      </w:r>
    </w:p>
    <w:p w14:paraId="6330E5EB">
      <w:pPr>
        <w:pStyle w:val="7"/>
        <w:keepNext w:val="0"/>
        <w:keepLines w:val="0"/>
        <w:pageBreakBefore w:val="0"/>
        <w:widowControl w:val="0"/>
        <w:numPr>
          <w:ilvl w:val="0"/>
          <w:numId w:val="0"/>
        </w:numPr>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default" w:ascii="Times New Roman" w:hAnsi="Times New Roman" w:eastAsia="方正仿宋_GBK" w:cs="方正仿宋_GBK"/>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（一）职能职责</w:t>
      </w:r>
    </w:p>
    <w:p w14:paraId="3A255826">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1</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贯彻执行交通运输法律、法规、规章和方针政策。</w:t>
      </w:r>
    </w:p>
    <w:p w14:paraId="5E9B1F13">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2</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负责拟订交通运输发展规划、年度计划，并组织实施和监督检查；负责交通行业统计。</w:t>
      </w:r>
    </w:p>
    <w:p w14:paraId="0DB5D0A7">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3</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负责交通运输行业和运输市场的管理，承担交通运输市场监管责任；负责全区道路、水路、铁路、公共客运和轨道交通等综合运输市场监管和综合协调；负责监督、指导道路运输管理相关工作。</w:t>
      </w:r>
    </w:p>
    <w:p w14:paraId="558C1949">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4</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负责交通项目基本建设程序的管理；承担交通建设市场监管责任；协调推进在区铁路项目建设；指导交通基础设施的管理和保护。</w:t>
      </w:r>
    </w:p>
    <w:p w14:paraId="12FAB93C">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5</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负责提出交通基础设施固定资产投资规模和方向、财政性资金安排建议；负责所属单位国有资产的监督管理。</w:t>
      </w:r>
    </w:p>
    <w:p w14:paraId="212B35A5">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default" w:ascii="Times New Roman" w:hAnsi="Times New Roman" w:eastAsia="方正仿宋_GBK" w:cs="宋体"/>
          <w:color w:val="auto"/>
          <w:sz w:val="32"/>
          <w:szCs w:val="32"/>
          <w:lang w:val="en-US"/>
        </w:rPr>
        <w:t>6</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负责交通基础设施建设的质量、安全生产监督；负责公路养护、公路路产路权管理和保护；负责组织超限运输治理工作。</w:t>
      </w:r>
    </w:p>
    <w:p w14:paraId="6F0640C8">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7</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按权限负责辖区水运建设项目质量、安全等监督管理工作；负责辖区水路运输及水路运输辅助业的日常监督等行业管理；按权限实施水上交通行政审批事项和港口规费征收；指导、监督乡镇船舶交通安全管理。</w:t>
      </w:r>
    </w:p>
    <w:p w14:paraId="0313380F">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8</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负责指导委属单位安全监督工作；参与涉及交通运输行业安全生产事故处置；协调交通重大事故的应急管理和处置；监督交通运输行业和交通项目建设安全工作。</w:t>
      </w:r>
    </w:p>
    <w:p w14:paraId="6BE949CD">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9</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负责交通行业应急预案拟订及体系建设工作；按规定组织协调重点物资、紧急客货运输和高峰客运疏导工作；负责交通战备工作。</w:t>
      </w:r>
    </w:p>
    <w:p w14:paraId="01703E64">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lang w:val="en-US"/>
        </w:rPr>
      </w:pPr>
      <w:r>
        <w:rPr>
          <w:rFonts w:hint="default" w:ascii="Times New Roman" w:hAnsi="Times New Roman" w:eastAsia="方正仿宋_GBK" w:cs="宋体"/>
          <w:color w:val="auto"/>
          <w:sz w:val="32"/>
          <w:szCs w:val="32"/>
          <w:lang w:val="en-US"/>
        </w:rPr>
        <w:t>10</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推动交通行业科技进步，负责新技术、新工艺和新材料在交通行业的推广和应用；指导公路、水路行业环境保护和节能减排工作；组织和管理交通运输行业信息化建设。</w:t>
      </w:r>
    </w:p>
    <w:p w14:paraId="2C134E4B">
      <w:pPr>
        <w:pStyle w:val="16"/>
        <w:keepNext w:val="0"/>
        <w:keepLines w:val="0"/>
        <w:pageBreakBefore w:val="0"/>
        <w:widowControl w:val="0"/>
        <w:suppressLineNumbers w:val="0"/>
        <w:kinsoku/>
        <w:wordWrap/>
        <w:overflowPunct/>
        <w:topLinePunct w:val="0"/>
        <w:autoSpaceDE w:val="0"/>
        <w:autoSpaceDN/>
        <w:bidi w:val="0"/>
        <w:adjustRightInd/>
        <w:snapToGrid/>
        <w:spacing w:before="0"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default" w:ascii="Times New Roman" w:hAnsi="Times New Roman" w:eastAsia="方正仿宋_GBK" w:cs="宋体"/>
          <w:color w:val="auto"/>
          <w:sz w:val="32"/>
          <w:szCs w:val="32"/>
          <w:lang w:val="en-US"/>
        </w:rPr>
        <w:t>11</w:t>
      </w:r>
      <w:r>
        <w:rPr>
          <w:rFonts w:hint="eastAsia" w:ascii="Times New Roman" w:hAnsi="Times New Roman" w:eastAsia="方正仿宋_GBK" w:cs="宋体"/>
          <w:color w:val="auto"/>
          <w:sz w:val="32"/>
          <w:szCs w:val="32"/>
          <w:lang w:val="en-US" w:eastAsia="zh-CN"/>
        </w:rPr>
        <w:t>．</w:t>
      </w:r>
      <w:r>
        <w:rPr>
          <w:rFonts w:hint="eastAsia" w:ascii="Times New Roman" w:hAnsi="Times New Roman" w:eastAsia="方正仿宋_GBK" w:cs="方正仿宋_GBK"/>
          <w:color w:val="auto"/>
          <w:sz w:val="32"/>
          <w:szCs w:val="32"/>
          <w:lang w:eastAsia="zh-CN"/>
        </w:rPr>
        <w:t>承办区政府交办的其他事项。</w:t>
      </w:r>
    </w:p>
    <w:p w14:paraId="68B4A858">
      <w:pPr>
        <w:pStyle w:val="16"/>
        <w:keepNext w:val="0"/>
        <w:keepLines w:val="0"/>
        <w:pageBreakBefore w:val="0"/>
        <w:widowControl w:val="0"/>
        <w:suppressLineNumbers w:val="0"/>
        <w:shd w:val="clear" w:fill="FFFFFF"/>
        <w:kinsoku/>
        <w:wordWrap/>
        <w:overflowPunct/>
        <w:topLinePunct w:val="0"/>
        <w:autoSpaceDE w:val="0"/>
        <w:autoSpaceDN/>
        <w:bidi w:val="0"/>
        <w:adjustRightInd/>
        <w:snapToGrid/>
        <w:spacing w:before="0" w:beforeAutospacing="0" w:after="0" w:afterAutospacing="0" w:line="594" w:lineRule="exact"/>
        <w:ind w:left="0" w:right="0" w:firstLine="480" w:firstLineChars="150"/>
        <w:jc w:val="both"/>
        <w:textAlignment w:val="auto"/>
        <w:rPr>
          <w:rFonts w:hint="default" w:ascii="Times New Roman" w:hAnsi="Times New Roman" w:eastAsia="方正楷体_GBK" w:cs="宋体"/>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（二）机构设置</w:t>
      </w:r>
    </w:p>
    <w:p w14:paraId="0CBA9896">
      <w:pPr>
        <w:pStyle w:val="16"/>
        <w:keepNext w:val="0"/>
        <w:keepLines w:val="0"/>
        <w:pageBreakBefore w:val="0"/>
        <w:widowControl w:val="0"/>
        <w:suppressLineNumbers w:val="0"/>
        <w:shd w:val="clear" w:fill="FFFFFF"/>
        <w:kinsoku/>
        <w:wordWrap/>
        <w:overflowPunct/>
        <w:topLinePunct w:val="0"/>
        <w:autoSpaceDE w:val="0"/>
        <w:autoSpaceDN/>
        <w:bidi w:val="0"/>
        <w:adjustRightInd/>
        <w:snapToGrid/>
        <w:spacing w:before="0" w:beforeAutospacing="0" w:after="0" w:afterAutospacing="0" w:line="594" w:lineRule="exact"/>
        <w:ind w:left="0" w:right="0" w:firstLine="480" w:firstLineChars="150"/>
        <w:jc w:val="both"/>
        <w:textAlignment w:val="auto"/>
        <w:rPr>
          <w:rFonts w:hint="default" w:ascii="Times New Roman" w:hAnsi="Times New Roman" w:eastAsia="方正仿宋_GBK" w:cs="方正仿宋_GBK"/>
          <w:b/>
          <w:color w:val="auto"/>
          <w:sz w:val="32"/>
          <w:szCs w:val="32"/>
          <w:shd w:val="clear" w:fill="FFFFFF"/>
          <w:lang w:val="en-US"/>
        </w:rPr>
      </w:pPr>
      <w:r>
        <w:rPr>
          <w:rFonts w:hint="eastAsia" w:ascii="Times New Roman" w:hAnsi="Times New Roman" w:eastAsia="方正仿宋_GBK" w:cs="方正仿宋_GBK"/>
          <w:color w:val="auto"/>
          <w:sz w:val="32"/>
          <w:szCs w:val="32"/>
          <w:shd w:val="clear" w:fill="FFFFFF"/>
          <w:lang w:eastAsia="zh-CN"/>
        </w:rPr>
        <w:t>局机关内设</w:t>
      </w:r>
      <w:r>
        <w:rPr>
          <w:rFonts w:hint="eastAsia" w:ascii="Times New Roman" w:hAnsi="Times New Roman" w:eastAsia="方正仿宋_GBK" w:cs="宋体"/>
          <w:color w:val="auto"/>
          <w:sz w:val="32"/>
          <w:szCs w:val="32"/>
          <w:shd w:val="clear" w:fill="FFFFFF"/>
          <w:lang w:val="en-US" w:eastAsia="zh-CN"/>
        </w:rPr>
        <w:t>5</w:t>
      </w:r>
      <w:r>
        <w:rPr>
          <w:rFonts w:hint="eastAsia" w:ascii="Times New Roman" w:hAnsi="Times New Roman" w:eastAsia="方正仿宋_GBK" w:cs="方正仿宋_GBK"/>
          <w:color w:val="auto"/>
          <w:sz w:val="32"/>
          <w:szCs w:val="32"/>
          <w:shd w:val="clear" w:fill="FFFFFF"/>
          <w:lang w:eastAsia="zh-CN"/>
        </w:rPr>
        <w:t>个科室：办公室、规划建设科、财务审计科、法制安全科、综合运输科。</w:t>
      </w:r>
    </w:p>
    <w:p w14:paraId="764850B0">
      <w:pPr>
        <w:keepNext w:val="0"/>
        <w:keepLines w:val="0"/>
        <w:pageBreakBefore w:val="0"/>
        <w:widowControl w:val="0"/>
        <w:numPr>
          <w:ilvl w:val="0"/>
          <w:numId w:val="0"/>
        </w:numPr>
        <w:suppressLineNumbers w:val="0"/>
        <w:tabs>
          <w:tab w:val="left" w:pos="0"/>
        </w:tabs>
        <w:kinsoku/>
        <w:wordWrap/>
        <w:overflowPunct/>
        <w:topLinePunct w:val="0"/>
        <w:autoSpaceDE w:val="0"/>
        <w:autoSpaceDN/>
        <w:bidi w:val="0"/>
        <w:adjustRightInd/>
        <w:snapToGrid/>
        <w:spacing w:beforeAutospacing="0" w:afterAutospacing="0" w:line="594" w:lineRule="exact"/>
        <w:ind w:firstLine="640" w:firstLineChars="200"/>
        <w:jc w:val="both"/>
        <w:textAlignment w:val="auto"/>
        <w:rPr>
          <w:rFonts w:hint="default" w:ascii="Times New Roman" w:hAnsi="Times New Roman" w:eastAsia="方正楷体_GBK" w:cs="宋体"/>
          <w:b w:val="0"/>
          <w:bCs/>
          <w:color w:val="auto"/>
          <w:sz w:val="32"/>
          <w:szCs w:val="32"/>
          <w:shd w:val="clear" w:fill="FFFFFF"/>
          <w:lang w:val="en-US"/>
        </w:rPr>
      </w:pPr>
      <w:r>
        <w:rPr>
          <w:rFonts w:hint="eastAsia" w:ascii="Times New Roman" w:hAnsi="Times New Roman" w:eastAsia="方正楷体_GBK" w:cs="方正楷体_GBK"/>
          <w:b w:val="0"/>
          <w:bCs/>
          <w:color w:val="auto"/>
          <w:sz w:val="32"/>
          <w:szCs w:val="32"/>
          <w:shd w:val="clear" w:fill="FFFFFF"/>
          <w:lang w:eastAsia="zh-CN"/>
        </w:rPr>
        <w:t>（三）单位构成</w:t>
      </w:r>
    </w:p>
    <w:p w14:paraId="5613E6CB">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lang w:val="en-US"/>
        </w:rPr>
      </w:pPr>
      <w:r>
        <w:rPr>
          <w:rFonts w:hint="eastAsia" w:ascii="Times New Roman" w:hAnsi="Times New Roman" w:eastAsia="方正仿宋_GBK" w:cs="方正仿宋_GBK"/>
          <w:color w:val="auto"/>
          <w:sz w:val="32"/>
          <w:szCs w:val="32"/>
          <w:lang w:eastAsia="zh-CN"/>
        </w:rPr>
        <w:t>从预算单位构成看，纳入本部门</w:t>
      </w:r>
      <w:r>
        <w:rPr>
          <w:rFonts w:hint="default" w:ascii="Times New Roman" w:hAnsi="Times New Roman" w:eastAsia="方正仿宋_GBK" w:cs="方正仿宋_GBK"/>
          <w:color w:val="auto"/>
          <w:sz w:val="32"/>
          <w:szCs w:val="32"/>
          <w:lang w:val="en-US"/>
        </w:rPr>
        <w:t>20</w:t>
      </w:r>
      <w:r>
        <w:rPr>
          <w:rFonts w:hint="eastAsia" w:ascii="Times New Roman" w:hAnsi="Times New Roman" w:eastAsia="方正仿宋_GBK" w:cs="方正仿宋_GBK"/>
          <w:color w:val="auto"/>
          <w:sz w:val="32"/>
          <w:szCs w:val="32"/>
          <w:lang w:val="en-US" w:eastAsia="zh-CN"/>
        </w:rPr>
        <w:t>20</w:t>
      </w:r>
      <w:r>
        <w:rPr>
          <w:rFonts w:hint="eastAsia" w:ascii="Times New Roman" w:hAnsi="Times New Roman" w:eastAsia="方正仿宋_GBK" w:cs="方正仿宋_GBK"/>
          <w:color w:val="auto"/>
          <w:sz w:val="32"/>
          <w:szCs w:val="32"/>
          <w:lang w:eastAsia="zh-CN"/>
        </w:rPr>
        <w:t>年度决算编制的二级预算单位主要包括南岸区道路运输事务中心和南岸区交通事务中心</w:t>
      </w:r>
      <w:bookmarkStart w:id="0" w:name="_GoBack"/>
      <w:bookmarkEnd w:id="0"/>
      <w:r>
        <w:rPr>
          <w:rFonts w:hint="eastAsia" w:ascii="Times New Roman" w:hAnsi="Times New Roman" w:eastAsia="方正仿宋_GBK" w:cs="方正仿宋_GBK"/>
          <w:color w:val="auto"/>
          <w:sz w:val="32"/>
          <w:szCs w:val="32"/>
          <w:lang w:eastAsia="zh-CN"/>
        </w:rPr>
        <w:t>。</w:t>
      </w:r>
    </w:p>
    <w:p w14:paraId="5119C75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color w:val="auto"/>
        </w:rPr>
      </w:pPr>
      <w:r>
        <w:rPr>
          <w:rStyle w:val="10"/>
          <w:rFonts w:hint="eastAsia" w:ascii="Times New Roman" w:hAnsi="Times New Roman" w:eastAsia="方正黑体_GBK"/>
          <w:b w:val="0"/>
          <w:color w:val="auto"/>
          <w:sz w:val="32"/>
          <w:szCs w:val="32"/>
        </w:rPr>
        <w:t>二、部门决算情况说明</w:t>
      </w:r>
    </w:p>
    <w:p w14:paraId="4C56017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（一）收入支出决算总体情况说明</w:t>
      </w:r>
    </w:p>
    <w:p w14:paraId="001221DC">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default" w:ascii="Times New Roman" w:hAnsi="Times New Roman" w:eastAsia="方正仿宋_GBK"/>
          <w:color w:val="auto"/>
          <w:sz w:val="32"/>
          <w:szCs w:val="32"/>
          <w:lang w:val="en-US" w:eastAsia="zh-CN"/>
        </w:rPr>
      </w:pPr>
      <w:r>
        <w:rPr>
          <w:rFonts w:hint="eastAsia" w:ascii="Times New Roman" w:hAnsi="Times New Roman" w:eastAsia="方正仿宋_GBK"/>
          <w:color w:val="auto"/>
          <w:sz w:val="32"/>
          <w:szCs w:val="32"/>
        </w:rPr>
        <w:t>1.总体情况。2020年度收入总计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万元，支出总计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 xml:space="preserve">万元。收支较上年决算数减少 </w:t>
      </w:r>
      <w:r>
        <w:rPr>
          <w:rFonts w:hint="eastAsia" w:ascii="Times New Roman" w:hAnsi="Times New Roman" w:eastAsia="方正仿宋_GBK"/>
          <w:color w:val="auto"/>
          <w:sz w:val="32"/>
          <w:szCs w:val="32"/>
          <w:lang w:val="en-US" w:eastAsia="zh-CN"/>
        </w:rPr>
        <w:t>1195.32</w:t>
      </w:r>
      <w:r>
        <w:rPr>
          <w:rFonts w:hint="eastAsia" w:ascii="Times New Roman" w:hAnsi="Times New Roman" w:eastAsia="方正仿宋_GBK"/>
          <w:color w:val="auto"/>
          <w:sz w:val="32"/>
          <w:szCs w:val="32"/>
        </w:rPr>
        <w:t xml:space="preserve">万元，下降 </w:t>
      </w:r>
      <w:r>
        <w:rPr>
          <w:rFonts w:hint="eastAsia" w:ascii="Times New Roman" w:hAnsi="Times New Roman" w:eastAsia="方正仿宋_GBK"/>
          <w:color w:val="auto"/>
          <w:sz w:val="32"/>
          <w:szCs w:val="32"/>
          <w:lang w:val="en-US" w:eastAsia="zh-CN"/>
        </w:rPr>
        <w:t>29.8</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olor w:val="auto"/>
          <w:sz w:val="32"/>
          <w:szCs w:val="32"/>
          <w:lang w:eastAsia="zh-CN"/>
        </w:rPr>
        <w:t>项目资金减少</w:t>
      </w:r>
      <w:r>
        <w:rPr>
          <w:rFonts w:hint="eastAsia" w:ascii="Times New Roman" w:hAnsi="Times New Roman" w:eastAsia="方正仿宋_GBK"/>
          <w:color w:val="auto"/>
          <w:sz w:val="32"/>
          <w:szCs w:val="32"/>
          <w:lang w:val="en-US" w:eastAsia="zh-CN"/>
        </w:rPr>
        <w:t>，</w:t>
      </w:r>
      <w:r>
        <w:rPr>
          <w:rFonts w:hint="eastAsia" w:ascii="Times New Roman" w:hAnsi="Times New Roman" w:eastAsia="方正仿宋_GBK"/>
          <w:color w:val="auto"/>
          <w:sz w:val="32"/>
          <w:szCs w:val="32"/>
          <w:lang w:eastAsia="zh-CN"/>
        </w:rPr>
        <w:t>项目资金投入减少。</w:t>
      </w:r>
    </w:p>
    <w:p w14:paraId="63D69447">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2.收入情况。2020年度收入合计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 xml:space="preserve">万元，较上年决算数减少 </w:t>
      </w:r>
      <w:r>
        <w:rPr>
          <w:rFonts w:hint="eastAsia" w:ascii="Times New Roman" w:hAnsi="Times New Roman" w:eastAsia="方正仿宋_GBK"/>
          <w:color w:val="auto"/>
          <w:sz w:val="32"/>
          <w:szCs w:val="32"/>
          <w:lang w:val="en-US" w:eastAsia="zh-CN"/>
        </w:rPr>
        <w:t>1195.32</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29.8</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olor w:val="auto"/>
          <w:sz w:val="32"/>
          <w:szCs w:val="32"/>
          <w:lang w:eastAsia="zh-CN"/>
        </w:rPr>
        <w:t>项目资金减少</w:t>
      </w:r>
      <w:r>
        <w:rPr>
          <w:rFonts w:hint="eastAsia" w:ascii="Times New Roman" w:hAnsi="Times New Roman" w:eastAsia="方正仿宋_GBK"/>
          <w:color w:val="auto"/>
          <w:sz w:val="32"/>
          <w:szCs w:val="32"/>
        </w:rPr>
        <w:t>。其中：财政拨款收入</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100</w:t>
      </w:r>
      <w:r>
        <w:rPr>
          <w:rFonts w:hint="eastAsia" w:ascii="Times New Roman" w:hAnsi="Times New Roman" w:eastAsia="方正仿宋_GBK"/>
          <w:color w:val="auto"/>
          <w:sz w:val="32"/>
          <w:szCs w:val="32"/>
        </w:rPr>
        <w:t>%。</w:t>
      </w:r>
    </w:p>
    <w:p w14:paraId="6B850630">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3.支出情况。2020年度支出合计</w:t>
      </w:r>
      <w:r>
        <w:rPr>
          <w:rFonts w:hint="eastAsia" w:ascii="Times New Roman" w:hAnsi="Times New Roman" w:eastAsia="方正仿宋_GBK"/>
          <w:color w:val="auto"/>
          <w:sz w:val="32"/>
          <w:szCs w:val="32"/>
          <w:lang w:val="en-US" w:eastAsia="zh-CN"/>
        </w:rPr>
        <w:t>2814.09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1201.53</w:t>
      </w:r>
      <w:r>
        <w:rPr>
          <w:rFonts w:hint="eastAsia" w:ascii="Times New Roman" w:hAnsi="Times New Roman" w:eastAsia="方正仿宋_GBK"/>
          <w:color w:val="auto"/>
          <w:sz w:val="32"/>
          <w:szCs w:val="32"/>
        </w:rPr>
        <w:t xml:space="preserve">万元，下降 </w:t>
      </w:r>
      <w:r>
        <w:rPr>
          <w:rFonts w:hint="eastAsia" w:ascii="Times New Roman" w:hAnsi="Times New Roman" w:eastAsia="方正仿宋_GBK"/>
          <w:color w:val="auto"/>
          <w:sz w:val="32"/>
          <w:szCs w:val="32"/>
          <w:lang w:val="en-US" w:eastAsia="zh-CN"/>
        </w:rPr>
        <w:t>29.9</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w:t>
      </w:r>
      <w:r>
        <w:rPr>
          <w:rFonts w:hint="eastAsia" w:ascii="Times New Roman" w:hAnsi="Times New Roman" w:eastAsia="方正仿宋_GBK"/>
          <w:color w:val="auto"/>
          <w:sz w:val="32"/>
          <w:szCs w:val="32"/>
          <w:lang w:eastAsia="zh-CN"/>
        </w:rPr>
        <w:t>项目资金投入减少</w:t>
      </w:r>
      <w:r>
        <w:rPr>
          <w:rFonts w:hint="eastAsia" w:ascii="Times New Roman" w:hAnsi="Times New Roman" w:eastAsia="方正仿宋_GBK"/>
          <w:color w:val="auto"/>
          <w:sz w:val="32"/>
          <w:szCs w:val="32"/>
        </w:rPr>
        <w:t>。</w:t>
      </w:r>
    </w:p>
    <w:p w14:paraId="65F96F4E">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4.结转结余情况。2020年度年末结转和结余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上年决算数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14:paraId="5CC762E4">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（二）财政拨款收入支出决算总体情况说明</w:t>
      </w:r>
    </w:p>
    <w:p w14:paraId="0740F952">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color w:val="auto"/>
        </w:rPr>
      </w:pPr>
      <w:r>
        <w:rPr>
          <w:rFonts w:hint="eastAsia" w:ascii="Times New Roman" w:hAnsi="Times New Roman" w:eastAsia="方正仿宋_GBK"/>
          <w:bCs/>
          <w:color w:val="auto"/>
          <w:sz w:val="32"/>
          <w:szCs w:val="32"/>
        </w:rPr>
        <w:t>2020年度财政拨款收、支总计</w:t>
      </w:r>
      <w:r>
        <w:rPr>
          <w:rFonts w:hint="eastAsia" w:ascii="Times New Roman" w:hAnsi="Times New Roman" w:eastAsia="方正仿宋_GBK"/>
          <w:bCs/>
          <w:color w:val="auto"/>
          <w:sz w:val="32"/>
          <w:szCs w:val="32"/>
          <w:lang w:eastAsia="zh-CN"/>
        </w:rPr>
        <w:t>均为</w:t>
      </w:r>
      <w:r>
        <w:rPr>
          <w:rFonts w:hint="eastAsia" w:ascii="Times New Roman" w:hAnsi="Times New Roman" w:eastAsia="方正仿宋_GBK"/>
          <w:bCs/>
          <w:color w:val="auto"/>
          <w:sz w:val="32"/>
          <w:szCs w:val="32"/>
          <w:lang w:val="en-US" w:eastAsia="zh-CN"/>
        </w:rPr>
        <w:t>2814.09</w:t>
      </w:r>
      <w:r>
        <w:rPr>
          <w:rFonts w:hint="eastAsia" w:ascii="Times New Roman" w:hAnsi="Times New Roman" w:eastAsia="方正仿宋_GBK"/>
          <w:bCs/>
          <w:color w:val="auto"/>
          <w:sz w:val="32"/>
          <w:szCs w:val="32"/>
        </w:rPr>
        <w:t>万元。与201</w:t>
      </w:r>
      <w:r>
        <w:rPr>
          <w:rFonts w:hint="eastAsia" w:ascii="Times New Roman" w:hAnsi="Times New Roman" w:eastAsia="方正仿宋_GBK"/>
          <w:bCs/>
          <w:color w:val="auto"/>
          <w:sz w:val="32"/>
          <w:szCs w:val="32"/>
          <w:lang w:val="en-US" w:eastAsia="zh-CN"/>
        </w:rPr>
        <w:t>9</w:t>
      </w:r>
      <w:r>
        <w:rPr>
          <w:rFonts w:hint="eastAsia" w:ascii="Times New Roman" w:hAnsi="Times New Roman" w:eastAsia="方正仿宋_GBK"/>
          <w:bCs/>
          <w:color w:val="auto"/>
          <w:sz w:val="32"/>
          <w:szCs w:val="32"/>
        </w:rPr>
        <w:t xml:space="preserve">年相比，财政拨款收、支总计各减少 </w:t>
      </w:r>
      <w:r>
        <w:rPr>
          <w:rFonts w:hint="eastAsia" w:ascii="Times New Roman" w:hAnsi="Times New Roman" w:eastAsia="方正仿宋_GBK"/>
          <w:bCs/>
          <w:color w:val="auto"/>
          <w:sz w:val="32"/>
          <w:szCs w:val="32"/>
          <w:lang w:val="en-US" w:eastAsia="zh-CN"/>
        </w:rPr>
        <w:t>1195.32</w:t>
      </w:r>
      <w:r>
        <w:rPr>
          <w:rFonts w:hint="eastAsia" w:ascii="Times New Roman" w:hAnsi="Times New Roman" w:eastAsia="方正仿宋_GBK"/>
          <w:bCs/>
          <w:color w:val="auto"/>
          <w:sz w:val="32"/>
          <w:szCs w:val="32"/>
        </w:rPr>
        <w:t xml:space="preserve">万元，下降 </w:t>
      </w:r>
      <w:r>
        <w:rPr>
          <w:rFonts w:hint="eastAsia" w:ascii="Times New Roman" w:hAnsi="Times New Roman" w:eastAsia="方正仿宋_GBK"/>
          <w:bCs/>
          <w:color w:val="auto"/>
          <w:sz w:val="32"/>
          <w:szCs w:val="32"/>
          <w:lang w:val="en-US" w:eastAsia="zh-CN"/>
        </w:rPr>
        <w:t>29.8</w:t>
      </w:r>
      <w:r>
        <w:rPr>
          <w:rFonts w:hint="eastAsia" w:ascii="Times New Roman" w:hAnsi="Times New Roman" w:eastAsia="方正仿宋_GBK"/>
          <w:bCs/>
          <w:color w:val="auto"/>
          <w:sz w:val="32"/>
          <w:szCs w:val="32"/>
        </w:rPr>
        <w:t>%。</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val="en-US" w:eastAsia="zh-CN"/>
        </w:rPr>
        <w:t>2020公共基础设施建设类项目减少，争取的</w:t>
      </w:r>
      <w:r>
        <w:rPr>
          <w:rFonts w:hint="eastAsia" w:ascii="Times New Roman" w:hAnsi="Times New Roman" w:eastAsia="方正仿宋_GBK" w:cs="方正仿宋_GBK"/>
          <w:color w:val="auto"/>
          <w:sz w:val="32"/>
          <w:szCs w:val="32"/>
          <w:shd w:val="clear" w:fill="FFFFFF"/>
          <w:lang w:eastAsia="zh-CN"/>
        </w:rPr>
        <w:t>项目资金减少</w:t>
      </w:r>
      <w:r>
        <w:rPr>
          <w:rFonts w:hint="eastAsia" w:ascii="Times New Roman" w:hAnsi="Times New Roman" w:eastAsia="方正仿宋_GBK"/>
          <w:color w:val="auto"/>
          <w:sz w:val="32"/>
          <w:szCs w:val="32"/>
          <w:lang w:val="en-US" w:eastAsia="zh-CN"/>
        </w:rPr>
        <w:t>，</w:t>
      </w:r>
      <w:r>
        <w:rPr>
          <w:rFonts w:hint="eastAsia" w:ascii="Times New Roman" w:hAnsi="Times New Roman" w:eastAsia="方正仿宋_GBK" w:cs="方正仿宋_GBK"/>
          <w:color w:val="auto"/>
          <w:sz w:val="32"/>
          <w:szCs w:val="32"/>
          <w:shd w:val="clear" w:fill="FFFFFF"/>
          <w:lang w:eastAsia="zh-CN"/>
        </w:rPr>
        <w:t>项目资金投入减少</w:t>
      </w:r>
      <w:r>
        <w:rPr>
          <w:rFonts w:hint="eastAsia" w:ascii="Times New Roman" w:hAnsi="Times New Roman" w:eastAsia="方正仿宋_GBK"/>
          <w:color w:val="auto"/>
          <w:sz w:val="32"/>
          <w:szCs w:val="32"/>
        </w:rPr>
        <w:t>。</w:t>
      </w:r>
    </w:p>
    <w:p w14:paraId="7FD98676">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（三）一般公共预算财政拨款支出决算情况说明</w:t>
      </w:r>
    </w:p>
    <w:p w14:paraId="5FF2EC59">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1.收入情况。2020年度一般公共预算财政拨款收入</w:t>
      </w:r>
      <w:r>
        <w:rPr>
          <w:rFonts w:hint="eastAsia" w:ascii="Times New Roman" w:hAnsi="Times New Roman" w:eastAsia="方正仿宋_GBK"/>
          <w:color w:val="auto"/>
          <w:sz w:val="32"/>
          <w:szCs w:val="32"/>
          <w:lang w:val="en-US" w:eastAsia="zh-CN"/>
        </w:rPr>
        <w:t>1144.09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2864.84</w:t>
      </w:r>
      <w:r>
        <w:rPr>
          <w:rFonts w:hint="eastAsia" w:ascii="Times New Roman" w:hAnsi="Times New Roman" w:eastAsia="方正仿宋_GBK"/>
          <w:color w:val="auto"/>
          <w:sz w:val="32"/>
          <w:szCs w:val="32"/>
        </w:rPr>
        <w:t>万元，下</w:t>
      </w:r>
      <w:r>
        <w:rPr>
          <w:rFonts w:hint="eastAsia" w:ascii="Times New Roman" w:hAnsi="Times New Roman" w:eastAsia="方正仿宋_GBK"/>
          <w:color w:val="auto"/>
          <w:sz w:val="32"/>
          <w:szCs w:val="32"/>
          <w:lang w:eastAsia="zh-CN"/>
        </w:rPr>
        <w:t>降</w:t>
      </w:r>
      <w:r>
        <w:rPr>
          <w:rFonts w:hint="eastAsia" w:ascii="Times New Roman" w:hAnsi="Times New Roman" w:eastAsia="方正仿宋_GBK"/>
          <w:color w:val="auto"/>
          <w:sz w:val="32"/>
          <w:szCs w:val="32"/>
          <w:lang w:val="en-US" w:eastAsia="zh-CN"/>
        </w:rPr>
        <w:t>71.5</w:t>
      </w:r>
      <w:r>
        <w:rPr>
          <w:rFonts w:hint="eastAsia" w:ascii="Times New Roman" w:hAnsi="Times New Roman" w:eastAsia="方正仿宋_GBK"/>
          <w:color w:val="auto"/>
          <w:sz w:val="32"/>
          <w:szCs w:val="32"/>
        </w:rPr>
        <w:t>%。主要原因是一般公共预算财政拨款</w:t>
      </w:r>
      <w:r>
        <w:rPr>
          <w:rFonts w:hint="eastAsia" w:ascii="Times New Roman" w:hAnsi="Times New Roman" w:eastAsia="方正仿宋_GBK"/>
          <w:color w:val="auto"/>
          <w:sz w:val="32"/>
          <w:szCs w:val="32"/>
          <w:lang w:eastAsia="zh-CN"/>
        </w:rPr>
        <w:t>投入到农村公路和干线公路等</w:t>
      </w:r>
      <w:r>
        <w:rPr>
          <w:rFonts w:hint="eastAsia" w:ascii="Times New Roman" w:hAnsi="Times New Roman" w:eastAsia="方正仿宋_GBK"/>
          <w:color w:val="auto"/>
          <w:sz w:val="32"/>
          <w:szCs w:val="32"/>
          <w:lang w:val="en-US" w:eastAsia="zh-CN"/>
        </w:rPr>
        <w:t>公共基础设施建设的资金减少</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367.36</w:t>
      </w:r>
      <w:r>
        <w:rPr>
          <w:rFonts w:hint="eastAsia" w:ascii="Times New Roman" w:hAnsi="Times New Roman" w:eastAsia="方正仿宋_GBK"/>
          <w:color w:val="auto"/>
          <w:sz w:val="32"/>
          <w:szCs w:val="32"/>
        </w:rPr>
        <w:t xml:space="preserve">万元，增长 </w:t>
      </w:r>
      <w:r>
        <w:rPr>
          <w:rFonts w:hint="eastAsia" w:ascii="Times New Roman" w:hAnsi="Times New Roman" w:eastAsia="方正仿宋_GBK"/>
          <w:color w:val="auto"/>
          <w:sz w:val="32"/>
          <w:szCs w:val="32"/>
          <w:lang w:val="en-US" w:eastAsia="zh-CN"/>
        </w:rPr>
        <w:t>47.3</w:t>
      </w:r>
      <w:r>
        <w:rPr>
          <w:rFonts w:hint="eastAsia" w:ascii="Times New Roman" w:hAnsi="Times New Roman" w:eastAsia="方正仿宋_GBK"/>
          <w:color w:val="auto"/>
          <w:sz w:val="32"/>
          <w:szCs w:val="32"/>
        </w:rPr>
        <w:t>%。主要原因是年中追加安排</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专项经费支出预算100万元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2019年争资工作补助经费60万元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成品油补贴0.49万元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2020</w:t>
      </w:r>
      <w:r>
        <w:rPr>
          <w:rFonts w:hint="eastAsia" w:ascii="Times New Roman" w:hAnsi="Times New Roman" w:eastAsia="方正仿宋_GBK"/>
          <w:color w:val="auto"/>
          <w:sz w:val="32"/>
          <w:szCs w:val="32"/>
          <w:lang w:eastAsia="zh-CN"/>
        </w:rPr>
        <w:t>安保工程专项经费</w:t>
      </w:r>
      <w:r>
        <w:rPr>
          <w:rFonts w:hint="eastAsia" w:ascii="Times New Roman" w:hAnsi="Times New Roman" w:eastAsia="方正仿宋_GBK"/>
          <w:color w:val="auto"/>
          <w:sz w:val="32"/>
          <w:szCs w:val="32"/>
        </w:rPr>
        <w:t>181万元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防汛抢险补助7万元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人员经费预算18.87万。此外，年初财政拨款结转和结余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p>
    <w:p w14:paraId="4C78AA76">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2.支出情况。2020年度一般公共预算财政拨款支出</w:t>
      </w:r>
      <w:r>
        <w:rPr>
          <w:rFonts w:hint="eastAsia" w:ascii="Times New Roman" w:hAnsi="Times New Roman" w:eastAsia="方正仿宋_GBK"/>
          <w:color w:val="auto"/>
          <w:sz w:val="32"/>
          <w:szCs w:val="32"/>
          <w:lang w:val="en-US" w:eastAsia="zh-CN"/>
        </w:rPr>
        <w:t>1144.09</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2871.05</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71.5</w:t>
      </w:r>
      <w:r>
        <w:rPr>
          <w:rFonts w:hint="eastAsia" w:ascii="Times New Roman" w:hAnsi="Times New Roman" w:eastAsia="方正仿宋_GBK"/>
          <w:color w:val="auto"/>
          <w:sz w:val="32"/>
          <w:szCs w:val="32"/>
        </w:rPr>
        <w:t>%。主要原因是一般公共预算财政拨款</w:t>
      </w:r>
      <w:r>
        <w:rPr>
          <w:rFonts w:hint="eastAsia" w:ascii="Times New Roman" w:hAnsi="Times New Roman" w:eastAsia="方正仿宋_GBK"/>
          <w:color w:val="auto"/>
          <w:sz w:val="32"/>
          <w:szCs w:val="32"/>
          <w:lang w:eastAsia="zh-CN"/>
        </w:rPr>
        <w:t>投入到农村公路和干线公路等</w:t>
      </w:r>
      <w:r>
        <w:rPr>
          <w:rFonts w:hint="eastAsia" w:ascii="Times New Roman" w:hAnsi="Times New Roman" w:eastAsia="方正仿宋_GBK"/>
          <w:color w:val="auto"/>
          <w:sz w:val="32"/>
          <w:szCs w:val="32"/>
          <w:lang w:val="en-US" w:eastAsia="zh-CN"/>
        </w:rPr>
        <w:t>公共基础设施建设的资金减少</w:t>
      </w:r>
      <w:r>
        <w:rPr>
          <w:rFonts w:hint="eastAsia" w:ascii="Times New Roman" w:hAnsi="Times New Roman" w:eastAsia="方正仿宋_GBK"/>
          <w:color w:val="auto"/>
          <w:sz w:val="32"/>
          <w:szCs w:val="32"/>
        </w:rPr>
        <w:t xml:space="preserve">。较年初预算数增加 </w:t>
      </w:r>
      <w:r>
        <w:rPr>
          <w:rFonts w:hint="eastAsia" w:ascii="Times New Roman" w:hAnsi="Times New Roman" w:eastAsia="方正仿宋_GBK"/>
          <w:color w:val="auto"/>
          <w:sz w:val="32"/>
          <w:szCs w:val="32"/>
          <w:lang w:val="en-US" w:eastAsia="zh-CN"/>
        </w:rPr>
        <w:t>367.36</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47.3</w:t>
      </w:r>
      <w:r>
        <w:rPr>
          <w:rFonts w:hint="eastAsia" w:ascii="Times New Roman" w:hAnsi="Times New Roman" w:eastAsia="方正仿宋_GBK"/>
          <w:color w:val="auto"/>
          <w:sz w:val="32"/>
          <w:szCs w:val="32"/>
        </w:rPr>
        <w:t>%。主要原因是年中</w:t>
      </w:r>
      <w:r>
        <w:rPr>
          <w:rFonts w:hint="eastAsia" w:ascii="Times New Roman" w:hAnsi="Times New Roman" w:eastAsia="方正仿宋_GBK"/>
          <w:color w:val="auto"/>
          <w:sz w:val="32"/>
          <w:szCs w:val="32"/>
          <w:lang w:eastAsia="zh-CN"/>
        </w:rPr>
        <w:t>增</w:t>
      </w:r>
      <w:r>
        <w:rPr>
          <w:rFonts w:hint="eastAsia" w:ascii="Times New Roman" w:hAnsi="Times New Roman" w:eastAsia="方正仿宋_GBK"/>
          <w:color w:val="auto"/>
          <w:sz w:val="32"/>
          <w:szCs w:val="32"/>
        </w:rPr>
        <w:t>加支出</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专项经费100万元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2019年争资工作补助经费60万元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成品油补贴0.49万元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2020</w:t>
      </w:r>
      <w:r>
        <w:rPr>
          <w:rFonts w:hint="eastAsia" w:ascii="Times New Roman" w:hAnsi="Times New Roman" w:eastAsia="方正仿宋_GBK"/>
          <w:color w:val="auto"/>
          <w:sz w:val="32"/>
          <w:szCs w:val="32"/>
          <w:lang w:eastAsia="zh-CN"/>
        </w:rPr>
        <w:t>安保工程专项经费</w:t>
      </w:r>
      <w:r>
        <w:rPr>
          <w:rFonts w:hint="eastAsia" w:ascii="Times New Roman" w:hAnsi="Times New Roman" w:eastAsia="方正仿宋_GBK"/>
          <w:color w:val="auto"/>
          <w:sz w:val="32"/>
          <w:szCs w:val="32"/>
        </w:rPr>
        <w:t>181万元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防汛抢险补助7万元</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rPr>
        <w:t>人员经费预算18.87万。</w:t>
      </w:r>
    </w:p>
    <w:p w14:paraId="4619E1D8">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olor w:val="auto"/>
          <w:sz w:val="32"/>
          <w:szCs w:val="32"/>
        </w:rPr>
      </w:pPr>
      <w:r>
        <w:rPr>
          <w:rFonts w:hint="eastAsia" w:ascii="Times New Roman" w:hAnsi="Times New Roman" w:eastAsia="方正仿宋_GBK"/>
          <w:color w:val="auto"/>
          <w:sz w:val="32"/>
          <w:szCs w:val="32"/>
        </w:rPr>
        <w:t>3.结转结余情况。2020年度年末一般公共预算财政拨款结转和结余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w:t>
      </w:r>
      <w:r>
        <w:rPr>
          <w:rFonts w:hint="eastAsia" w:ascii="Times New Roman" w:hAnsi="Times New Roman" w:eastAsia="方正仿宋_GBK"/>
          <w:color w:val="auto"/>
          <w:sz w:val="32"/>
          <w:szCs w:val="32"/>
          <w:lang w:eastAsia="zh-CN"/>
        </w:rPr>
        <w:t>与上年一致</w:t>
      </w:r>
      <w:r>
        <w:rPr>
          <w:rFonts w:hint="eastAsia" w:ascii="Times New Roman" w:hAnsi="Times New Roman" w:eastAsia="方正仿宋_GBK"/>
          <w:color w:val="auto"/>
          <w:sz w:val="32"/>
          <w:szCs w:val="32"/>
        </w:rPr>
        <w:t>。</w:t>
      </w:r>
    </w:p>
    <w:p w14:paraId="3CDDFE70">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4.比较情况。本部门2020年度一般公共预算财政拨款支出主要用于以下几个方面：</w:t>
      </w:r>
    </w:p>
    <w:p w14:paraId="6ED33B1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（1）社会保障与就业支出</w:t>
      </w:r>
      <w:r>
        <w:rPr>
          <w:rFonts w:hint="eastAsia" w:ascii="Times New Roman" w:hAnsi="Times New Roman" w:eastAsia="方正仿宋_GBK"/>
          <w:color w:val="auto"/>
          <w:sz w:val="32"/>
          <w:szCs w:val="32"/>
          <w:lang w:val="en-US" w:eastAsia="zh-CN"/>
        </w:rPr>
        <w:t>73.21</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6.4</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5.24</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7.2</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人员工资调整追加工资支出和</w:t>
      </w:r>
      <w:r>
        <w:rPr>
          <w:rFonts w:hint="eastAsia" w:ascii="Times New Roman" w:hAnsi="Times New Roman" w:eastAsia="方正仿宋_GBK"/>
          <w:color w:val="auto"/>
          <w:sz w:val="32"/>
          <w:szCs w:val="32"/>
        </w:rPr>
        <w:t>离退休人员健康休养费</w:t>
      </w:r>
      <w:r>
        <w:rPr>
          <w:rFonts w:hint="eastAsia" w:ascii="Times New Roman" w:hAnsi="Times New Roman" w:eastAsia="方正仿宋_GBK"/>
          <w:color w:val="auto"/>
          <w:sz w:val="32"/>
          <w:szCs w:val="32"/>
          <w:lang w:val="en-US" w:eastAsia="zh-CN"/>
        </w:rPr>
        <w:t>5.24万元</w:t>
      </w:r>
      <w:r>
        <w:rPr>
          <w:rFonts w:hint="eastAsia" w:ascii="Times New Roman" w:hAnsi="Times New Roman" w:eastAsia="方正仿宋_GBK"/>
          <w:color w:val="auto"/>
          <w:sz w:val="32"/>
          <w:szCs w:val="32"/>
        </w:rPr>
        <w:t>。</w:t>
      </w:r>
    </w:p>
    <w:p w14:paraId="743CA15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2</w:t>
      </w:r>
      <w:r>
        <w:rPr>
          <w:rFonts w:hint="eastAsia" w:ascii="Times New Roman" w:hAnsi="Times New Roman" w:eastAsia="方正仿宋_GBK"/>
          <w:color w:val="auto"/>
          <w:sz w:val="32"/>
          <w:szCs w:val="32"/>
        </w:rPr>
        <w:t>）卫生健康支出</w:t>
      </w:r>
      <w:r>
        <w:rPr>
          <w:rFonts w:hint="eastAsia" w:ascii="Times New Roman" w:hAnsi="Times New Roman" w:eastAsia="方正仿宋_GBK"/>
          <w:color w:val="auto"/>
          <w:sz w:val="32"/>
          <w:szCs w:val="32"/>
          <w:lang w:val="en-US" w:eastAsia="zh-CN"/>
        </w:rPr>
        <w:t>20.79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1.8</w:t>
      </w: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年初预算数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14:paraId="18EFD96F">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）交通运输支出</w:t>
      </w:r>
      <w:r>
        <w:rPr>
          <w:rFonts w:hint="eastAsia" w:ascii="Times New Roman" w:hAnsi="Times New Roman" w:eastAsia="方正仿宋_GBK"/>
          <w:color w:val="auto"/>
          <w:sz w:val="32"/>
          <w:szCs w:val="32"/>
          <w:lang w:val="en-US" w:eastAsia="zh-CN"/>
        </w:rPr>
        <w:t>1034.8</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90.5</w:t>
      </w:r>
      <w:r>
        <w:rPr>
          <w:rFonts w:hint="eastAsia" w:ascii="Times New Roman" w:hAnsi="Times New Roman" w:eastAsia="方正仿宋_GBK"/>
          <w:color w:val="auto"/>
          <w:sz w:val="32"/>
          <w:szCs w:val="32"/>
        </w:rPr>
        <w:t>%，较年初预算数增加</w:t>
      </w:r>
      <w:r>
        <w:rPr>
          <w:rFonts w:hint="eastAsia" w:ascii="Times New Roman" w:hAnsi="Times New Roman" w:eastAsia="方正仿宋_GBK"/>
          <w:color w:val="auto"/>
          <w:sz w:val="32"/>
          <w:szCs w:val="32"/>
          <w:lang w:val="en-US" w:eastAsia="zh-CN"/>
        </w:rPr>
        <w:t>362.12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53.8%</w:t>
      </w:r>
      <w:r>
        <w:rPr>
          <w:rFonts w:hint="eastAsia" w:ascii="Times New Roman" w:hAnsi="Times New Roman" w:eastAsia="方正仿宋_GBK"/>
          <w:color w:val="auto"/>
          <w:sz w:val="32"/>
          <w:szCs w:val="32"/>
        </w:rPr>
        <w:t>，主要原因是年中</w:t>
      </w:r>
      <w:r>
        <w:rPr>
          <w:rFonts w:hint="eastAsia" w:ascii="Times New Roman" w:hAnsi="Times New Roman" w:eastAsia="方正仿宋_GBK"/>
          <w:color w:val="auto"/>
          <w:sz w:val="32"/>
          <w:szCs w:val="32"/>
          <w:lang w:eastAsia="zh-CN"/>
        </w:rPr>
        <w:t>追</w:t>
      </w:r>
      <w:r>
        <w:rPr>
          <w:rFonts w:hint="eastAsia" w:ascii="Times New Roman" w:hAnsi="Times New Roman" w:eastAsia="方正仿宋_GBK"/>
          <w:color w:val="auto"/>
          <w:sz w:val="32"/>
          <w:szCs w:val="32"/>
        </w:rPr>
        <w:t>加支出</w:t>
      </w:r>
      <w:r>
        <w:rPr>
          <w:rFonts w:hint="eastAsia" w:ascii="Times New Roman" w:hAnsi="Times New Roman" w:eastAsia="方正仿宋_GBK"/>
          <w:color w:val="auto"/>
          <w:sz w:val="32"/>
          <w:szCs w:val="32"/>
          <w:lang w:eastAsia="zh-CN"/>
        </w:rPr>
        <w:t>抗疫国债</w:t>
      </w:r>
      <w:r>
        <w:rPr>
          <w:rFonts w:hint="eastAsia" w:ascii="Times New Roman" w:hAnsi="Times New Roman" w:eastAsia="方正仿宋_GBK"/>
          <w:color w:val="auto"/>
          <w:sz w:val="32"/>
          <w:szCs w:val="32"/>
        </w:rPr>
        <w:t>专项经费100万元</w:t>
      </w:r>
      <w:r>
        <w:rPr>
          <w:rFonts w:hint="eastAsia" w:ascii="Times New Roman" w:hAnsi="Times New Roman" w:eastAsia="方正仿宋_GBK"/>
          <w:color w:val="auto"/>
          <w:sz w:val="32"/>
          <w:szCs w:val="32"/>
          <w:lang w:eastAsia="zh-CN"/>
        </w:rPr>
        <w:t>、</w:t>
      </w:r>
      <w:r>
        <w:rPr>
          <w:rFonts w:hint="eastAsia" w:ascii="Times New Roman" w:hAnsi="Times New Roman" w:eastAsia="仿宋_GB2312" w:cs="Times New Roman"/>
          <w:color w:val="auto"/>
          <w:sz w:val="32"/>
          <w:szCs w:val="32"/>
        </w:rPr>
        <w:t>2019年争资工作补助经费60万元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成品油补贴0.49万元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2020</w:t>
      </w:r>
      <w:r>
        <w:rPr>
          <w:rFonts w:hint="eastAsia" w:ascii="Times New Roman" w:hAnsi="Times New Roman" w:eastAsia="仿宋_GB2312" w:cs="Times New Roman"/>
          <w:color w:val="auto"/>
          <w:sz w:val="32"/>
          <w:szCs w:val="32"/>
          <w:lang w:eastAsia="zh-CN"/>
        </w:rPr>
        <w:t>安保工程专项经费</w:t>
      </w:r>
      <w:r>
        <w:rPr>
          <w:rFonts w:hint="eastAsia" w:ascii="Times New Roman" w:hAnsi="Times New Roman" w:eastAsia="仿宋_GB2312" w:cs="Times New Roman"/>
          <w:color w:val="auto"/>
          <w:sz w:val="32"/>
          <w:szCs w:val="32"/>
        </w:rPr>
        <w:t>181万元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防汛抢险补助7万元</w:t>
      </w:r>
      <w:r>
        <w:rPr>
          <w:rFonts w:hint="eastAsia" w:ascii="Times New Roman" w:hAnsi="Times New Roman" w:eastAsia="仿宋_GB2312" w:cs="Times New Roman"/>
          <w:color w:val="auto"/>
          <w:sz w:val="32"/>
          <w:szCs w:val="32"/>
          <w:lang w:eastAsia="zh-CN"/>
        </w:rPr>
        <w:t>、</w:t>
      </w:r>
      <w:r>
        <w:rPr>
          <w:rFonts w:hint="eastAsia" w:ascii="Times New Roman" w:hAnsi="Times New Roman" w:eastAsia="方正仿宋_GBK"/>
          <w:color w:val="auto"/>
          <w:sz w:val="32"/>
          <w:szCs w:val="32"/>
          <w:lang w:eastAsia="zh-CN"/>
        </w:rPr>
        <w:t>人员工资调整追加工资支出</w:t>
      </w:r>
      <w:r>
        <w:rPr>
          <w:rFonts w:hint="eastAsia"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lang w:val="en-US" w:eastAsia="zh-CN"/>
        </w:rPr>
        <w:t>3.63</w:t>
      </w:r>
      <w:r>
        <w:rPr>
          <w:rFonts w:hint="eastAsia" w:ascii="Times New Roman" w:hAnsi="Times New Roman" w:eastAsia="仿宋_GB2312" w:cs="Times New Roman"/>
          <w:color w:val="auto"/>
          <w:sz w:val="32"/>
          <w:szCs w:val="32"/>
        </w:rPr>
        <w:t>万</w:t>
      </w:r>
      <w:r>
        <w:rPr>
          <w:rFonts w:hint="eastAsia" w:ascii="Times New Roman" w:hAnsi="Times New Roman" w:eastAsia="方正仿宋_GBK"/>
          <w:color w:val="auto"/>
          <w:sz w:val="32"/>
          <w:szCs w:val="32"/>
        </w:rPr>
        <w:t>。</w:t>
      </w:r>
    </w:p>
    <w:p w14:paraId="4D96C600">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val="en-US" w:eastAsia="zh-CN"/>
        </w:rPr>
        <w:t>4</w:t>
      </w:r>
      <w:r>
        <w:rPr>
          <w:rFonts w:hint="eastAsia" w:ascii="Times New Roman" w:hAnsi="Times New Roman" w:eastAsia="方正仿宋_GBK"/>
          <w:color w:val="auto"/>
          <w:sz w:val="32"/>
          <w:szCs w:val="32"/>
        </w:rPr>
        <w:t>）住房保障支出</w:t>
      </w:r>
      <w:r>
        <w:rPr>
          <w:rFonts w:hint="eastAsia" w:ascii="Times New Roman" w:hAnsi="Times New Roman" w:eastAsia="方正仿宋_GBK"/>
          <w:color w:val="auto"/>
          <w:sz w:val="32"/>
          <w:szCs w:val="32"/>
          <w:lang w:val="en-US" w:eastAsia="zh-CN"/>
        </w:rPr>
        <w:t>15.29</w:t>
      </w:r>
      <w:r>
        <w:rPr>
          <w:rFonts w:hint="eastAsia" w:ascii="Times New Roman" w:hAnsi="Times New Roman" w:eastAsia="方正仿宋_GBK"/>
          <w:color w:val="auto"/>
          <w:sz w:val="32"/>
          <w:szCs w:val="32"/>
        </w:rPr>
        <w:t>万元，占</w:t>
      </w:r>
      <w:r>
        <w:rPr>
          <w:rFonts w:hint="eastAsia" w:ascii="Times New Roman" w:hAnsi="Times New Roman" w:eastAsia="方正仿宋_GBK"/>
          <w:color w:val="auto"/>
          <w:sz w:val="32"/>
          <w:szCs w:val="32"/>
          <w:lang w:val="en-US" w:eastAsia="zh-CN"/>
        </w:rPr>
        <w:t>1.3</w:t>
      </w:r>
      <w:r>
        <w:rPr>
          <w:rFonts w:hint="eastAsia" w:ascii="Times New Roman" w:hAnsi="Times New Roman" w:eastAsia="方正仿宋_GBK"/>
          <w:color w:val="auto"/>
          <w:sz w:val="32"/>
          <w:szCs w:val="32"/>
        </w:rPr>
        <w:t>%，</w:t>
      </w:r>
      <w:r>
        <w:rPr>
          <w:rFonts w:hint="eastAsia" w:ascii="Times New Roman" w:hAnsi="Times New Roman" w:eastAsia="方正仿宋_GBK"/>
          <w:color w:val="auto"/>
          <w:sz w:val="32"/>
          <w:szCs w:val="32"/>
          <w:lang w:eastAsia="zh-CN"/>
        </w:rPr>
        <w:t>与</w:t>
      </w:r>
      <w:r>
        <w:rPr>
          <w:rFonts w:hint="eastAsia" w:ascii="Times New Roman" w:hAnsi="Times New Roman" w:eastAsia="方正仿宋_GBK"/>
          <w:color w:val="auto"/>
          <w:sz w:val="32"/>
          <w:szCs w:val="32"/>
        </w:rPr>
        <w:t>年初预算数</w:t>
      </w:r>
      <w:r>
        <w:rPr>
          <w:rFonts w:hint="eastAsia" w:ascii="Times New Roman" w:hAnsi="Times New Roman" w:eastAsia="方正仿宋_GBK"/>
          <w:color w:val="auto"/>
          <w:sz w:val="32"/>
          <w:szCs w:val="32"/>
          <w:lang w:eastAsia="zh-CN"/>
        </w:rPr>
        <w:t>一致</w:t>
      </w:r>
      <w:r>
        <w:rPr>
          <w:rFonts w:hint="eastAsia" w:ascii="Times New Roman" w:hAnsi="Times New Roman" w:eastAsia="方正仿宋_GBK"/>
          <w:color w:val="auto"/>
          <w:sz w:val="32"/>
          <w:szCs w:val="32"/>
        </w:rPr>
        <w:t>。</w:t>
      </w:r>
    </w:p>
    <w:p w14:paraId="45E7B271">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（四）一般公共预算财政拨款基本支出决算情况说明</w:t>
      </w:r>
    </w:p>
    <w:p w14:paraId="150C5877">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2020年度一般公共财政拨款基本支出</w:t>
      </w:r>
      <w:r>
        <w:rPr>
          <w:rFonts w:hint="eastAsia" w:ascii="Times New Roman" w:hAnsi="Times New Roman" w:eastAsia="方正仿宋_GBK"/>
          <w:color w:val="auto"/>
          <w:sz w:val="32"/>
          <w:szCs w:val="32"/>
          <w:lang w:val="en-US" w:eastAsia="zh-CN"/>
        </w:rPr>
        <w:t>435</w:t>
      </w:r>
      <w:r>
        <w:rPr>
          <w:rFonts w:hint="eastAsia" w:ascii="Times New Roman" w:hAnsi="Times New Roman" w:eastAsia="方正仿宋_GBK"/>
          <w:color w:val="auto"/>
          <w:sz w:val="32"/>
          <w:szCs w:val="32"/>
        </w:rPr>
        <w:t>万元。其中：人员经费</w:t>
      </w:r>
      <w:r>
        <w:rPr>
          <w:rFonts w:hint="eastAsia" w:ascii="Times New Roman" w:hAnsi="Times New Roman" w:eastAsia="方正仿宋_GBK"/>
          <w:color w:val="auto"/>
          <w:sz w:val="32"/>
          <w:szCs w:val="32"/>
          <w:lang w:val="en-US" w:eastAsia="zh-CN"/>
        </w:rPr>
        <w:t>335.85</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9.9</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3.0</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本年增加一名退休人员，退休人员经费增加，另补缴一名退休军人社保费</w:t>
      </w:r>
      <w:r>
        <w:rPr>
          <w:rFonts w:hint="eastAsia" w:ascii="Times New Roman" w:hAnsi="Times New Roman" w:eastAsia="方正仿宋_GBK"/>
          <w:color w:val="auto"/>
          <w:sz w:val="32"/>
          <w:szCs w:val="32"/>
          <w:lang w:val="en-US" w:eastAsia="zh-CN"/>
        </w:rPr>
        <w:t>8.6万元</w:t>
      </w:r>
      <w:r>
        <w:rPr>
          <w:rFonts w:hint="eastAsia" w:ascii="Times New Roman" w:hAnsi="Times New Roman" w:eastAsia="方正仿宋_GBK"/>
          <w:color w:val="auto"/>
          <w:sz w:val="32"/>
          <w:szCs w:val="32"/>
        </w:rPr>
        <w:t>。</w:t>
      </w:r>
      <w:r>
        <w:rPr>
          <w:rFonts w:hint="eastAsia" w:ascii="Times New Roman" w:hAnsi="Times New Roman" w:eastAsia="方正仿宋_GBK" w:cs="方正仿宋_GBK"/>
          <w:color w:val="auto"/>
          <w:sz w:val="32"/>
          <w:szCs w:val="32"/>
          <w:shd w:val="clear" w:fill="FFFFFF"/>
          <w:lang w:eastAsia="zh-CN"/>
        </w:rPr>
        <w:t>人员经费用途主要包括基本工资、津贴补贴、奖金、绩效工资、社会保障缴费、住房公积金、退休费、医疗费等方面。</w:t>
      </w:r>
      <w:r>
        <w:rPr>
          <w:rFonts w:hint="eastAsia" w:ascii="Times New Roman" w:hAnsi="Times New Roman" w:eastAsia="方正仿宋_GBK"/>
          <w:color w:val="auto"/>
          <w:sz w:val="32"/>
          <w:szCs w:val="32"/>
        </w:rPr>
        <w:t>公用经费</w:t>
      </w:r>
      <w:r>
        <w:rPr>
          <w:rFonts w:hint="eastAsia" w:ascii="Times New Roman" w:hAnsi="Times New Roman" w:eastAsia="方正仿宋_GBK"/>
          <w:color w:val="auto"/>
          <w:sz w:val="32"/>
          <w:szCs w:val="32"/>
          <w:lang w:val="en-US" w:eastAsia="zh-CN"/>
        </w:rPr>
        <w:t>99.15</w:t>
      </w:r>
      <w:r>
        <w:rPr>
          <w:rFonts w:hint="eastAsia" w:ascii="Times New Roman" w:hAnsi="Times New Roman" w:eastAsia="方正仿宋_GBK"/>
          <w:color w:val="auto"/>
          <w:sz w:val="32"/>
          <w:szCs w:val="32"/>
        </w:rPr>
        <w:t>万元，较上年决算数减少</w:t>
      </w:r>
      <w:r>
        <w:rPr>
          <w:rFonts w:hint="eastAsia" w:ascii="Times New Roman" w:hAnsi="Times New Roman" w:eastAsia="方正仿宋_GBK"/>
          <w:color w:val="auto"/>
          <w:sz w:val="32"/>
          <w:szCs w:val="32"/>
          <w:lang w:val="en-US" w:eastAsia="zh-CN"/>
        </w:rPr>
        <w:t>21.98</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18.2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厉行节约，办公设备购置减少</w:t>
      </w:r>
      <w:r>
        <w:rPr>
          <w:rFonts w:hint="eastAsia" w:ascii="Times New Roman" w:hAnsi="Times New Roman" w:eastAsia="方正仿宋_GBK"/>
          <w:color w:val="auto"/>
          <w:sz w:val="32"/>
          <w:szCs w:val="32"/>
        </w:rPr>
        <w:t>。公用经费用途主要包括</w:t>
      </w:r>
      <w:r>
        <w:rPr>
          <w:rFonts w:hint="eastAsia" w:ascii="Times New Roman" w:hAnsi="Times New Roman" w:eastAsia="方正仿宋_GBK" w:cs="方正仿宋_GBK"/>
          <w:color w:val="auto"/>
          <w:sz w:val="32"/>
          <w:szCs w:val="32"/>
          <w:shd w:val="clear" w:fill="FFFFFF"/>
          <w:lang w:eastAsia="zh-CN"/>
        </w:rPr>
        <w:t>办公费、印刷费、水费、电费、邮电费、差旅费、维修费、会议费、培训费、公务接待费、劳务费、工会经费、公务用车运行维护费等方面</w:t>
      </w:r>
      <w:r>
        <w:rPr>
          <w:rFonts w:hint="eastAsia" w:ascii="Times New Roman" w:hAnsi="Times New Roman" w:eastAsia="方正仿宋_GBK"/>
          <w:color w:val="auto"/>
          <w:sz w:val="32"/>
          <w:szCs w:val="32"/>
        </w:rPr>
        <w:t>。</w:t>
      </w:r>
    </w:p>
    <w:p w14:paraId="3FCB51C9">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rPr>
      </w:pPr>
      <w:r>
        <w:rPr>
          <w:rStyle w:val="10"/>
          <w:rFonts w:hint="eastAsia" w:ascii="方正楷体_GBK" w:hAnsi="方正楷体_GBK" w:eastAsia="方正楷体_GBK" w:cs="方正楷体_GBK"/>
          <w:b w:val="0"/>
          <w:bCs w:val="0"/>
          <w:color w:val="auto"/>
          <w:sz w:val="32"/>
          <w:szCs w:val="32"/>
        </w:rPr>
        <w:t>（五）政府性基金预算收支决算情况说明</w:t>
      </w:r>
    </w:p>
    <w:p w14:paraId="3A72261D">
      <w:pPr>
        <w:keepNext w:val="0"/>
        <w:keepLines w:val="0"/>
        <w:pageBreakBefore w:val="0"/>
        <w:widowControl w:val="0"/>
        <w:kinsoku/>
        <w:wordWrap/>
        <w:overflowPunct/>
        <w:topLinePunct w:val="0"/>
        <w:bidi w:val="0"/>
        <w:adjustRightInd/>
        <w:snapToGrid/>
        <w:spacing w:line="594" w:lineRule="exact"/>
        <w:ind w:firstLine="660"/>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2020年度政府性基金预算财政拨款年初结转结余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元，年末结转结余</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万元。本年收入</w:t>
      </w:r>
      <w:r>
        <w:rPr>
          <w:rFonts w:hint="eastAsia" w:ascii="Times New Roman" w:hAnsi="Times New Roman" w:eastAsia="方正仿宋_GBK"/>
          <w:color w:val="auto"/>
          <w:sz w:val="32"/>
          <w:szCs w:val="32"/>
          <w:lang w:val="en-US" w:eastAsia="zh-CN"/>
        </w:rPr>
        <w:t>1670</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1669.52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3478.2</w:t>
      </w:r>
      <w:r>
        <w:rPr>
          <w:rFonts w:hint="eastAsia" w:ascii="Times New Roman" w:hAnsi="Times New Roman" w:eastAsia="方正仿宋_GBK"/>
          <w:color w:val="auto"/>
          <w:sz w:val="32"/>
          <w:szCs w:val="32"/>
        </w:rPr>
        <w:t>%，主要原因是</w:t>
      </w:r>
      <w:r>
        <w:rPr>
          <w:rFonts w:hint="eastAsia"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中</w:t>
      </w:r>
      <w:r>
        <w:rPr>
          <w:rFonts w:hint="eastAsia" w:ascii="Times New Roman" w:hAnsi="Times New Roman" w:eastAsia="仿宋_GB2312" w:cs="Times New Roman"/>
          <w:color w:val="auto"/>
          <w:sz w:val="32"/>
          <w:szCs w:val="32"/>
        </w:rPr>
        <w:t>追加普通干线公路</w:t>
      </w:r>
      <w:r>
        <w:rPr>
          <w:rFonts w:hint="eastAsia" w:ascii="Times New Roman" w:hAnsi="Times New Roman"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“四好农村路”市级补助资金</w:t>
      </w:r>
      <w:r>
        <w:rPr>
          <w:rFonts w:hint="eastAsia" w:ascii="Times New Roman" w:hAnsi="Times New Roman" w:eastAsia="仿宋_GB2312" w:cs="Times New Roman"/>
          <w:color w:val="auto"/>
          <w:sz w:val="32"/>
          <w:szCs w:val="32"/>
          <w:lang w:val="en-US" w:eastAsia="zh-CN"/>
        </w:rPr>
        <w:t>1670万元</w:t>
      </w:r>
      <w:r>
        <w:rPr>
          <w:rFonts w:hint="eastAsia" w:ascii="Times New Roman" w:hAnsi="Times New Roman" w:eastAsia="方正仿宋_GBK"/>
          <w:color w:val="auto"/>
          <w:sz w:val="32"/>
          <w:szCs w:val="32"/>
        </w:rPr>
        <w:t>。本年支出</w:t>
      </w:r>
      <w:r>
        <w:rPr>
          <w:rFonts w:hint="eastAsia" w:ascii="Times New Roman" w:hAnsi="Times New Roman" w:eastAsia="方正仿宋_GBK"/>
          <w:color w:val="auto"/>
          <w:sz w:val="32"/>
          <w:szCs w:val="32"/>
          <w:lang w:val="en-US" w:eastAsia="zh-CN"/>
        </w:rPr>
        <w:t>1670</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1669.52</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3478.2</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增加了</w:t>
      </w:r>
      <w:r>
        <w:rPr>
          <w:rFonts w:hint="eastAsia" w:ascii="Times New Roman" w:hAnsi="Times New Roman" w:eastAsia="仿宋_GB2312" w:cs="Times New Roman"/>
          <w:color w:val="auto"/>
          <w:sz w:val="32"/>
          <w:szCs w:val="32"/>
        </w:rPr>
        <w:t>普通干线公路</w:t>
      </w:r>
      <w:r>
        <w:rPr>
          <w:rFonts w:hint="eastAsia" w:ascii="Times New Roman" w:hAnsi="Times New Roman"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“四好农村路”</w:t>
      </w:r>
      <w:r>
        <w:rPr>
          <w:rFonts w:hint="eastAsia" w:ascii="Times New Roman" w:hAnsi="Times New Roman" w:eastAsia="仿宋_GB2312" w:cs="Times New Roman"/>
          <w:color w:val="auto"/>
          <w:sz w:val="32"/>
          <w:szCs w:val="32"/>
          <w:lang w:eastAsia="zh-CN"/>
        </w:rPr>
        <w:t>等基础设施建设支出</w:t>
      </w:r>
      <w:r>
        <w:rPr>
          <w:rFonts w:hint="eastAsia" w:ascii="Times New Roman" w:hAnsi="Times New Roman" w:eastAsia="仿宋_GB2312" w:cs="Times New Roman"/>
          <w:color w:val="auto"/>
          <w:sz w:val="32"/>
          <w:szCs w:val="32"/>
          <w:lang w:val="en-US" w:eastAsia="zh-CN"/>
        </w:rPr>
        <w:t>1670万元</w:t>
      </w:r>
      <w:r>
        <w:rPr>
          <w:rFonts w:hint="eastAsia" w:ascii="Times New Roman" w:hAnsi="Times New Roman" w:eastAsia="方正仿宋_GBK"/>
          <w:color w:val="auto"/>
          <w:sz w:val="32"/>
          <w:szCs w:val="32"/>
        </w:rPr>
        <w:t>。</w:t>
      </w:r>
    </w:p>
    <w:p w14:paraId="7F6A4648">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（六）国有资本经营预算财政拨款支出决算情况说明</w:t>
      </w:r>
    </w:p>
    <w:p w14:paraId="40DB4FA9">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s="方正仿宋_GBK"/>
          <w:color w:val="auto"/>
          <w:sz w:val="32"/>
          <w:szCs w:val="32"/>
          <w:lang w:val="en-US" w:eastAsia="zh-CN" w:bidi="ar-SA"/>
        </w:rPr>
        <w:t>本部门</w:t>
      </w:r>
      <w:r>
        <w:rPr>
          <w:rFonts w:hint="eastAsia" w:ascii="Times New Roman" w:hAnsi="Times New Roman" w:eastAsia="仿宋_GB2312" w:cs="Times New Roman"/>
          <w:color w:val="auto"/>
          <w:sz w:val="32"/>
          <w:szCs w:val="32"/>
          <w:lang w:val="en-US" w:eastAsia="zh-CN" w:bidi="ar-SA"/>
        </w:rPr>
        <w:t>2020</w:t>
      </w:r>
      <w:r>
        <w:rPr>
          <w:rFonts w:hint="eastAsia" w:ascii="Times New Roman" w:hAnsi="Times New Roman" w:eastAsia="方正仿宋_GBK" w:cs="方正仿宋_GBK"/>
          <w:color w:val="auto"/>
          <w:sz w:val="32"/>
          <w:szCs w:val="32"/>
          <w:lang w:val="en-US" w:eastAsia="zh-CN" w:bidi="ar-SA"/>
        </w:rPr>
        <w:t>年度无国有资本经营预算财政拨款支出。</w:t>
      </w:r>
    </w:p>
    <w:p w14:paraId="550D9759">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rPr>
      </w:pPr>
      <w:r>
        <w:rPr>
          <w:rStyle w:val="10"/>
          <w:rFonts w:hint="eastAsia" w:ascii="Times New Roman" w:hAnsi="Times New Roman" w:eastAsia="方正黑体_GBK"/>
          <w:b w:val="0"/>
          <w:color w:val="auto"/>
          <w:sz w:val="32"/>
          <w:szCs w:val="32"/>
        </w:rPr>
        <w:t>三、“三公”经费情况说明</w:t>
      </w:r>
    </w:p>
    <w:p w14:paraId="3667957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（一）“三公”经费支出总体情况说明</w:t>
      </w:r>
    </w:p>
    <w:p w14:paraId="676DFA80">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2020年度“三公”经费支出共计</w:t>
      </w:r>
      <w:r>
        <w:rPr>
          <w:rFonts w:hint="eastAsia" w:ascii="Times New Roman" w:hAnsi="Times New Roman" w:eastAsia="方正仿宋_GBK"/>
          <w:color w:val="auto"/>
          <w:sz w:val="32"/>
          <w:szCs w:val="32"/>
          <w:lang w:val="en-US" w:eastAsia="zh-CN"/>
        </w:rPr>
        <w:t>12.09</w:t>
      </w:r>
      <w:r>
        <w:rPr>
          <w:rFonts w:hint="eastAsia" w:ascii="Times New Roman" w:hAnsi="Times New Roman" w:eastAsia="方正仿宋_GBK"/>
          <w:color w:val="auto"/>
          <w:sz w:val="32"/>
          <w:szCs w:val="32"/>
        </w:rPr>
        <w:t>万元，较年初预算数减少</w:t>
      </w:r>
      <w:r>
        <w:rPr>
          <w:rFonts w:hint="eastAsia" w:ascii="Times New Roman" w:hAnsi="Times New Roman" w:eastAsia="方正仿宋_GBK"/>
          <w:color w:val="auto"/>
          <w:sz w:val="32"/>
          <w:szCs w:val="32"/>
          <w:lang w:val="en-US" w:eastAsia="zh-CN"/>
        </w:rPr>
        <w:t>15.41</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56.1</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认真贯彻落实中央八项规定精神和厉行节约要求，按照只减不增的要求从严控制三公经费，全年实际支出较预算有所下降</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8.29</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218.4</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本年增加治超专项使用公务车辆，公务用车运行维护费较上年有所增加。</w:t>
      </w:r>
    </w:p>
    <w:p w14:paraId="6D30AFD7">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1"/>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（二）“三公”经费分项支出情况</w:t>
      </w:r>
    </w:p>
    <w:p w14:paraId="68814DA0">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本单位2020年度未发生因公出国（境）费用支出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lang w:eastAsia="zh-CN"/>
        </w:rPr>
        <w:t>。</w:t>
      </w:r>
    </w:p>
    <w:p w14:paraId="0DF0FC05">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本单位2020年度未发生公务车购置费费用支出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rPr>
        <w:t>。</w:t>
      </w:r>
    </w:p>
    <w:p w14:paraId="16DCCEAA">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lang w:eastAsia="zh-CN"/>
        </w:rPr>
      </w:pPr>
      <w:r>
        <w:rPr>
          <w:rFonts w:hint="eastAsia" w:ascii="Times New Roman" w:hAnsi="Times New Roman" w:eastAsia="方正仿宋_GBK"/>
          <w:color w:val="auto"/>
          <w:sz w:val="32"/>
          <w:szCs w:val="32"/>
        </w:rPr>
        <w:t>公务车运行维护费</w:t>
      </w:r>
      <w:r>
        <w:rPr>
          <w:rFonts w:hint="eastAsia" w:ascii="Times New Roman" w:hAnsi="Times New Roman" w:eastAsia="方正仿宋_GBK"/>
          <w:color w:val="auto"/>
          <w:sz w:val="32"/>
          <w:szCs w:val="32"/>
          <w:lang w:val="en-US" w:eastAsia="zh-CN"/>
        </w:rPr>
        <w:t>11.86</w:t>
      </w:r>
      <w:r>
        <w:rPr>
          <w:rFonts w:hint="eastAsia" w:ascii="Times New Roman" w:hAnsi="Times New Roman" w:eastAsia="方正仿宋_GBK"/>
          <w:color w:val="auto"/>
          <w:sz w:val="32"/>
          <w:szCs w:val="32"/>
        </w:rPr>
        <w:t>万元，主要用于</w:t>
      </w:r>
      <w:r>
        <w:rPr>
          <w:rFonts w:hint="eastAsia" w:ascii="Times New Roman" w:hAnsi="Times New Roman" w:eastAsia="方正仿宋_GBK"/>
          <w:color w:val="auto"/>
          <w:sz w:val="32"/>
          <w:szCs w:val="32"/>
          <w:lang w:eastAsia="zh-CN"/>
        </w:rPr>
        <w:t>治理超限超载巡逻，</w:t>
      </w:r>
      <w:r>
        <w:rPr>
          <w:rFonts w:hint="eastAsia" w:ascii="Times New Roman" w:hAnsi="Times New Roman" w:eastAsia="方正仿宋_GBK"/>
          <w:color w:val="auto"/>
          <w:sz w:val="32"/>
          <w:szCs w:val="32"/>
        </w:rPr>
        <w:t xml:space="preserve">机要文件交换、市内因公出行等工作所需车辆的燃料费、维修费、过桥过路费、保险费等。费用支出较年初预算数减少 </w:t>
      </w:r>
      <w:r>
        <w:rPr>
          <w:rFonts w:hint="eastAsia" w:ascii="Times New Roman" w:hAnsi="Times New Roman" w:eastAsia="方正仿宋_GBK"/>
          <w:color w:val="auto"/>
          <w:sz w:val="32"/>
          <w:szCs w:val="32"/>
          <w:lang w:val="en-US" w:eastAsia="zh-CN"/>
        </w:rPr>
        <w:t>14.64</w:t>
      </w:r>
      <w:r>
        <w:rPr>
          <w:rFonts w:hint="eastAsia" w:ascii="Times New Roman" w:hAnsi="Times New Roman" w:eastAsia="方正仿宋_GBK"/>
          <w:color w:val="auto"/>
          <w:sz w:val="32"/>
          <w:szCs w:val="32"/>
        </w:rPr>
        <w:t>万元，下降</w:t>
      </w:r>
      <w:r>
        <w:rPr>
          <w:rFonts w:hint="eastAsia" w:ascii="Times New Roman" w:hAnsi="Times New Roman" w:eastAsia="方正仿宋_GBK"/>
          <w:color w:val="auto"/>
          <w:sz w:val="32"/>
          <w:szCs w:val="32"/>
          <w:lang w:val="en-US" w:eastAsia="zh-CN"/>
        </w:rPr>
        <w:t>55.2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认真贯彻落实中央八项规定精神和厉行节约要求，按照只减不增的要求从严控制三公经费，全年实际支出较预算有所下降</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8.28</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231.3</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本年增加治超专项使用公务车辆，公务用车运行维护费较上年有所增加。</w:t>
      </w:r>
    </w:p>
    <w:p w14:paraId="45443B5D">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公务接待费</w:t>
      </w:r>
      <w:r>
        <w:rPr>
          <w:rFonts w:hint="eastAsia" w:ascii="Times New Roman" w:hAnsi="Times New Roman" w:eastAsia="方正仿宋_GBK"/>
          <w:color w:val="auto"/>
          <w:sz w:val="32"/>
          <w:szCs w:val="32"/>
          <w:lang w:val="en-US" w:eastAsia="zh-CN"/>
        </w:rPr>
        <w:t>0.22</w:t>
      </w:r>
      <w:r>
        <w:rPr>
          <w:rFonts w:hint="eastAsia" w:ascii="Times New Roman" w:hAnsi="Times New Roman" w:eastAsia="方正仿宋_GBK"/>
          <w:color w:val="auto"/>
          <w:sz w:val="32"/>
          <w:szCs w:val="32"/>
        </w:rPr>
        <w:t>万元，主要用于接待</w:t>
      </w:r>
      <w:r>
        <w:rPr>
          <w:rFonts w:hint="eastAsia" w:ascii="Times New Roman" w:hAnsi="Times New Roman" w:eastAsia="方正仿宋_GBK"/>
          <w:color w:val="auto"/>
          <w:sz w:val="32"/>
          <w:szCs w:val="32"/>
          <w:lang w:eastAsia="zh-CN"/>
        </w:rPr>
        <w:t>重庆航空来我区考察交流</w:t>
      </w:r>
      <w:r>
        <w:rPr>
          <w:rFonts w:hint="eastAsia" w:ascii="Times New Roman" w:hAnsi="Times New Roman" w:eastAsia="方正仿宋_GBK"/>
          <w:color w:val="auto"/>
          <w:sz w:val="32"/>
          <w:szCs w:val="32"/>
        </w:rPr>
        <w:t>。费用支出较年初预算数</w:t>
      </w:r>
      <w:r>
        <w:rPr>
          <w:rFonts w:hint="eastAsia" w:ascii="Times New Roman" w:hAnsi="Times New Roman" w:eastAsia="方正仿宋_GBK"/>
          <w:color w:val="auto"/>
          <w:sz w:val="32"/>
          <w:szCs w:val="32"/>
          <w:lang w:eastAsia="zh-CN"/>
        </w:rPr>
        <w:t>减少</w:t>
      </w:r>
      <w:r>
        <w:rPr>
          <w:rFonts w:hint="eastAsia" w:ascii="Times New Roman" w:hAnsi="Times New Roman" w:eastAsia="方正仿宋_GBK"/>
          <w:color w:val="auto"/>
          <w:sz w:val="32"/>
          <w:szCs w:val="32"/>
          <w:lang w:val="en-US" w:eastAsia="zh-CN"/>
        </w:rPr>
        <w:t>0.78</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4.6</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贯彻落实《重庆市党政机关国内公务接待管理办法》，厉行节约，控制严格接待人次、标准。</w:t>
      </w:r>
      <w:r>
        <w:rPr>
          <w:rFonts w:hint="eastAsia" w:ascii="Times New Roman" w:hAnsi="Times New Roman" w:eastAsia="方正仿宋_GBK"/>
          <w:color w:val="auto"/>
          <w:sz w:val="32"/>
          <w:szCs w:val="32"/>
        </w:rPr>
        <w:t>较上年支出数增加</w:t>
      </w:r>
      <w:r>
        <w:rPr>
          <w:rFonts w:hint="eastAsia" w:ascii="Times New Roman" w:hAnsi="Times New Roman" w:eastAsia="方正仿宋_GBK"/>
          <w:color w:val="auto"/>
          <w:sz w:val="32"/>
          <w:szCs w:val="32"/>
          <w:lang w:val="en-US" w:eastAsia="zh-CN"/>
        </w:rPr>
        <w:t>0.01</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4.6</w:t>
      </w:r>
      <w:r>
        <w:rPr>
          <w:rFonts w:hint="eastAsia" w:ascii="Times New Roman" w:hAnsi="Times New Roman" w:eastAsia="方正仿宋_GBK"/>
          <w:color w:val="auto"/>
          <w:sz w:val="32"/>
          <w:szCs w:val="32"/>
        </w:rPr>
        <w:t>%，主要原因是</w:t>
      </w:r>
      <w:r>
        <w:rPr>
          <w:rFonts w:hint="eastAsia" w:ascii="Times New Roman" w:hAnsi="Times New Roman" w:eastAsia="方正仿宋_GBK"/>
          <w:color w:val="auto"/>
          <w:sz w:val="32"/>
          <w:szCs w:val="32"/>
          <w:lang w:eastAsia="zh-CN"/>
        </w:rPr>
        <w:t>接待人数变动，公务接待餐费增加</w:t>
      </w:r>
      <w:r>
        <w:rPr>
          <w:rFonts w:hint="eastAsia" w:ascii="Times New Roman" w:hAnsi="Times New Roman" w:eastAsia="方正仿宋_GBK"/>
          <w:color w:val="auto"/>
          <w:sz w:val="32"/>
          <w:szCs w:val="32"/>
        </w:rPr>
        <w:t>。</w:t>
      </w:r>
    </w:p>
    <w:p w14:paraId="33CF0C7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1"/>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（三）“三公”经费实物量情况</w:t>
      </w:r>
    </w:p>
    <w:p w14:paraId="775C742E">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2020年度本部门因公出国（境）共计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个团组，</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人；公务用车购置</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辆，公务车保有量为</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辆；国内公务接待</w:t>
      </w:r>
      <w:r>
        <w:rPr>
          <w:rFonts w:hint="eastAsia" w:ascii="Times New Roman" w:hAnsi="Times New Roman" w:eastAsia="方正仿宋_GBK"/>
          <w:color w:val="auto"/>
          <w:sz w:val="32"/>
          <w:szCs w:val="32"/>
          <w:lang w:val="en-US" w:eastAsia="zh-CN"/>
        </w:rPr>
        <w:t>1</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22</w:t>
      </w:r>
      <w:r>
        <w:rPr>
          <w:rFonts w:hint="eastAsia" w:ascii="Times New Roman" w:hAnsi="Times New Roman" w:eastAsia="方正仿宋_GBK"/>
          <w:color w:val="auto"/>
          <w:sz w:val="32"/>
          <w:szCs w:val="32"/>
        </w:rPr>
        <w:t>人，其中：国内外事接待</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人；国（境）外公务接待</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批次，</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人。20</w:t>
      </w:r>
      <w:r>
        <w:rPr>
          <w:rFonts w:hint="eastAsia" w:ascii="Times New Roman" w:hAnsi="Times New Roman" w:eastAsia="方正仿宋_GBK"/>
          <w:color w:val="auto"/>
          <w:sz w:val="32"/>
          <w:szCs w:val="32"/>
          <w:lang w:val="en-US" w:eastAsia="zh-CN"/>
        </w:rPr>
        <w:t>20</w:t>
      </w:r>
      <w:r>
        <w:rPr>
          <w:rFonts w:hint="eastAsia" w:ascii="Times New Roman" w:hAnsi="Times New Roman" w:eastAsia="方正仿宋_GBK"/>
          <w:color w:val="auto"/>
          <w:sz w:val="32"/>
          <w:szCs w:val="32"/>
        </w:rPr>
        <w:t>年本部门人均接待费</w:t>
      </w:r>
      <w:r>
        <w:rPr>
          <w:rFonts w:hint="eastAsia" w:ascii="Times New Roman" w:hAnsi="Times New Roman" w:eastAsia="方正仿宋_GBK"/>
          <w:color w:val="auto"/>
          <w:sz w:val="32"/>
          <w:szCs w:val="32"/>
          <w:lang w:val="en-US" w:eastAsia="zh-CN"/>
        </w:rPr>
        <w:t>102.18</w:t>
      </w:r>
      <w:r>
        <w:rPr>
          <w:rFonts w:hint="eastAsia" w:ascii="Times New Roman" w:hAnsi="Times New Roman" w:eastAsia="方正仿宋_GBK"/>
          <w:color w:val="auto"/>
          <w:sz w:val="32"/>
          <w:szCs w:val="32"/>
        </w:rPr>
        <w:t>元，车均购置费</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万元，车均维护费</w:t>
      </w:r>
      <w:r>
        <w:rPr>
          <w:rFonts w:hint="eastAsia" w:ascii="Times New Roman" w:hAnsi="Times New Roman" w:eastAsia="方正仿宋_GBK"/>
          <w:color w:val="auto"/>
          <w:sz w:val="32"/>
          <w:szCs w:val="32"/>
          <w:lang w:val="en-US" w:eastAsia="zh-CN"/>
        </w:rPr>
        <w:t>3.95</w:t>
      </w:r>
      <w:r>
        <w:rPr>
          <w:rFonts w:hint="eastAsia" w:ascii="Times New Roman" w:hAnsi="Times New Roman" w:eastAsia="方正仿宋_GBK"/>
          <w:color w:val="auto"/>
          <w:sz w:val="32"/>
          <w:szCs w:val="32"/>
        </w:rPr>
        <w:t>万元。</w:t>
      </w:r>
    </w:p>
    <w:p w14:paraId="25714CCD">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color w:val="auto"/>
        </w:rPr>
      </w:pPr>
      <w:r>
        <w:rPr>
          <w:rStyle w:val="10"/>
          <w:rFonts w:hint="eastAsia" w:ascii="Times New Roman" w:hAnsi="Times New Roman" w:eastAsia="方正黑体_GBK"/>
          <w:b w:val="0"/>
          <w:color w:val="auto"/>
          <w:sz w:val="32"/>
          <w:szCs w:val="32"/>
        </w:rPr>
        <w:t>四、其他需要说明的事项</w:t>
      </w:r>
    </w:p>
    <w:p w14:paraId="155948C5">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（一）机关运行经费情况说明</w:t>
      </w:r>
    </w:p>
    <w:p w14:paraId="2437371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2020年度本部门机关运行经费支出</w:t>
      </w:r>
      <w:r>
        <w:rPr>
          <w:rFonts w:hint="eastAsia" w:ascii="Times New Roman" w:hAnsi="Times New Roman" w:eastAsia="方正仿宋_GBK"/>
          <w:color w:val="auto"/>
          <w:sz w:val="32"/>
          <w:szCs w:val="32"/>
          <w:lang w:val="en-US" w:eastAsia="zh-CN"/>
        </w:rPr>
        <w:t>99.15</w:t>
      </w:r>
      <w:r>
        <w:rPr>
          <w:rFonts w:hint="eastAsia" w:ascii="Times New Roman" w:hAnsi="Times New Roman" w:eastAsia="方正仿宋_GBK"/>
          <w:color w:val="auto"/>
          <w:sz w:val="32"/>
          <w:szCs w:val="32"/>
        </w:rPr>
        <w:t>万元，机关运行经费主要用于开支</w:t>
      </w:r>
      <w:r>
        <w:rPr>
          <w:rFonts w:hint="eastAsia" w:ascii="Times New Roman" w:hAnsi="Times New Roman" w:eastAsia="方正仿宋_GBK" w:cs="方正仿宋_GBK"/>
          <w:color w:val="auto"/>
          <w:sz w:val="32"/>
          <w:szCs w:val="32"/>
          <w:shd w:val="clear" w:fill="FFFFFF"/>
          <w:lang w:eastAsia="zh-CN"/>
        </w:rPr>
        <w:t>机关运行经费主要用于开支办公费、印刷费、水费、电费、邮电费、差旅费、维修费、会议费、培训费、公务接待费、劳务费、工会经费、公务用车运行维护费、其他交通费用、其他商品和服务支出、办公用品购置。</w:t>
      </w:r>
      <w:r>
        <w:rPr>
          <w:rFonts w:hint="eastAsia" w:ascii="Times New Roman" w:hAnsi="Times New Roman" w:eastAsia="方正仿宋_GBK"/>
          <w:color w:val="auto"/>
          <w:sz w:val="32"/>
          <w:szCs w:val="32"/>
        </w:rPr>
        <w:t xml:space="preserve">机关运行经费较上年决算数减少 </w:t>
      </w:r>
      <w:r>
        <w:rPr>
          <w:rFonts w:hint="eastAsia" w:ascii="Times New Roman" w:hAnsi="Times New Roman" w:eastAsia="方正仿宋_GBK"/>
          <w:color w:val="auto"/>
          <w:sz w:val="32"/>
          <w:szCs w:val="32"/>
          <w:lang w:val="en-US" w:eastAsia="zh-CN"/>
        </w:rPr>
        <w:t>21.98</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18.2</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厉行节约，办公设备购置减少</w:t>
      </w:r>
      <w:r>
        <w:rPr>
          <w:rFonts w:hint="eastAsia" w:ascii="Times New Roman" w:hAnsi="Times New Roman" w:eastAsia="方正仿宋_GBK"/>
          <w:color w:val="auto"/>
          <w:sz w:val="32"/>
          <w:szCs w:val="32"/>
        </w:rPr>
        <w:t>。</w:t>
      </w:r>
    </w:p>
    <w:p w14:paraId="21CFDF27">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方正仿宋_GBK"/>
          <w:color w:val="auto"/>
          <w:sz w:val="32"/>
          <w:szCs w:val="32"/>
          <w:shd w:val="clear" w:fill="FFFFFF"/>
          <w:lang w:eastAsia="zh-CN"/>
        </w:rPr>
      </w:pPr>
      <w:r>
        <w:rPr>
          <w:rFonts w:hint="eastAsia" w:ascii="Times New Roman" w:hAnsi="Times New Roman" w:eastAsia="方正仿宋_GBK"/>
          <w:color w:val="auto"/>
          <w:sz w:val="32"/>
          <w:szCs w:val="32"/>
        </w:rPr>
        <w:t>其中：本年度会议费支出</w:t>
      </w:r>
      <w:r>
        <w:rPr>
          <w:rFonts w:hint="eastAsia" w:ascii="Times New Roman" w:hAnsi="Times New Roman" w:eastAsia="方正仿宋_GBK"/>
          <w:color w:val="auto"/>
          <w:sz w:val="32"/>
          <w:szCs w:val="32"/>
          <w:lang w:val="en-US" w:eastAsia="zh-CN"/>
        </w:rPr>
        <w:t>1.48</w:t>
      </w:r>
      <w:r>
        <w:rPr>
          <w:rFonts w:hint="eastAsia" w:ascii="Times New Roman" w:hAnsi="Times New Roman" w:eastAsia="方正仿宋_GBK"/>
          <w:color w:val="auto"/>
          <w:sz w:val="32"/>
          <w:szCs w:val="32"/>
        </w:rPr>
        <w:t>万元，较上年决算数增加</w:t>
      </w:r>
      <w:r>
        <w:rPr>
          <w:rFonts w:hint="eastAsia" w:ascii="Times New Roman" w:hAnsi="Times New Roman" w:eastAsia="方正仿宋_GBK"/>
          <w:color w:val="auto"/>
          <w:sz w:val="32"/>
          <w:szCs w:val="32"/>
          <w:lang w:val="en-US" w:eastAsia="zh-CN"/>
        </w:rPr>
        <w:t>0.24</w:t>
      </w:r>
      <w:r>
        <w:rPr>
          <w:rFonts w:hint="eastAsia" w:ascii="Times New Roman" w:hAnsi="Times New Roman" w:eastAsia="方正仿宋_GBK"/>
          <w:color w:val="auto"/>
          <w:sz w:val="32"/>
          <w:szCs w:val="32"/>
        </w:rPr>
        <w:t>万元，增长</w:t>
      </w:r>
      <w:r>
        <w:rPr>
          <w:rFonts w:hint="eastAsia" w:ascii="Times New Roman" w:hAnsi="Times New Roman" w:eastAsia="方正仿宋_GBK"/>
          <w:color w:val="auto"/>
          <w:sz w:val="32"/>
          <w:szCs w:val="32"/>
          <w:lang w:val="en-US" w:eastAsia="zh-CN"/>
        </w:rPr>
        <w:t>19.5</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随着铁路建设征地拆迁、两江四岸码头船舶治理等全区性项目的有序开展，工作会议开展次数增多</w:t>
      </w:r>
      <w:r>
        <w:rPr>
          <w:rFonts w:hint="eastAsia" w:ascii="Times New Roman" w:hAnsi="Times New Roman" w:eastAsia="方正仿宋_GBK"/>
          <w:color w:val="auto"/>
          <w:sz w:val="32"/>
          <w:szCs w:val="32"/>
        </w:rPr>
        <w:t>。本年度培训费支出</w:t>
      </w:r>
      <w:r>
        <w:rPr>
          <w:rFonts w:hint="eastAsia" w:ascii="Times New Roman" w:hAnsi="Times New Roman" w:eastAsia="方正仿宋_GBK"/>
          <w:color w:val="auto"/>
          <w:sz w:val="32"/>
          <w:szCs w:val="32"/>
          <w:lang w:val="en-US" w:eastAsia="zh-CN"/>
        </w:rPr>
        <w:t>0.18</w:t>
      </w:r>
      <w:r>
        <w:rPr>
          <w:rFonts w:hint="eastAsia" w:ascii="Times New Roman" w:hAnsi="Times New Roman" w:eastAsia="方正仿宋_GBK"/>
          <w:color w:val="auto"/>
          <w:sz w:val="32"/>
          <w:szCs w:val="32"/>
        </w:rPr>
        <w:t xml:space="preserve">万元，较上年决算数减少 </w:t>
      </w:r>
      <w:r>
        <w:rPr>
          <w:rFonts w:hint="eastAsia" w:ascii="Times New Roman" w:hAnsi="Times New Roman" w:eastAsia="方正仿宋_GBK"/>
          <w:color w:val="auto"/>
          <w:sz w:val="32"/>
          <w:szCs w:val="32"/>
          <w:lang w:val="en-US" w:eastAsia="zh-CN"/>
        </w:rPr>
        <w:t>0.24</w:t>
      </w:r>
      <w:r>
        <w:rPr>
          <w:rFonts w:hint="eastAsia" w:ascii="Times New Roman" w:hAnsi="Times New Roman" w:eastAsia="方正仿宋_GBK"/>
          <w:color w:val="auto"/>
          <w:sz w:val="32"/>
          <w:szCs w:val="32"/>
        </w:rPr>
        <w:t>万元，</w:t>
      </w:r>
      <w:r>
        <w:rPr>
          <w:rFonts w:hint="eastAsia" w:ascii="Times New Roman" w:hAnsi="Times New Roman" w:eastAsia="方正仿宋_GBK"/>
          <w:color w:val="auto"/>
          <w:sz w:val="32"/>
          <w:szCs w:val="32"/>
          <w:lang w:eastAsia="zh-CN"/>
        </w:rPr>
        <w:t>下降</w:t>
      </w:r>
      <w:r>
        <w:rPr>
          <w:rFonts w:hint="eastAsia" w:ascii="Times New Roman" w:hAnsi="Times New Roman" w:eastAsia="方正仿宋_GBK"/>
          <w:color w:val="auto"/>
          <w:sz w:val="32"/>
          <w:szCs w:val="32"/>
          <w:lang w:val="en-US" w:eastAsia="zh-CN"/>
        </w:rPr>
        <w:t>19.5</w:t>
      </w:r>
      <w:r>
        <w:rPr>
          <w:rFonts w:hint="eastAsia" w:ascii="Times New Roman" w:hAnsi="Times New Roman" w:eastAsia="方正仿宋_GBK"/>
          <w:color w:val="auto"/>
          <w:sz w:val="32"/>
          <w:szCs w:val="32"/>
        </w:rPr>
        <w:t>%，主要原因是</w:t>
      </w:r>
      <w:r>
        <w:rPr>
          <w:rFonts w:hint="eastAsia" w:ascii="Times New Roman" w:hAnsi="Times New Roman" w:eastAsia="方正仿宋_GBK" w:cs="方正仿宋_GBK"/>
          <w:color w:val="auto"/>
          <w:sz w:val="32"/>
          <w:szCs w:val="32"/>
          <w:shd w:val="clear" w:fill="FFFFFF"/>
          <w:lang w:eastAsia="zh-CN"/>
        </w:rPr>
        <w:t>我单位厉行节约，减少培训活动。</w:t>
      </w:r>
    </w:p>
    <w:p w14:paraId="6920F949">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lang w:eastAsia="zh-CN"/>
        </w:rPr>
        <w:t>（二）</w:t>
      </w:r>
      <w:r>
        <w:rPr>
          <w:rStyle w:val="10"/>
          <w:rFonts w:hint="eastAsia" w:ascii="方正楷体_GBK" w:hAnsi="方正楷体_GBK" w:eastAsia="方正楷体_GBK" w:cs="方正楷体_GBK"/>
          <w:b w:val="0"/>
          <w:bCs w:val="0"/>
          <w:color w:val="auto"/>
          <w:sz w:val="32"/>
          <w:szCs w:val="32"/>
        </w:rPr>
        <w:t>国有资产占用情况说明</w:t>
      </w:r>
    </w:p>
    <w:p w14:paraId="4350C8B9">
      <w:pPr>
        <w:keepNext w:val="0"/>
        <w:keepLines w:val="0"/>
        <w:pageBreakBefore w:val="0"/>
        <w:widowControl w:val="0"/>
        <w:numPr>
          <w:ilvl w:val="0"/>
          <w:numId w:val="0"/>
        </w:numPr>
        <w:kinsoku/>
        <w:wordWrap/>
        <w:overflowPunct/>
        <w:topLinePunct w:val="0"/>
        <w:bidi w:val="0"/>
        <w:adjustRightInd/>
        <w:snapToGrid/>
        <w:spacing w:beforeAutospacing="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截至2020年12月31日，本部门共有车辆</w:t>
      </w:r>
      <w:r>
        <w:rPr>
          <w:rFonts w:hint="eastAsia" w:ascii="Times New Roman" w:hAnsi="Times New Roman" w:eastAsia="方正仿宋_GBK"/>
          <w:color w:val="auto"/>
          <w:sz w:val="32"/>
          <w:szCs w:val="32"/>
          <w:lang w:val="en-US" w:eastAsia="zh-CN"/>
        </w:rPr>
        <w:t>3</w:t>
      </w:r>
      <w:r>
        <w:rPr>
          <w:rFonts w:hint="eastAsia" w:ascii="Times New Roman" w:hAnsi="Times New Roman" w:eastAsia="方正仿宋_GBK"/>
          <w:color w:val="auto"/>
          <w:sz w:val="32"/>
          <w:szCs w:val="32"/>
        </w:rPr>
        <w:t>辆，其中，副部（省）级及以上领导用车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辆、主要领导干部用车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辆、机要通信用车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辆、应急保障用车</w:t>
      </w:r>
      <w:r>
        <w:rPr>
          <w:rFonts w:hint="eastAsia" w:ascii="Times New Roman" w:hAnsi="Times New Roman" w:eastAsia="方正仿宋_GBK"/>
          <w:color w:val="auto"/>
          <w:sz w:val="32"/>
          <w:szCs w:val="32"/>
          <w:lang w:val="en-US" w:eastAsia="zh-CN"/>
        </w:rPr>
        <w:t>1</w:t>
      </w:r>
      <w:r>
        <w:rPr>
          <w:rFonts w:hint="eastAsia" w:ascii="Times New Roman" w:hAnsi="Times New Roman" w:eastAsia="方正仿宋_GBK"/>
          <w:color w:val="auto"/>
          <w:sz w:val="32"/>
          <w:szCs w:val="32"/>
        </w:rPr>
        <w:t>辆、执法执勤用车</w:t>
      </w:r>
      <w:r>
        <w:rPr>
          <w:rFonts w:hint="eastAsia" w:ascii="Times New Roman" w:hAnsi="Times New Roman" w:eastAsia="方正仿宋_GBK"/>
          <w:color w:val="auto"/>
          <w:sz w:val="32"/>
          <w:szCs w:val="32"/>
          <w:lang w:val="en-US" w:eastAsia="zh-CN"/>
        </w:rPr>
        <w:t>2</w:t>
      </w:r>
      <w:r>
        <w:rPr>
          <w:rFonts w:hint="eastAsia" w:ascii="Times New Roman" w:hAnsi="Times New Roman" w:eastAsia="方正仿宋_GBK"/>
          <w:color w:val="auto"/>
          <w:sz w:val="32"/>
          <w:szCs w:val="32"/>
        </w:rPr>
        <w:t>辆，特种专业技术用车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辆，离退休干部用车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辆，其他用车</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辆。单价50万元（含）以上通用设备</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台（套），单价100万元（含）以上专用设备</w:t>
      </w:r>
      <w:r>
        <w:rPr>
          <w:rFonts w:hint="eastAsia" w:ascii="Times New Roman" w:hAnsi="Times New Roman" w:eastAsia="方正仿宋_GBK"/>
          <w:color w:val="auto"/>
          <w:sz w:val="32"/>
          <w:szCs w:val="32"/>
          <w:lang w:val="en-US" w:eastAsia="zh-CN"/>
        </w:rPr>
        <w:t>0</w:t>
      </w:r>
      <w:r>
        <w:rPr>
          <w:rFonts w:hint="eastAsia" w:ascii="Times New Roman" w:hAnsi="Times New Roman" w:eastAsia="方正仿宋_GBK"/>
          <w:color w:val="auto"/>
          <w:sz w:val="32"/>
          <w:szCs w:val="32"/>
        </w:rPr>
        <w:t>台（套）。</w:t>
      </w:r>
    </w:p>
    <w:p w14:paraId="5C9ECAB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Style w:val="10"/>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rPr>
        <w:t>（三）政府采购支出情况说明</w:t>
      </w:r>
    </w:p>
    <w:p w14:paraId="25997ABF">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宋体"/>
          <w:color w:val="auto"/>
          <w:sz w:val="32"/>
          <w:szCs w:val="32"/>
          <w:lang w:val="en-US" w:eastAsia="zh-CN" w:bidi="ar-SA"/>
        </w:rPr>
      </w:pPr>
      <w:r>
        <w:rPr>
          <w:rFonts w:hint="eastAsia" w:ascii="Times New Roman" w:hAnsi="Times New Roman" w:eastAsia="方正仿宋_GBK" w:cs="宋体"/>
          <w:color w:val="auto"/>
          <w:sz w:val="32"/>
          <w:szCs w:val="32"/>
          <w:lang w:val="en-US" w:eastAsia="zh-CN" w:bidi="ar-SA"/>
        </w:rPr>
        <w:t>2020年度我单位未发生政府采购事项，无相关经费支出。</w:t>
      </w:r>
    </w:p>
    <w:p w14:paraId="010D3C66">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bCs w:val="0"/>
          <w:color w:val="auto"/>
        </w:rPr>
      </w:pPr>
      <w:r>
        <w:rPr>
          <w:rStyle w:val="10"/>
          <w:rFonts w:hint="eastAsia" w:ascii="Times New Roman" w:hAnsi="Times New Roman" w:eastAsia="方正黑体_GBK"/>
          <w:b w:val="0"/>
          <w:bCs w:val="0"/>
          <w:color w:val="auto"/>
          <w:sz w:val="32"/>
          <w:szCs w:val="32"/>
        </w:rPr>
        <w:t>五、预算绩效管理情况说明</w:t>
      </w:r>
    </w:p>
    <w:p w14:paraId="4EAAC7F4">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Style w:val="10"/>
          <w:rFonts w:hint="eastAsia" w:ascii="方正楷体_GBK" w:hAnsi="方正楷体_GBK" w:eastAsia="方正楷体_GBK" w:cs="方正楷体_GBK"/>
          <w:b w:val="0"/>
          <w:bCs w:val="0"/>
          <w:color w:val="auto"/>
          <w:kern w:val="0"/>
          <w:sz w:val="32"/>
          <w:szCs w:val="32"/>
          <w:lang w:val="en-US" w:eastAsia="zh-CN" w:bidi="ar-SA"/>
        </w:rPr>
      </w:pPr>
      <w:r>
        <w:rPr>
          <w:rStyle w:val="10"/>
          <w:rFonts w:hint="eastAsia" w:ascii="方正楷体_GBK" w:hAnsi="方正楷体_GBK" w:eastAsia="方正楷体_GBK" w:cs="方正楷体_GBK"/>
          <w:b w:val="0"/>
          <w:bCs w:val="0"/>
          <w:color w:val="auto"/>
          <w:kern w:val="0"/>
          <w:sz w:val="32"/>
          <w:szCs w:val="32"/>
          <w:lang w:val="en-US" w:eastAsia="zh-CN" w:bidi="ar-SA"/>
        </w:rPr>
        <w:t>（一）预算绩效管理工作开展情况</w:t>
      </w:r>
    </w:p>
    <w:p w14:paraId="37FB70FC">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ascii="Times New Roman" w:hAnsi="Times New Roman" w:eastAsia="方正仿宋_GBK" w:cs="宋体"/>
          <w:color w:val="auto"/>
          <w:kern w:val="0"/>
          <w:sz w:val="32"/>
          <w:szCs w:val="32"/>
        </w:rPr>
      </w:pPr>
      <w:r>
        <w:rPr>
          <w:rFonts w:hint="eastAsia" w:ascii="Times New Roman" w:hAnsi="Times New Roman" w:eastAsia="方正仿宋_GBK" w:cs="宋体"/>
          <w:color w:val="auto"/>
          <w:kern w:val="0"/>
          <w:sz w:val="32"/>
          <w:szCs w:val="32"/>
        </w:rPr>
        <w:t>根据预算绩效管理要求，本部门对</w:t>
      </w:r>
      <w:r>
        <w:rPr>
          <w:rFonts w:hint="eastAsia" w:ascii="Times New Roman" w:hAnsi="Times New Roman" w:eastAsia="方正仿宋_GBK" w:cs="宋体"/>
          <w:color w:val="auto"/>
          <w:kern w:val="0"/>
          <w:sz w:val="32"/>
          <w:szCs w:val="32"/>
          <w:lang w:val="en-US" w:eastAsia="zh-CN"/>
        </w:rPr>
        <w:t>10</w:t>
      </w:r>
      <w:r>
        <w:rPr>
          <w:rFonts w:hint="eastAsia" w:ascii="Times New Roman" w:hAnsi="Times New Roman" w:eastAsia="方正仿宋_GBK" w:cs="宋体"/>
          <w:color w:val="auto"/>
          <w:kern w:val="0"/>
          <w:sz w:val="32"/>
          <w:szCs w:val="32"/>
        </w:rPr>
        <w:t>个项目开展了绩效自评，其中，以填报目标自评表形式开展自评</w:t>
      </w:r>
      <w:r>
        <w:rPr>
          <w:rFonts w:hint="eastAsia" w:ascii="Times New Roman" w:hAnsi="Times New Roman" w:eastAsia="方正仿宋_GBK" w:cs="宋体"/>
          <w:color w:val="auto"/>
          <w:kern w:val="0"/>
          <w:sz w:val="32"/>
          <w:szCs w:val="32"/>
          <w:lang w:val="en-US" w:eastAsia="zh-CN"/>
        </w:rPr>
        <w:t>10</w:t>
      </w:r>
      <w:r>
        <w:rPr>
          <w:rFonts w:hint="eastAsia" w:ascii="Times New Roman" w:hAnsi="Times New Roman" w:eastAsia="方正仿宋_GBK" w:cs="宋体"/>
          <w:color w:val="auto"/>
          <w:kern w:val="0"/>
          <w:sz w:val="32"/>
          <w:szCs w:val="32"/>
        </w:rPr>
        <w:t>项，涉及资金</w:t>
      </w:r>
      <w:r>
        <w:rPr>
          <w:rFonts w:hint="eastAsia" w:ascii="Times New Roman" w:hAnsi="Times New Roman" w:eastAsia="方正仿宋_GBK" w:cs="宋体"/>
          <w:color w:val="auto"/>
          <w:kern w:val="0"/>
          <w:sz w:val="32"/>
          <w:szCs w:val="32"/>
          <w:lang w:val="en-US" w:eastAsia="zh-CN"/>
        </w:rPr>
        <w:t>2319.09</w:t>
      </w:r>
      <w:r>
        <w:rPr>
          <w:rFonts w:hint="eastAsia" w:ascii="Times New Roman" w:hAnsi="Times New Roman" w:eastAsia="方正仿宋_GBK" w:cs="宋体"/>
          <w:color w:val="auto"/>
          <w:kern w:val="0"/>
          <w:sz w:val="32"/>
          <w:szCs w:val="32"/>
        </w:rPr>
        <w:t>万元</w:t>
      </w:r>
      <w:r>
        <w:rPr>
          <w:rFonts w:hint="eastAsia" w:ascii="Times New Roman" w:hAnsi="Times New Roman" w:eastAsia="方正仿宋_GBK" w:cs="宋体"/>
          <w:color w:val="auto"/>
          <w:kern w:val="0"/>
          <w:sz w:val="32"/>
          <w:szCs w:val="32"/>
          <w:lang w:eastAsia="zh-CN"/>
        </w:rPr>
        <w:t>，</w:t>
      </w:r>
      <w:r>
        <w:rPr>
          <w:rFonts w:hint="eastAsia" w:ascii="Times New Roman" w:hAnsi="Times New Roman" w:eastAsia="方正仿宋_GBK" w:cs="宋体"/>
          <w:color w:val="auto"/>
          <w:kern w:val="0"/>
          <w:sz w:val="32"/>
          <w:szCs w:val="32"/>
        </w:rPr>
        <w:t>从评价情况来看，</w:t>
      </w:r>
      <w:r>
        <w:rPr>
          <w:rFonts w:hint="eastAsia" w:ascii="Times New Roman" w:hAnsi="Times New Roman" w:eastAsia="方正仿宋_GBK" w:cs="方正仿宋_GBK"/>
          <w:color w:val="auto"/>
          <w:sz w:val="32"/>
          <w:szCs w:val="32"/>
          <w:lang w:eastAsia="zh-CN"/>
        </w:rPr>
        <w:t>项目均达到了项目申报时设定的各项绩效目标。</w:t>
      </w:r>
    </w:p>
    <w:p w14:paraId="68E89FEE">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Style w:val="10"/>
          <w:rFonts w:hint="eastAsia" w:ascii="方正楷体_GBK" w:hAnsi="方正楷体_GBK" w:eastAsia="方正楷体_GBK" w:cs="方正楷体_GBK"/>
          <w:b w:val="0"/>
          <w:bCs w:val="0"/>
          <w:color w:val="auto"/>
          <w:kern w:val="0"/>
          <w:sz w:val="32"/>
          <w:szCs w:val="32"/>
          <w:lang w:val="en-US" w:eastAsia="zh-CN" w:bidi="ar-SA"/>
        </w:rPr>
      </w:pPr>
      <w:r>
        <w:rPr>
          <w:rStyle w:val="10"/>
          <w:rFonts w:hint="eastAsia" w:ascii="方正楷体_GBK" w:hAnsi="方正楷体_GBK" w:eastAsia="方正楷体_GBK" w:cs="方正楷体_GBK"/>
          <w:b w:val="0"/>
          <w:bCs w:val="0"/>
          <w:color w:val="auto"/>
          <w:kern w:val="0"/>
          <w:sz w:val="32"/>
          <w:szCs w:val="32"/>
          <w:lang w:val="en-US" w:eastAsia="zh-CN" w:bidi="ar-SA"/>
        </w:rPr>
        <w:t>（二）绩效自评结果</w:t>
      </w:r>
    </w:p>
    <w:p w14:paraId="3269E7DA">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hint="eastAsia" w:ascii="Times New Roman" w:hAnsi="Times New Roman" w:eastAsia="方正仿宋_GBK" w:cs="宋体"/>
          <w:color w:val="auto"/>
          <w:kern w:val="0"/>
          <w:sz w:val="32"/>
          <w:szCs w:val="32"/>
        </w:rPr>
      </w:pPr>
      <w:r>
        <w:rPr>
          <w:rFonts w:hint="eastAsia" w:ascii="Times New Roman" w:hAnsi="Times New Roman" w:eastAsia="方正仿宋_GBK" w:cs="宋体"/>
          <w:color w:val="auto"/>
          <w:kern w:val="0"/>
          <w:sz w:val="32"/>
          <w:szCs w:val="32"/>
        </w:rPr>
        <w:t>1.绩效自评表</w:t>
      </w:r>
    </w:p>
    <w:p w14:paraId="0986B313">
      <w:pPr>
        <w:keepNext w:val="0"/>
        <w:keepLines w:val="0"/>
        <w:pageBreakBefore w:val="0"/>
        <w:widowControl w:val="0"/>
        <w:kinsoku/>
        <w:wordWrap/>
        <w:overflowPunct/>
        <w:topLinePunct w:val="0"/>
        <w:autoSpaceDN w:val="0"/>
        <w:bidi w:val="0"/>
        <w:adjustRightInd/>
        <w:snapToGrid/>
        <w:spacing w:beforeAutospacing="0" w:afterAutospacing="0" w:line="594" w:lineRule="exact"/>
        <w:ind w:firstLine="640" w:firstLineChars="200"/>
        <w:jc w:val="both"/>
        <w:textAlignment w:val="auto"/>
        <w:rPr>
          <w:rFonts w:hint="eastAsia" w:ascii="方正仿宋_GBK" w:hAnsi="方正仿宋_GBK" w:eastAsia="方正仿宋_GBK" w:cs="方正仿宋_GBK"/>
          <w:color w:val="auto"/>
          <w:kern w:val="0"/>
          <w:sz w:val="32"/>
          <w:szCs w:val="32"/>
          <w:lang w:eastAsia="zh-CN"/>
        </w:rPr>
      </w:pPr>
      <w:r>
        <w:rPr>
          <w:rFonts w:hint="eastAsia" w:ascii="Times New Roman" w:hAnsi="Times New Roman" w:eastAsia="方正仿宋_GBK" w:cs="方正仿宋_GBK"/>
          <w:color w:val="auto"/>
          <w:kern w:val="0"/>
          <w:sz w:val="32"/>
          <w:szCs w:val="32"/>
          <w:lang w:eastAsia="zh-CN"/>
        </w:rPr>
        <w:t>治理超限超载车辆专项项目绩效目标自评综述：根据年初设定的绩效目标，我局加强了对辖区公路上行驶的超限超载车辆的监管，确保了辖区公路治超工作正常运行，保障了交通安。该项目全年预算数为</w:t>
      </w:r>
      <w:r>
        <w:rPr>
          <w:rFonts w:hint="default" w:ascii="Times New Roman" w:hAnsi="Times New Roman" w:eastAsia="方正仿宋_GBK" w:cs="宋体"/>
          <w:color w:val="auto"/>
          <w:kern w:val="0"/>
          <w:sz w:val="32"/>
          <w:szCs w:val="32"/>
          <w:lang w:val="en-US"/>
        </w:rPr>
        <w:t>1</w:t>
      </w:r>
      <w:r>
        <w:rPr>
          <w:rFonts w:hint="eastAsia" w:ascii="Times New Roman" w:hAnsi="Times New Roman" w:eastAsia="方正仿宋_GBK" w:cs="宋体"/>
          <w:color w:val="auto"/>
          <w:kern w:val="0"/>
          <w:sz w:val="32"/>
          <w:szCs w:val="32"/>
          <w:lang w:val="en-US" w:eastAsia="zh-CN"/>
        </w:rPr>
        <w:t>9</w:t>
      </w:r>
      <w:r>
        <w:rPr>
          <w:rFonts w:hint="default" w:ascii="Times New Roman" w:hAnsi="Times New Roman" w:eastAsia="方正仿宋_GBK" w:cs="宋体"/>
          <w:color w:val="auto"/>
          <w:kern w:val="0"/>
          <w:sz w:val="32"/>
          <w:szCs w:val="32"/>
          <w:lang w:val="en-US"/>
        </w:rPr>
        <w:t>0</w:t>
      </w:r>
      <w:r>
        <w:rPr>
          <w:rFonts w:hint="eastAsia" w:ascii="Times New Roman" w:hAnsi="Times New Roman" w:eastAsia="方正仿宋_GBK" w:cs="方正仿宋_GBK"/>
          <w:color w:val="auto"/>
          <w:kern w:val="0"/>
          <w:sz w:val="32"/>
          <w:szCs w:val="32"/>
          <w:lang w:eastAsia="zh-CN"/>
        </w:rPr>
        <w:t>万元，执行数为</w:t>
      </w:r>
      <w:r>
        <w:rPr>
          <w:rFonts w:hint="default" w:ascii="Times New Roman" w:hAnsi="Times New Roman" w:eastAsia="方正仿宋_GBK" w:cs="宋体"/>
          <w:color w:val="auto"/>
          <w:kern w:val="0"/>
          <w:sz w:val="32"/>
          <w:szCs w:val="32"/>
          <w:lang w:val="en-US"/>
        </w:rPr>
        <w:t>1</w:t>
      </w:r>
      <w:r>
        <w:rPr>
          <w:rFonts w:hint="eastAsia" w:ascii="Times New Roman" w:hAnsi="Times New Roman" w:eastAsia="方正仿宋_GBK" w:cs="宋体"/>
          <w:color w:val="auto"/>
          <w:kern w:val="0"/>
          <w:sz w:val="32"/>
          <w:szCs w:val="32"/>
          <w:lang w:val="en-US" w:eastAsia="zh-CN"/>
        </w:rPr>
        <w:t>9</w:t>
      </w:r>
      <w:r>
        <w:rPr>
          <w:rFonts w:hint="default" w:ascii="Times New Roman" w:hAnsi="Times New Roman" w:eastAsia="方正仿宋_GBK" w:cs="宋体"/>
          <w:color w:val="auto"/>
          <w:kern w:val="0"/>
          <w:sz w:val="32"/>
          <w:szCs w:val="32"/>
          <w:lang w:val="en-US"/>
        </w:rPr>
        <w:t>0</w:t>
      </w:r>
      <w:r>
        <w:rPr>
          <w:rFonts w:hint="eastAsia" w:ascii="Times New Roman" w:hAnsi="Times New Roman" w:eastAsia="方正仿宋_GBK" w:cs="方正仿宋_GBK"/>
          <w:color w:val="auto"/>
          <w:kern w:val="0"/>
          <w:sz w:val="32"/>
          <w:szCs w:val="32"/>
          <w:lang w:eastAsia="zh-CN"/>
        </w:rPr>
        <w:t>万元，完成预算的</w:t>
      </w:r>
      <w:r>
        <w:rPr>
          <w:rFonts w:hint="default" w:ascii="Times New Roman" w:hAnsi="Times New Roman" w:eastAsia="方正仿宋_GBK" w:cs="宋体"/>
          <w:color w:val="auto"/>
          <w:kern w:val="0"/>
          <w:sz w:val="32"/>
          <w:szCs w:val="32"/>
          <w:lang w:val="en-US"/>
        </w:rPr>
        <w:t>100%</w:t>
      </w:r>
      <w:r>
        <w:rPr>
          <w:rFonts w:hint="eastAsia" w:ascii="Times New Roman" w:hAnsi="Times New Roman" w:eastAsia="方正仿宋_GBK" w:cs="方正仿宋_GBK"/>
          <w:color w:val="auto"/>
          <w:kern w:val="0"/>
          <w:sz w:val="32"/>
          <w:szCs w:val="32"/>
          <w:lang w:eastAsia="zh-CN"/>
        </w:rPr>
        <w:t>。主要产出和效果：我局聘用治超人员</w:t>
      </w:r>
      <w:r>
        <w:rPr>
          <w:rFonts w:hint="eastAsia" w:ascii="Times New Roman" w:hAnsi="Times New Roman" w:eastAsia="方正仿宋_GBK" w:cs="宋体"/>
          <w:color w:val="auto"/>
          <w:kern w:val="0"/>
          <w:sz w:val="32"/>
          <w:szCs w:val="32"/>
          <w:lang w:val="en-US" w:eastAsia="zh-CN"/>
        </w:rPr>
        <w:t>30</w:t>
      </w:r>
      <w:r>
        <w:rPr>
          <w:rFonts w:hint="eastAsia" w:ascii="Times New Roman" w:hAnsi="Times New Roman" w:eastAsia="方正仿宋_GBK" w:cs="方正仿宋_GBK"/>
          <w:color w:val="auto"/>
          <w:kern w:val="0"/>
          <w:sz w:val="32"/>
          <w:szCs w:val="32"/>
          <w:lang w:eastAsia="zh-CN"/>
        </w:rPr>
        <w:t>名，在全区开展</w:t>
      </w:r>
      <w:r>
        <w:rPr>
          <w:rFonts w:hint="default" w:ascii="Times New Roman" w:hAnsi="Times New Roman" w:eastAsia="方正仿宋_GBK" w:cs="宋体"/>
          <w:color w:val="auto"/>
          <w:kern w:val="0"/>
          <w:sz w:val="32"/>
          <w:szCs w:val="32"/>
          <w:lang w:val="en-US"/>
        </w:rPr>
        <w:t>24</w:t>
      </w:r>
      <w:r>
        <w:rPr>
          <w:rFonts w:hint="eastAsia" w:ascii="Times New Roman" w:hAnsi="Times New Roman" w:eastAsia="方正仿宋_GBK" w:cs="方正仿宋_GBK"/>
          <w:color w:val="auto"/>
          <w:kern w:val="0"/>
          <w:sz w:val="32"/>
          <w:szCs w:val="32"/>
          <w:lang w:eastAsia="zh-CN"/>
        </w:rPr>
        <w:t>小时流动治超工作，加强了对辖区公路上行驶的超限超载车辆的监管，切实维护了路产路权。</w:t>
      </w:r>
    </w:p>
    <w:p w14:paraId="67159BBF">
      <w:pPr>
        <w:keepNext w:val="0"/>
        <w:keepLines w:val="0"/>
        <w:pageBreakBefore w:val="0"/>
        <w:widowControl w:val="0"/>
        <w:kinsoku/>
        <w:wordWrap/>
        <w:overflowPunct/>
        <w:topLinePunct w:val="0"/>
        <w:bidi w:val="0"/>
        <w:adjustRightInd/>
        <w:snapToGrid/>
        <w:textAlignment w:val="auto"/>
        <w:rPr>
          <w:color w:val="auto"/>
        </w:rPr>
      </w:pPr>
    </w:p>
    <w:tbl>
      <w:tblPr>
        <w:tblStyle w:val="8"/>
        <w:tblW w:w="9160" w:type="dxa"/>
        <w:tblInd w:w="-215" w:type="dxa"/>
        <w:tblLayout w:type="fixed"/>
        <w:tblCellMar>
          <w:top w:w="0" w:type="dxa"/>
          <w:left w:w="108" w:type="dxa"/>
          <w:bottom w:w="0" w:type="dxa"/>
          <w:right w:w="108" w:type="dxa"/>
        </w:tblCellMar>
      </w:tblPr>
      <w:tblGrid>
        <w:gridCol w:w="845"/>
        <w:gridCol w:w="1132"/>
        <w:gridCol w:w="645"/>
        <w:gridCol w:w="786"/>
        <w:gridCol w:w="597"/>
        <w:gridCol w:w="1209"/>
        <w:gridCol w:w="772"/>
        <w:gridCol w:w="699"/>
        <w:gridCol w:w="772"/>
        <w:gridCol w:w="786"/>
        <w:gridCol w:w="917"/>
      </w:tblGrid>
      <w:tr w14:paraId="1DC8402F">
        <w:tblPrEx>
          <w:tblCellMar>
            <w:top w:w="0" w:type="dxa"/>
            <w:left w:w="108" w:type="dxa"/>
            <w:bottom w:w="0" w:type="dxa"/>
            <w:right w:w="108" w:type="dxa"/>
          </w:tblCellMar>
        </w:tblPrEx>
        <w:trPr>
          <w:trHeight w:val="601" w:hRule="atLeast"/>
        </w:trPr>
        <w:tc>
          <w:tcPr>
            <w:tcW w:w="9160" w:type="dxa"/>
            <w:gridSpan w:val="11"/>
            <w:tcBorders>
              <w:top w:val="nil"/>
              <w:left w:val="nil"/>
              <w:bottom w:val="nil"/>
              <w:right w:val="nil"/>
            </w:tcBorders>
            <w:shd w:val="clear" w:color="auto" w:fill="auto"/>
            <w:vAlign w:val="center"/>
          </w:tcPr>
          <w:p w14:paraId="3ECAF89A">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小标宋_GBK"/>
                <w:color w:val="auto"/>
                <w:sz w:val="36"/>
                <w:szCs w:val="36"/>
              </w:rPr>
            </w:pPr>
          </w:p>
          <w:p w14:paraId="60A6D65E">
            <w:pPr>
              <w:keepNext w:val="0"/>
              <w:keepLines w:val="0"/>
              <w:pageBreakBefore w:val="0"/>
              <w:widowControl w:val="0"/>
              <w:kinsoku/>
              <w:wordWrap/>
              <w:overflowPunct/>
              <w:topLinePunct w:val="0"/>
              <w:autoSpaceDN w:val="0"/>
              <w:bidi w:val="0"/>
              <w:adjustRightInd/>
              <w:snapToGrid/>
              <w:spacing w:beforeAutospacing="0" w:afterAutospacing="0" w:line="594" w:lineRule="exact"/>
              <w:jc w:val="center"/>
              <w:textAlignment w:val="auto"/>
              <w:rPr>
                <w:rFonts w:ascii="Times New Roman" w:hAnsi="Times New Roman" w:eastAsia="方正小标宋_GBK"/>
                <w:color w:val="auto"/>
                <w:sz w:val="36"/>
                <w:szCs w:val="36"/>
              </w:rPr>
            </w:pPr>
            <w:r>
              <w:rPr>
                <w:rFonts w:hint="eastAsia" w:ascii="Times New Roman" w:hAnsi="Times New Roman" w:eastAsia="方正小标宋_GBK"/>
                <w:color w:val="auto"/>
                <w:sz w:val="36"/>
                <w:szCs w:val="36"/>
              </w:rPr>
              <w:t>一级项目绩效自评表</w:t>
            </w:r>
          </w:p>
        </w:tc>
      </w:tr>
      <w:tr w14:paraId="2E2E431B">
        <w:tblPrEx>
          <w:tblCellMar>
            <w:top w:w="0" w:type="dxa"/>
            <w:left w:w="108" w:type="dxa"/>
            <w:bottom w:w="0" w:type="dxa"/>
            <w:right w:w="108" w:type="dxa"/>
          </w:tblCellMar>
        </w:tblPrEx>
        <w:trPr>
          <w:trHeight w:val="23" w:hRule="atLeast"/>
        </w:trPr>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CE3E45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项目名称</w:t>
            </w:r>
          </w:p>
        </w:tc>
        <w:tc>
          <w:tcPr>
            <w:tcW w:w="1777" w:type="dxa"/>
            <w:gridSpan w:val="2"/>
            <w:tcBorders>
              <w:top w:val="single" w:color="auto" w:sz="4" w:space="0"/>
              <w:left w:val="nil"/>
              <w:bottom w:val="single" w:color="auto" w:sz="4" w:space="0"/>
              <w:right w:val="single" w:color="000000" w:sz="4" w:space="0"/>
            </w:tcBorders>
            <w:shd w:val="clear" w:color="auto" w:fill="auto"/>
            <w:vAlign w:val="center"/>
          </w:tcPr>
          <w:p w14:paraId="58711A3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治理超限超载车辆专项</w:t>
            </w:r>
            <w:r>
              <w:rPr>
                <w:rFonts w:hint="default" w:ascii="方正仿宋_GBK" w:hAnsi="宋体" w:eastAsia="方正仿宋_GBK" w:cs="宋体"/>
                <w:color w:val="auto"/>
                <w:kern w:val="0"/>
                <w:sz w:val="18"/>
                <w:szCs w:val="18"/>
              </w:rPr>
              <w:t xml:space="preserve"> </w:t>
            </w:r>
          </w:p>
        </w:tc>
        <w:tc>
          <w:tcPr>
            <w:tcW w:w="786" w:type="dxa"/>
            <w:tcBorders>
              <w:top w:val="single" w:color="auto" w:sz="4" w:space="0"/>
              <w:left w:val="nil"/>
              <w:bottom w:val="single" w:color="auto" w:sz="4" w:space="0"/>
              <w:right w:val="single" w:color="auto" w:sz="4" w:space="0"/>
            </w:tcBorders>
            <w:shd w:val="clear" w:color="auto" w:fill="auto"/>
            <w:vAlign w:val="center"/>
          </w:tcPr>
          <w:p w14:paraId="75E5319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项目编码</w:t>
            </w:r>
          </w:p>
        </w:tc>
        <w:tc>
          <w:tcPr>
            <w:tcW w:w="1806" w:type="dxa"/>
            <w:gridSpan w:val="2"/>
            <w:tcBorders>
              <w:top w:val="single" w:color="auto" w:sz="4" w:space="0"/>
              <w:left w:val="nil"/>
              <w:bottom w:val="single" w:color="auto" w:sz="4" w:space="0"/>
              <w:right w:val="single" w:color="000000" w:sz="4" w:space="0"/>
            </w:tcBorders>
            <w:shd w:val="clear" w:color="auto" w:fill="auto"/>
            <w:vAlign w:val="center"/>
          </w:tcPr>
          <w:p w14:paraId="3984709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2020B102820021218</w:t>
            </w:r>
          </w:p>
        </w:tc>
        <w:tc>
          <w:tcPr>
            <w:tcW w:w="772" w:type="dxa"/>
            <w:tcBorders>
              <w:top w:val="single" w:color="auto" w:sz="4" w:space="0"/>
              <w:left w:val="nil"/>
              <w:bottom w:val="single" w:color="auto" w:sz="4" w:space="0"/>
              <w:right w:val="single" w:color="auto" w:sz="4" w:space="0"/>
            </w:tcBorders>
            <w:shd w:val="clear" w:color="auto" w:fill="auto"/>
            <w:vAlign w:val="center"/>
          </w:tcPr>
          <w:p w14:paraId="519BB42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自评总分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3174" w:type="dxa"/>
            <w:gridSpan w:val="4"/>
            <w:tcBorders>
              <w:top w:val="single" w:color="auto" w:sz="4" w:space="0"/>
              <w:left w:val="nil"/>
              <w:bottom w:val="single" w:color="auto" w:sz="4" w:space="0"/>
              <w:right w:val="single" w:color="000000" w:sz="4" w:space="0"/>
            </w:tcBorders>
            <w:shd w:val="clear" w:color="auto" w:fill="auto"/>
            <w:vAlign w:val="center"/>
          </w:tcPr>
          <w:p w14:paraId="054A0E83">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96</w:t>
            </w:r>
          </w:p>
        </w:tc>
      </w:tr>
      <w:tr w14:paraId="7CEBA0CB">
        <w:tblPrEx>
          <w:tblCellMar>
            <w:top w:w="0" w:type="dxa"/>
            <w:left w:w="108" w:type="dxa"/>
            <w:bottom w:w="0" w:type="dxa"/>
            <w:right w:w="108" w:type="dxa"/>
          </w:tblCellMar>
        </w:tblPrEx>
        <w:trPr>
          <w:trHeight w:val="795" w:hRule="atLeast"/>
        </w:trPr>
        <w:tc>
          <w:tcPr>
            <w:tcW w:w="845" w:type="dxa"/>
            <w:tcBorders>
              <w:top w:val="nil"/>
              <w:left w:val="single" w:color="auto" w:sz="4" w:space="0"/>
              <w:bottom w:val="single" w:color="auto" w:sz="4" w:space="0"/>
              <w:right w:val="single" w:color="auto" w:sz="4" w:space="0"/>
            </w:tcBorders>
            <w:shd w:val="clear" w:color="auto" w:fill="auto"/>
            <w:vAlign w:val="center"/>
          </w:tcPr>
          <w:p w14:paraId="6A3B69E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主管部门</w:t>
            </w:r>
          </w:p>
        </w:tc>
        <w:tc>
          <w:tcPr>
            <w:tcW w:w="1777" w:type="dxa"/>
            <w:gridSpan w:val="2"/>
            <w:tcBorders>
              <w:top w:val="single" w:color="auto" w:sz="4" w:space="0"/>
              <w:left w:val="nil"/>
              <w:bottom w:val="single" w:color="auto" w:sz="4" w:space="0"/>
              <w:right w:val="single" w:color="000000" w:sz="4" w:space="0"/>
            </w:tcBorders>
            <w:shd w:val="clear" w:color="auto" w:fill="auto"/>
            <w:vAlign w:val="center"/>
          </w:tcPr>
          <w:p w14:paraId="09F90CA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重庆市南岸区交通局</w:t>
            </w:r>
          </w:p>
        </w:tc>
        <w:tc>
          <w:tcPr>
            <w:tcW w:w="786" w:type="dxa"/>
            <w:tcBorders>
              <w:top w:val="nil"/>
              <w:left w:val="nil"/>
              <w:bottom w:val="single" w:color="auto" w:sz="4" w:space="0"/>
              <w:right w:val="single" w:color="auto" w:sz="4" w:space="0"/>
            </w:tcBorders>
            <w:shd w:val="clear" w:color="auto" w:fill="auto"/>
            <w:vAlign w:val="center"/>
          </w:tcPr>
          <w:p w14:paraId="0E09F47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财政处室</w:t>
            </w:r>
          </w:p>
        </w:tc>
        <w:tc>
          <w:tcPr>
            <w:tcW w:w="1806" w:type="dxa"/>
            <w:gridSpan w:val="2"/>
            <w:tcBorders>
              <w:top w:val="single" w:color="auto" w:sz="4" w:space="0"/>
              <w:left w:val="nil"/>
              <w:bottom w:val="single" w:color="auto" w:sz="4" w:space="0"/>
              <w:right w:val="single" w:color="000000" w:sz="4" w:space="0"/>
            </w:tcBorders>
            <w:shd w:val="clear" w:color="auto" w:fill="auto"/>
            <w:vAlign w:val="center"/>
          </w:tcPr>
          <w:p w14:paraId="2B9CFA3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经建科</w:t>
            </w:r>
          </w:p>
        </w:tc>
        <w:tc>
          <w:tcPr>
            <w:tcW w:w="772" w:type="dxa"/>
            <w:tcBorders>
              <w:top w:val="nil"/>
              <w:left w:val="nil"/>
              <w:bottom w:val="single" w:color="auto" w:sz="4" w:space="0"/>
              <w:right w:val="single" w:color="auto" w:sz="4" w:space="0"/>
            </w:tcBorders>
            <w:shd w:val="clear" w:color="auto" w:fill="auto"/>
            <w:vAlign w:val="center"/>
          </w:tcPr>
          <w:p w14:paraId="24333437">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eastAsia="zh-CN"/>
              </w:rPr>
              <w:t>项</w:t>
            </w:r>
            <w:r>
              <w:rPr>
                <w:rFonts w:hint="eastAsia" w:ascii="方正仿宋_GBK" w:hAnsi="宋体" w:eastAsia="方正仿宋_GBK" w:cs="宋体"/>
                <w:color w:val="auto"/>
                <w:kern w:val="0"/>
                <w:sz w:val="18"/>
                <w:szCs w:val="18"/>
              </w:rPr>
              <w:t>目</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联系人</w:t>
            </w:r>
          </w:p>
        </w:tc>
        <w:tc>
          <w:tcPr>
            <w:tcW w:w="699" w:type="dxa"/>
            <w:tcBorders>
              <w:top w:val="nil"/>
              <w:left w:val="nil"/>
              <w:bottom w:val="single" w:color="auto" w:sz="4" w:space="0"/>
              <w:right w:val="single" w:color="auto" w:sz="4" w:space="0"/>
            </w:tcBorders>
            <w:shd w:val="clear" w:color="auto" w:fill="auto"/>
            <w:vAlign w:val="center"/>
          </w:tcPr>
          <w:p w14:paraId="6A2323E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lang w:eastAsia="zh-CN"/>
              </w:rPr>
              <w:t>程杰</w:t>
            </w:r>
          </w:p>
        </w:tc>
        <w:tc>
          <w:tcPr>
            <w:tcW w:w="772" w:type="dxa"/>
            <w:tcBorders>
              <w:top w:val="nil"/>
              <w:left w:val="nil"/>
              <w:bottom w:val="single" w:color="auto" w:sz="4" w:space="0"/>
              <w:right w:val="single" w:color="auto" w:sz="4" w:space="0"/>
            </w:tcBorders>
            <w:shd w:val="clear" w:color="auto" w:fill="auto"/>
            <w:vAlign w:val="center"/>
          </w:tcPr>
          <w:p w14:paraId="5658928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联系电话</w:t>
            </w:r>
          </w:p>
        </w:tc>
        <w:tc>
          <w:tcPr>
            <w:tcW w:w="1703" w:type="dxa"/>
            <w:gridSpan w:val="2"/>
            <w:tcBorders>
              <w:top w:val="single" w:color="auto" w:sz="4" w:space="0"/>
              <w:left w:val="nil"/>
              <w:bottom w:val="single" w:color="auto" w:sz="4" w:space="0"/>
              <w:right w:val="single" w:color="000000" w:sz="4" w:space="0"/>
            </w:tcBorders>
            <w:shd w:val="clear" w:color="auto" w:fill="auto"/>
            <w:vAlign w:val="center"/>
          </w:tcPr>
          <w:p w14:paraId="56DF344E">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62980755</w:t>
            </w:r>
          </w:p>
        </w:tc>
      </w:tr>
      <w:tr w14:paraId="7CE553EB">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vAlign w:val="center"/>
          </w:tcPr>
          <w:p w14:paraId="107EA987">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项目资金（万元）</w:t>
            </w:r>
          </w:p>
        </w:tc>
        <w:tc>
          <w:tcPr>
            <w:tcW w:w="1132" w:type="dxa"/>
            <w:tcBorders>
              <w:top w:val="nil"/>
              <w:left w:val="nil"/>
              <w:bottom w:val="single" w:color="auto" w:sz="4" w:space="0"/>
              <w:right w:val="nil"/>
            </w:tcBorders>
            <w:shd w:val="clear" w:color="auto" w:fill="auto"/>
            <w:vAlign w:val="center"/>
          </w:tcPr>
          <w:p w14:paraId="72FDA3C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9FD5AA2">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年初预算数</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14:paraId="33CAA0B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全年（调整）预算数</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14:paraId="2E90FDF4">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全年执行数</w:t>
            </w:r>
          </w:p>
        </w:tc>
        <w:tc>
          <w:tcPr>
            <w:tcW w:w="772" w:type="dxa"/>
            <w:tcBorders>
              <w:top w:val="nil"/>
              <w:left w:val="nil"/>
              <w:bottom w:val="single" w:color="auto" w:sz="4" w:space="0"/>
              <w:right w:val="single" w:color="auto" w:sz="4" w:space="0"/>
            </w:tcBorders>
            <w:shd w:val="clear" w:color="auto" w:fill="auto"/>
            <w:vAlign w:val="center"/>
          </w:tcPr>
          <w:p w14:paraId="4B0CAB0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w:t>
            </w:r>
          </w:p>
        </w:tc>
        <w:tc>
          <w:tcPr>
            <w:tcW w:w="786" w:type="dxa"/>
            <w:tcBorders>
              <w:top w:val="nil"/>
              <w:left w:val="nil"/>
              <w:bottom w:val="single" w:color="auto" w:sz="4" w:space="0"/>
              <w:right w:val="single" w:color="auto" w:sz="4" w:space="0"/>
            </w:tcBorders>
            <w:shd w:val="clear" w:color="auto" w:fill="auto"/>
            <w:vAlign w:val="center"/>
          </w:tcPr>
          <w:p w14:paraId="621C006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权重</w:t>
            </w:r>
          </w:p>
        </w:tc>
        <w:tc>
          <w:tcPr>
            <w:tcW w:w="917" w:type="dxa"/>
            <w:tcBorders>
              <w:top w:val="nil"/>
              <w:left w:val="nil"/>
              <w:bottom w:val="single" w:color="auto" w:sz="4" w:space="0"/>
              <w:right w:val="single" w:color="auto" w:sz="4" w:space="0"/>
            </w:tcBorders>
            <w:shd w:val="clear" w:color="auto" w:fill="auto"/>
            <w:vAlign w:val="center"/>
          </w:tcPr>
          <w:p w14:paraId="3DB3304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执行率得分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r>
      <w:tr w14:paraId="0EB56B88">
        <w:tblPrEx>
          <w:tblCellMar>
            <w:top w:w="0" w:type="dxa"/>
            <w:left w:w="108" w:type="dxa"/>
            <w:bottom w:w="0" w:type="dxa"/>
            <w:right w:w="108" w:type="dxa"/>
          </w:tblCellMar>
        </w:tblPrEx>
        <w:trPr>
          <w:cantSplit/>
          <w:trHeight w:val="510" w:hRule="atLeast"/>
        </w:trPr>
        <w:tc>
          <w:tcPr>
            <w:tcW w:w="845" w:type="dxa"/>
            <w:vMerge w:val="continue"/>
            <w:tcBorders>
              <w:top w:val="nil"/>
              <w:left w:val="single" w:color="auto" w:sz="4" w:space="0"/>
              <w:bottom w:val="single" w:color="auto" w:sz="4" w:space="0"/>
              <w:right w:val="single" w:color="auto" w:sz="4" w:space="0"/>
            </w:tcBorders>
            <w:vAlign w:val="center"/>
          </w:tcPr>
          <w:p w14:paraId="68DE2B9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p>
        </w:tc>
        <w:tc>
          <w:tcPr>
            <w:tcW w:w="1132" w:type="dxa"/>
            <w:tcBorders>
              <w:top w:val="nil"/>
              <w:left w:val="nil"/>
              <w:bottom w:val="single" w:color="auto" w:sz="4" w:space="0"/>
              <w:right w:val="nil"/>
            </w:tcBorders>
            <w:shd w:val="clear" w:color="auto" w:fill="auto"/>
            <w:vAlign w:val="center"/>
          </w:tcPr>
          <w:p w14:paraId="65B42DD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年度总金额</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B22036A">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14:paraId="58835CC0">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14:paraId="29189DA0">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772" w:type="dxa"/>
            <w:tcBorders>
              <w:top w:val="nil"/>
              <w:left w:val="nil"/>
              <w:bottom w:val="single" w:color="auto" w:sz="4" w:space="0"/>
              <w:right w:val="single" w:color="auto" w:sz="4" w:space="0"/>
            </w:tcBorders>
            <w:shd w:val="clear" w:color="auto" w:fill="auto"/>
            <w:vAlign w:val="center"/>
          </w:tcPr>
          <w:p w14:paraId="54E0E81D">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100</w:t>
            </w:r>
          </w:p>
        </w:tc>
        <w:tc>
          <w:tcPr>
            <w:tcW w:w="786" w:type="dxa"/>
            <w:tcBorders>
              <w:top w:val="nil"/>
              <w:left w:val="nil"/>
              <w:bottom w:val="single" w:color="auto" w:sz="4" w:space="0"/>
              <w:right w:val="single" w:color="auto" w:sz="4" w:space="0"/>
            </w:tcBorders>
            <w:shd w:val="clear" w:color="auto" w:fill="auto"/>
            <w:vAlign w:val="center"/>
          </w:tcPr>
          <w:p w14:paraId="7ECD14D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c>
          <w:tcPr>
            <w:tcW w:w="917" w:type="dxa"/>
            <w:tcBorders>
              <w:top w:val="nil"/>
              <w:left w:val="nil"/>
              <w:bottom w:val="single" w:color="auto" w:sz="4" w:space="0"/>
              <w:right w:val="single" w:color="auto" w:sz="4" w:space="0"/>
            </w:tcBorders>
            <w:shd w:val="clear" w:color="auto" w:fill="auto"/>
            <w:vAlign w:val="center"/>
          </w:tcPr>
          <w:p w14:paraId="5711C10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r>
      <w:tr w14:paraId="68A3A56A">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6AB32AB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p>
        </w:tc>
        <w:tc>
          <w:tcPr>
            <w:tcW w:w="1132" w:type="dxa"/>
            <w:tcBorders>
              <w:top w:val="nil"/>
              <w:left w:val="nil"/>
              <w:bottom w:val="single" w:color="auto" w:sz="4" w:space="0"/>
              <w:right w:val="nil"/>
            </w:tcBorders>
            <w:shd w:val="clear" w:color="auto" w:fill="auto"/>
            <w:vAlign w:val="center"/>
          </w:tcPr>
          <w:p w14:paraId="49E77D9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其中：区级支出</w:t>
            </w:r>
          </w:p>
        </w:tc>
        <w:tc>
          <w:tcPr>
            <w:tcW w:w="143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AC2D75D">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190</w:t>
            </w:r>
            <w:r>
              <w:rPr>
                <w:rFonts w:hint="eastAsia" w:ascii="方正仿宋_GBK" w:hAnsi="宋体" w:eastAsia="方正仿宋_GBK" w:cs="宋体"/>
                <w:color w:val="auto"/>
                <w:kern w:val="0"/>
                <w:sz w:val="18"/>
                <w:szCs w:val="18"/>
              </w:rPr>
              <w:t>　</w:t>
            </w:r>
          </w:p>
        </w:tc>
        <w:tc>
          <w:tcPr>
            <w:tcW w:w="1806" w:type="dxa"/>
            <w:gridSpan w:val="2"/>
            <w:tcBorders>
              <w:top w:val="single" w:color="auto" w:sz="4" w:space="0"/>
              <w:left w:val="nil"/>
              <w:bottom w:val="single" w:color="auto" w:sz="4" w:space="0"/>
              <w:right w:val="single" w:color="auto" w:sz="4" w:space="0"/>
            </w:tcBorders>
            <w:shd w:val="clear" w:color="auto" w:fill="auto"/>
            <w:vAlign w:val="center"/>
          </w:tcPr>
          <w:p w14:paraId="6187922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190</w:t>
            </w:r>
            <w:r>
              <w:rPr>
                <w:rFonts w:hint="eastAsia" w:ascii="方正仿宋_GBK" w:hAnsi="宋体" w:eastAsia="方正仿宋_GBK" w:cs="宋体"/>
                <w:color w:val="auto"/>
                <w:kern w:val="0"/>
                <w:sz w:val="18"/>
                <w:szCs w:val="18"/>
              </w:rPr>
              <w:t>　</w:t>
            </w:r>
          </w:p>
        </w:tc>
        <w:tc>
          <w:tcPr>
            <w:tcW w:w="1471" w:type="dxa"/>
            <w:gridSpan w:val="2"/>
            <w:tcBorders>
              <w:top w:val="single" w:color="auto" w:sz="4" w:space="0"/>
              <w:left w:val="nil"/>
              <w:bottom w:val="single" w:color="auto" w:sz="4" w:space="0"/>
              <w:right w:val="single" w:color="auto" w:sz="4" w:space="0"/>
            </w:tcBorders>
            <w:shd w:val="clear" w:color="auto" w:fill="auto"/>
            <w:vAlign w:val="center"/>
          </w:tcPr>
          <w:p w14:paraId="4CDC417D">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190</w:t>
            </w:r>
          </w:p>
        </w:tc>
        <w:tc>
          <w:tcPr>
            <w:tcW w:w="772" w:type="dxa"/>
            <w:tcBorders>
              <w:top w:val="nil"/>
              <w:left w:val="nil"/>
              <w:bottom w:val="single" w:color="auto" w:sz="4" w:space="0"/>
              <w:right w:val="single" w:color="auto" w:sz="4" w:space="0"/>
            </w:tcBorders>
            <w:shd w:val="clear" w:color="auto" w:fill="auto"/>
            <w:vAlign w:val="center"/>
          </w:tcPr>
          <w:p w14:paraId="7926F92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86" w:type="dxa"/>
            <w:tcBorders>
              <w:top w:val="nil"/>
              <w:left w:val="nil"/>
              <w:bottom w:val="single" w:color="auto" w:sz="4" w:space="0"/>
              <w:right w:val="single" w:color="auto" w:sz="4" w:space="0"/>
            </w:tcBorders>
            <w:shd w:val="clear" w:color="auto" w:fill="auto"/>
            <w:vAlign w:val="center"/>
          </w:tcPr>
          <w:p w14:paraId="68C917DE">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eastAsia="方正仿宋_GBK" w:cs="宋体"/>
                <w:color w:val="auto"/>
                <w:kern w:val="0"/>
                <w:sz w:val="18"/>
                <w:szCs w:val="18"/>
                <w:lang w:val="en-US" w:eastAsia="zh-CN"/>
              </w:rPr>
              <w:t>10</w:t>
            </w:r>
          </w:p>
        </w:tc>
        <w:tc>
          <w:tcPr>
            <w:tcW w:w="917" w:type="dxa"/>
            <w:tcBorders>
              <w:top w:val="nil"/>
              <w:left w:val="nil"/>
              <w:bottom w:val="single" w:color="auto" w:sz="4" w:space="0"/>
              <w:right w:val="single" w:color="auto" w:sz="4" w:space="0"/>
            </w:tcBorders>
            <w:shd w:val="clear" w:color="auto" w:fill="auto"/>
            <w:vAlign w:val="center"/>
          </w:tcPr>
          <w:p w14:paraId="44FA080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r>
      <w:tr w14:paraId="57DADDB5">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vAlign w:val="center"/>
          </w:tcPr>
          <w:p w14:paraId="2DE83D77">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当年绩效目标</w:t>
            </w:r>
          </w:p>
        </w:tc>
        <w:tc>
          <w:tcPr>
            <w:tcW w:w="2563" w:type="dxa"/>
            <w:gridSpan w:val="3"/>
            <w:tcBorders>
              <w:top w:val="single" w:color="auto" w:sz="4" w:space="0"/>
              <w:left w:val="nil"/>
              <w:bottom w:val="single" w:color="auto" w:sz="4" w:space="0"/>
              <w:right w:val="single" w:color="000000" w:sz="4" w:space="0"/>
            </w:tcBorders>
            <w:shd w:val="clear" w:color="auto" w:fill="auto"/>
            <w:vAlign w:val="center"/>
          </w:tcPr>
          <w:p w14:paraId="4185A4C0">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年初绩效目标</w:t>
            </w:r>
          </w:p>
        </w:tc>
        <w:tc>
          <w:tcPr>
            <w:tcW w:w="3277" w:type="dxa"/>
            <w:gridSpan w:val="4"/>
            <w:tcBorders>
              <w:top w:val="single" w:color="auto" w:sz="4" w:space="0"/>
              <w:left w:val="nil"/>
              <w:bottom w:val="single" w:color="auto" w:sz="4" w:space="0"/>
              <w:right w:val="single" w:color="000000" w:sz="4" w:space="0"/>
            </w:tcBorders>
            <w:shd w:val="clear" w:color="auto" w:fill="auto"/>
            <w:vAlign w:val="center"/>
          </w:tcPr>
          <w:p w14:paraId="4BBD482D">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全年（调整）绩效目标</w:t>
            </w:r>
          </w:p>
        </w:tc>
        <w:tc>
          <w:tcPr>
            <w:tcW w:w="2475" w:type="dxa"/>
            <w:gridSpan w:val="3"/>
            <w:tcBorders>
              <w:top w:val="single" w:color="auto" w:sz="4" w:space="0"/>
              <w:left w:val="nil"/>
              <w:bottom w:val="single" w:color="auto" w:sz="4" w:space="0"/>
              <w:right w:val="single" w:color="000000" w:sz="4" w:space="0"/>
            </w:tcBorders>
            <w:shd w:val="clear" w:color="auto" w:fill="auto"/>
            <w:vAlign w:val="center"/>
          </w:tcPr>
          <w:p w14:paraId="395A060C">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全年目标实际完成情况</w:t>
            </w:r>
          </w:p>
        </w:tc>
      </w:tr>
      <w:tr w14:paraId="6F2D3AC1">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7A108BB1">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2563" w:type="dxa"/>
            <w:gridSpan w:val="3"/>
            <w:tcBorders>
              <w:top w:val="single" w:color="auto" w:sz="4" w:space="0"/>
              <w:left w:val="nil"/>
              <w:bottom w:val="single" w:color="auto" w:sz="4" w:space="0"/>
              <w:right w:val="single" w:color="000000" w:sz="4" w:space="0"/>
            </w:tcBorders>
            <w:shd w:val="clear" w:color="auto" w:fill="auto"/>
            <w:vAlign w:val="center"/>
          </w:tcPr>
          <w:p w14:paraId="236BAEB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严格执行公路治超工作要求，确保辖区公路治超工作正常运行。</w:t>
            </w:r>
          </w:p>
        </w:tc>
        <w:tc>
          <w:tcPr>
            <w:tcW w:w="3277" w:type="dxa"/>
            <w:gridSpan w:val="4"/>
            <w:tcBorders>
              <w:top w:val="single" w:color="auto" w:sz="4" w:space="0"/>
              <w:left w:val="nil"/>
              <w:bottom w:val="single" w:color="auto" w:sz="4" w:space="0"/>
              <w:right w:val="single" w:color="000000" w:sz="4" w:space="0"/>
            </w:tcBorders>
            <w:shd w:val="clear" w:color="auto" w:fill="auto"/>
            <w:vAlign w:val="center"/>
          </w:tcPr>
          <w:p w14:paraId="24B7706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撤销治超站点，开展24小时流动治超，对超限车辆冒装撒漏进行处罚。　</w:t>
            </w:r>
          </w:p>
        </w:tc>
        <w:tc>
          <w:tcPr>
            <w:tcW w:w="2475" w:type="dxa"/>
            <w:gridSpan w:val="3"/>
            <w:tcBorders>
              <w:top w:val="single" w:color="auto" w:sz="4" w:space="0"/>
              <w:left w:val="nil"/>
              <w:bottom w:val="single" w:color="auto" w:sz="4" w:space="0"/>
              <w:right w:val="single" w:color="000000" w:sz="4" w:space="0"/>
            </w:tcBorders>
            <w:shd w:val="clear" w:color="auto" w:fill="auto"/>
            <w:vAlign w:val="center"/>
          </w:tcPr>
          <w:p w14:paraId="7E088622">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开展24小时流动治超，对超限车辆冒装撒漏进行处罚，确保了辖区公路治超工作正常运行。</w:t>
            </w:r>
          </w:p>
        </w:tc>
      </w:tr>
      <w:tr w14:paraId="78A49F0A">
        <w:tblPrEx>
          <w:tblCellMar>
            <w:top w:w="0" w:type="dxa"/>
            <w:left w:w="108" w:type="dxa"/>
            <w:bottom w:w="0" w:type="dxa"/>
            <w:right w:w="108" w:type="dxa"/>
          </w:tblCellMar>
        </w:tblPrEx>
        <w:trPr>
          <w:cantSplit/>
          <w:trHeight w:val="23" w:hRule="atLeast"/>
        </w:trPr>
        <w:tc>
          <w:tcPr>
            <w:tcW w:w="84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6F544372">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绩效指标</w:t>
            </w:r>
          </w:p>
        </w:tc>
        <w:tc>
          <w:tcPr>
            <w:tcW w:w="1132" w:type="dxa"/>
            <w:tcBorders>
              <w:top w:val="nil"/>
              <w:left w:val="nil"/>
              <w:bottom w:val="single" w:color="auto" w:sz="4" w:space="0"/>
              <w:right w:val="nil"/>
            </w:tcBorders>
            <w:shd w:val="clear" w:color="auto" w:fill="auto"/>
            <w:vAlign w:val="center"/>
          </w:tcPr>
          <w:p w14:paraId="0CDABDF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指标名称</w:t>
            </w:r>
          </w:p>
        </w:tc>
        <w:tc>
          <w:tcPr>
            <w:tcW w:w="645" w:type="dxa"/>
            <w:tcBorders>
              <w:top w:val="nil"/>
              <w:left w:val="single" w:color="auto" w:sz="4" w:space="0"/>
              <w:bottom w:val="single" w:color="auto" w:sz="4" w:space="0"/>
              <w:right w:val="single" w:color="auto" w:sz="4" w:space="0"/>
            </w:tcBorders>
            <w:shd w:val="clear" w:color="auto" w:fill="auto"/>
            <w:vAlign w:val="center"/>
          </w:tcPr>
          <w:p w14:paraId="4A18963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计量</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单位</w:t>
            </w:r>
          </w:p>
        </w:tc>
        <w:tc>
          <w:tcPr>
            <w:tcW w:w="786" w:type="dxa"/>
            <w:tcBorders>
              <w:top w:val="nil"/>
              <w:left w:val="nil"/>
              <w:bottom w:val="single" w:color="auto" w:sz="4" w:space="0"/>
              <w:right w:val="single" w:color="auto" w:sz="4" w:space="0"/>
            </w:tcBorders>
            <w:shd w:val="clear" w:color="auto" w:fill="auto"/>
            <w:vAlign w:val="center"/>
          </w:tcPr>
          <w:p w14:paraId="30D783D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性质</w:t>
            </w:r>
          </w:p>
        </w:tc>
        <w:tc>
          <w:tcPr>
            <w:tcW w:w="597" w:type="dxa"/>
            <w:tcBorders>
              <w:top w:val="nil"/>
              <w:left w:val="nil"/>
              <w:bottom w:val="single" w:color="auto" w:sz="4" w:space="0"/>
              <w:right w:val="single" w:color="auto" w:sz="4" w:space="0"/>
            </w:tcBorders>
            <w:shd w:val="clear" w:color="auto" w:fill="auto"/>
            <w:vAlign w:val="center"/>
          </w:tcPr>
          <w:p w14:paraId="0125A822">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年初</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指标值</w:t>
            </w:r>
          </w:p>
        </w:tc>
        <w:tc>
          <w:tcPr>
            <w:tcW w:w="1209" w:type="dxa"/>
            <w:tcBorders>
              <w:top w:val="nil"/>
              <w:left w:val="nil"/>
              <w:bottom w:val="single" w:color="auto" w:sz="4" w:space="0"/>
              <w:right w:val="single" w:color="auto" w:sz="4" w:space="0"/>
            </w:tcBorders>
            <w:shd w:val="clear" w:color="auto" w:fill="auto"/>
            <w:vAlign w:val="center"/>
          </w:tcPr>
          <w:p w14:paraId="26B168C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调整</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指标值</w:t>
            </w:r>
          </w:p>
        </w:tc>
        <w:tc>
          <w:tcPr>
            <w:tcW w:w="772" w:type="dxa"/>
            <w:tcBorders>
              <w:top w:val="nil"/>
              <w:left w:val="nil"/>
              <w:bottom w:val="single" w:color="auto" w:sz="4" w:space="0"/>
              <w:right w:val="single" w:color="auto" w:sz="4" w:space="0"/>
            </w:tcBorders>
            <w:shd w:val="clear" w:color="auto" w:fill="auto"/>
            <w:vAlign w:val="center"/>
          </w:tcPr>
          <w:p w14:paraId="3B80253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全年</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完成值</w:t>
            </w:r>
          </w:p>
        </w:tc>
        <w:tc>
          <w:tcPr>
            <w:tcW w:w="699" w:type="dxa"/>
            <w:tcBorders>
              <w:top w:val="nil"/>
              <w:left w:val="nil"/>
              <w:bottom w:val="single" w:color="auto" w:sz="4" w:space="0"/>
              <w:right w:val="single" w:color="auto" w:sz="4" w:space="0"/>
            </w:tcBorders>
            <w:shd w:val="clear" w:color="auto" w:fill="auto"/>
            <w:vAlign w:val="center"/>
          </w:tcPr>
          <w:p w14:paraId="21998B2A">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得分系数</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w:t>
            </w:r>
          </w:p>
        </w:tc>
        <w:tc>
          <w:tcPr>
            <w:tcW w:w="772" w:type="dxa"/>
            <w:tcBorders>
              <w:top w:val="nil"/>
              <w:left w:val="nil"/>
              <w:bottom w:val="single" w:color="auto" w:sz="4" w:space="0"/>
              <w:right w:val="single" w:color="auto" w:sz="4" w:space="0"/>
            </w:tcBorders>
            <w:shd w:val="clear" w:color="auto" w:fill="auto"/>
            <w:vAlign w:val="center"/>
          </w:tcPr>
          <w:p w14:paraId="6B749C50">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指标权重</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786" w:type="dxa"/>
            <w:tcBorders>
              <w:top w:val="nil"/>
              <w:left w:val="nil"/>
              <w:bottom w:val="single" w:color="auto" w:sz="4" w:space="0"/>
              <w:right w:val="single" w:color="auto" w:sz="4" w:space="0"/>
            </w:tcBorders>
            <w:shd w:val="clear" w:color="auto" w:fill="auto"/>
            <w:vAlign w:val="center"/>
          </w:tcPr>
          <w:p w14:paraId="26B6D53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指标得分</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（分）</w:t>
            </w:r>
          </w:p>
        </w:tc>
        <w:tc>
          <w:tcPr>
            <w:tcW w:w="917" w:type="dxa"/>
            <w:tcBorders>
              <w:top w:val="nil"/>
              <w:left w:val="nil"/>
              <w:bottom w:val="single" w:color="auto" w:sz="4" w:space="0"/>
              <w:right w:val="single" w:color="auto" w:sz="4" w:space="0"/>
            </w:tcBorders>
            <w:shd w:val="clear" w:color="auto" w:fill="auto"/>
            <w:vAlign w:val="center"/>
          </w:tcPr>
          <w:p w14:paraId="32FCC82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是否核心</w:t>
            </w:r>
            <w:r>
              <w:rPr>
                <w:rFonts w:hint="eastAsia" w:ascii="方正仿宋_GBK" w:hAnsi="宋体" w:eastAsia="方正仿宋_GBK" w:cs="宋体"/>
                <w:color w:val="auto"/>
                <w:kern w:val="0"/>
                <w:sz w:val="18"/>
                <w:szCs w:val="18"/>
              </w:rPr>
              <w:br w:type="textWrapping"/>
            </w:r>
            <w:r>
              <w:rPr>
                <w:rFonts w:hint="eastAsia" w:ascii="方正仿宋_GBK" w:hAnsi="宋体" w:eastAsia="方正仿宋_GBK" w:cs="宋体"/>
                <w:color w:val="auto"/>
                <w:kern w:val="0"/>
                <w:sz w:val="18"/>
                <w:szCs w:val="18"/>
              </w:rPr>
              <w:t>指标</w:t>
            </w:r>
          </w:p>
        </w:tc>
      </w:tr>
      <w:tr w14:paraId="67048F4F">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4DF30E54">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278A43F7">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治超站点</w:t>
            </w:r>
          </w:p>
        </w:tc>
        <w:tc>
          <w:tcPr>
            <w:tcW w:w="645" w:type="dxa"/>
            <w:tcBorders>
              <w:top w:val="nil"/>
              <w:left w:val="single" w:color="auto" w:sz="4" w:space="0"/>
              <w:bottom w:val="single" w:color="auto" w:sz="4" w:space="0"/>
              <w:right w:val="nil"/>
            </w:tcBorders>
            <w:shd w:val="clear" w:color="auto" w:fill="auto"/>
            <w:vAlign w:val="center"/>
          </w:tcPr>
          <w:p w14:paraId="6E2576E0">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个</w:t>
            </w:r>
          </w:p>
        </w:tc>
        <w:tc>
          <w:tcPr>
            <w:tcW w:w="786" w:type="dxa"/>
            <w:tcBorders>
              <w:top w:val="nil"/>
              <w:left w:val="single" w:color="auto" w:sz="4" w:space="0"/>
              <w:bottom w:val="single" w:color="auto" w:sz="4" w:space="0"/>
              <w:right w:val="nil"/>
            </w:tcBorders>
            <w:shd w:val="clear" w:color="auto" w:fill="auto"/>
            <w:vAlign w:val="center"/>
          </w:tcPr>
          <w:p w14:paraId="1BA661C7">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14:paraId="22948DF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2</w:t>
            </w:r>
          </w:p>
        </w:tc>
        <w:tc>
          <w:tcPr>
            <w:tcW w:w="1209" w:type="dxa"/>
            <w:tcBorders>
              <w:top w:val="nil"/>
              <w:left w:val="single" w:color="auto" w:sz="4" w:space="0"/>
              <w:bottom w:val="single" w:color="auto" w:sz="4" w:space="0"/>
              <w:right w:val="nil"/>
            </w:tcBorders>
            <w:shd w:val="clear" w:color="auto" w:fill="auto"/>
            <w:vAlign w:val="center"/>
          </w:tcPr>
          <w:p w14:paraId="7E3D0620">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2020年治理超限超载车辆冒装撒漏案件数&gt;1200件</w:t>
            </w:r>
          </w:p>
        </w:tc>
        <w:tc>
          <w:tcPr>
            <w:tcW w:w="772" w:type="dxa"/>
            <w:tcBorders>
              <w:top w:val="nil"/>
              <w:left w:val="single" w:color="auto" w:sz="4" w:space="0"/>
              <w:bottom w:val="single" w:color="auto" w:sz="4" w:space="0"/>
              <w:right w:val="nil"/>
            </w:tcBorders>
            <w:shd w:val="clear" w:color="auto" w:fill="auto"/>
            <w:vAlign w:val="center"/>
          </w:tcPr>
          <w:p w14:paraId="1F249512">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1401</w:t>
            </w:r>
          </w:p>
        </w:tc>
        <w:tc>
          <w:tcPr>
            <w:tcW w:w="699" w:type="dxa"/>
            <w:tcBorders>
              <w:top w:val="nil"/>
              <w:left w:val="single" w:color="auto" w:sz="4" w:space="0"/>
              <w:bottom w:val="single" w:color="auto" w:sz="4" w:space="0"/>
              <w:right w:val="nil"/>
            </w:tcBorders>
            <w:shd w:val="clear" w:color="auto" w:fill="auto"/>
            <w:vAlign w:val="center"/>
          </w:tcPr>
          <w:p w14:paraId="6AEACA0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5FF50B28">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60A9CE09">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lang w:val="en-US" w:eastAsia="zh-CN"/>
              </w:rPr>
              <w:t>20</w:t>
            </w:r>
          </w:p>
        </w:tc>
        <w:tc>
          <w:tcPr>
            <w:tcW w:w="917" w:type="dxa"/>
            <w:tcBorders>
              <w:top w:val="nil"/>
              <w:left w:val="single" w:color="auto" w:sz="4" w:space="0"/>
              <w:bottom w:val="single" w:color="auto" w:sz="4" w:space="0"/>
              <w:right w:val="single" w:color="auto" w:sz="4" w:space="0"/>
            </w:tcBorders>
            <w:shd w:val="clear" w:color="auto" w:fill="auto"/>
            <w:vAlign w:val="center"/>
          </w:tcPr>
          <w:p w14:paraId="5EB8324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47B6429A">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0AE479F2">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62554EE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治超人员</w:t>
            </w:r>
          </w:p>
        </w:tc>
        <w:tc>
          <w:tcPr>
            <w:tcW w:w="645" w:type="dxa"/>
            <w:tcBorders>
              <w:top w:val="nil"/>
              <w:left w:val="single" w:color="auto" w:sz="4" w:space="0"/>
              <w:bottom w:val="single" w:color="auto" w:sz="4" w:space="0"/>
              <w:right w:val="nil"/>
            </w:tcBorders>
            <w:shd w:val="clear" w:color="auto" w:fill="auto"/>
            <w:vAlign w:val="center"/>
          </w:tcPr>
          <w:p w14:paraId="50FA74D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人</w:t>
            </w:r>
          </w:p>
        </w:tc>
        <w:tc>
          <w:tcPr>
            <w:tcW w:w="786" w:type="dxa"/>
            <w:tcBorders>
              <w:top w:val="nil"/>
              <w:left w:val="single" w:color="auto" w:sz="4" w:space="0"/>
              <w:bottom w:val="single" w:color="auto" w:sz="4" w:space="0"/>
              <w:right w:val="nil"/>
            </w:tcBorders>
            <w:shd w:val="clear" w:color="auto" w:fill="auto"/>
            <w:vAlign w:val="center"/>
          </w:tcPr>
          <w:p w14:paraId="790B6A1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14:paraId="16E4D95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30</w:t>
            </w:r>
          </w:p>
        </w:tc>
        <w:tc>
          <w:tcPr>
            <w:tcW w:w="1209" w:type="dxa"/>
            <w:tcBorders>
              <w:top w:val="nil"/>
              <w:left w:val="single" w:color="auto" w:sz="4" w:space="0"/>
              <w:bottom w:val="single" w:color="auto" w:sz="4" w:space="0"/>
              <w:right w:val="nil"/>
            </w:tcBorders>
            <w:shd w:val="clear" w:color="auto" w:fill="auto"/>
            <w:vAlign w:val="center"/>
          </w:tcPr>
          <w:p w14:paraId="74E4CD44">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504DF0A1">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30</w:t>
            </w:r>
          </w:p>
        </w:tc>
        <w:tc>
          <w:tcPr>
            <w:tcW w:w="699" w:type="dxa"/>
            <w:tcBorders>
              <w:top w:val="nil"/>
              <w:left w:val="single" w:color="auto" w:sz="4" w:space="0"/>
              <w:bottom w:val="single" w:color="auto" w:sz="4" w:space="0"/>
              <w:right w:val="nil"/>
            </w:tcBorders>
            <w:shd w:val="clear" w:color="auto" w:fill="auto"/>
            <w:vAlign w:val="center"/>
          </w:tcPr>
          <w:p w14:paraId="7CBDDB54">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100</w:t>
            </w:r>
          </w:p>
        </w:tc>
        <w:tc>
          <w:tcPr>
            <w:tcW w:w="772" w:type="dxa"/>
            <w:tcBorders>
              <w:top w:val="nil"/>
              <w:left w:val="single" w:color="auto" w:sz="4" w:space="0"/>
              <w:bottom w:val="single" w:color="auto" w:sz="4" w:space="0"/>
              <w:right w:val="nil"/>
            </w:tcBorders>
            <w:shd w:val="clear" w:color="auto" w:fill="auto"/>
            <w:vAlign w:val="center"/>
          </w:tcPr>
          <w:p w14:paraId="577D3A74">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20</w:t>
            </w:r>
          </w:p>
        </w:tc>
        <w:tc>
          <w:tcPr>
            <w:tcW w:w="786" w:type="dxa"/>
            <w:tcBorders>
              <w:top w:val="nil"/>
              <w:left w:val="single" w:color="auto" w:sz="4" w:space="0"/>
              <w:bottom w:val="single" w:color="auto" w:sz="4" w:space="0"/>
              <w:right w:val="nil"/>
            </w:tcBorders>
            <w:shd w:val="clear" w:color="auto" w:fill="auto"/>
            <w:vAlign w:val="center"/>
          </w:tcPr>
          <w:p w14:paraId="39D117B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14:paraId="332C4AEF">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5AF6F6AA">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63E75CD9">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3C86D89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eastAsia="zh-CN"/>
              </w:rPr>
              <w:t>治超工作时间</w:t>
            </w:r>
          </w:p>
        </w:tc>
        <w:tc>
          <w:tcPr>
            <w:tcW w:w="645" w:type="dxa"/>
            <w:tcBorders>
              <w:top w:val="nil"/>
              <w:left w:val="single" w:color="auto" w:sz="4" w:space="0"/>
              <w:bottom w:val="single" w:color="auto" w:sz="4" w:space="0"/>
              <w:right w:val="nil"/>
            </w:tcBorders>
            <w:shd w:val="clear" w:color="auto" w:fill="auto"/>
            <w:vAlign w:val="center"/>
          </w:tcPr>
          <w:p w14:paraId="3C09AB9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小时</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0A0FFDF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w:t>
            </w:r>
          </w:p>
        </w:tc>
        <w:tc>
          <w:tcPr>
            <w:tcW w:w="597" w:type="dxa"/>
            <w:tcBorders>
              <w:top w:val="nil"/>
              <w:left w:val="single" w:color="auto" w:sz="4" w:space="0"/>
              <w:bottom w:val="single" w:color="auto" w:sz="4" w:space="0"/>
              <w:right w:val="nil"/>
            </w:tcBorders>
            <w:shd w:val="clear" w:color="auto" w:fill="auto"/>
            <w:vAlign w:val="center"/>
          </w:tcPr>
          <w:p w14:paraId="492270F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24</w:t>
            </w:r>
          </w:p>
        </w:tc>
        <w:tc>
          <w:tcPr>
            <w:tcW w:w="1209" w:type="dxa"/>
            <w:tcBorders>
              <w:top w:val="nil"/>
              <w:left w:val="single" w:color="auto" w:sz="4" w:space="0"/>
              <w:bottom w:val="single" w:color="auto" w:sz="4" w:space="0"/>
              <w:right w:val="nil"/>
            </w:tcBorders>
            <w:shd w:val="clear" w:color="auto" w:fill="auto"/>
            <w:vAlign w:val="center"/>
          </w:tcPr>
          <w:p w14:paraId="2A2168D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18212708">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24</w:t>
            </w:r>
          </w:p>
        </w:tc>
        <w:tc>
          <w:tcPr>
            <w:tcW w:w="699" w:type="dxa"/>
            <w:tcBorders>
              <w:top w:val="nil"/>
              <w:left w:val="single" w:color="auto" w:sz="4" w:space="0"/>
              <w:bottom w:val="single" w:color="auto" w:sz="4" w:space="0"/>
              <w:right w:val="nil"/>
            </w:tcBorders>
            <w:shd w:val="clear" w:color="auto" w:fill="auto"/>
            <w:vAlign w:val="center"/>
          </w:tcPr>
          <w:p w14:paraId="24CEC244">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6F50E6F4">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hAnsi="宋体" w:eastAsia="方正仿宋_GBK" w:cs="宋体"/>
                <w:color w:val="auto"/>
                <w:kern w:val="0"/>
                <w:sz w:val="18"/>
                <w:szCs w:val="18"/>
                <w:lang w:val="en-US" w:eastAsia="zh-CN"/>
              </w:rPr>
              <w:t>15</w:t>
            </w:r>
          </w:p>
        </w:tc>
        <w:tc>
          <w:tcPr>
            <w:tcW w:w="786" w:type="dxa"/>
            <w:tcBorders>
              <w:top w:val="nil"/>
              <w:left w:val="single" w:color="auto" w:sz="4" w:space="0"/>
              <w:bottom w:val="single" w:color="auto" w:sz="4" w:space="0"/>
              <w:right w:val="nil"/>
            </w:tcBorders>
            <w:shd w:val="clear" w:color="auto" w:fill="auto"/>
            <w:vAlign w:val="center"/>
          </w:tcPr>
          <w:p w14:paraId="1A2C1F0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lang w:val="en-US" w:eastAsia="zh-CN"/>
              </w:rPr>
              <w:t>15</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14:paraId="5330C0D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4907B37D">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28EEA0BA">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4B24FA42">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eastAsia="zh-CN"/>
              </w:rPr>
              <w:t>路政处罚</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14:paraId="5F51C04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lang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eastAsia="zh-CN"/>
              </w:rPr>
              <w:t>件</w:t>
            </w:r>
          </w:p>
        </w:tc>
        <w:tc>
          <w:tcPr>
            <w:tcW w:w="786" w:type="dxa"/>
            <w:tcBorders>
              <w:top w:val="nil"/>
              <w:left w:val="single" w:color="auto" w:sz="4" w:space="0"/>
              <w:bottom w:val="single" w:color="auto" w:sz="4" w:space="0"/>
              <w:right w:val="nil"/>
            </w:tcBorders>
            <w:shd w:val="clear" w:color="auto" w:fill="auto"/>
            <w:vAlign w:val="center"/>
          </w:tcPr>
          <w:p w14:paraId="3B353117">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&gt;</w:t>
            </w:r>
          </w:p>
        </w:tc>
        <w:tc>
          <w:tcPr>
            <w:tcW w:w="597" w:type="dxa"/>
            <w:tcBorders>
              <w:top w:val="nil"/>
              <w:left w:val="single" w:color="auto" w:sz="4" w:space="0"/>
              <w:bottom w:val="single" w:color="auto" w:sz="4" w:space="0"/>
              <w:right w:val="nil"/>
            </w:tcBorders>
            <w:shd w:val="clear" w:color="auto" w:fill="auto"/>
            <w:vAlign w:val="center"/>
          </w:tcPr>
          <w:p w14:paraId="4CC96126">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10　</w:t>
            </w:r>
          </w:p>
        </w:tc>
        <w:tc>
          <w:tcPr>
            <w:tcW w:w="1209" w:type="dxa"/>
            <w:tcBorders>
              <w:top w:val="nil"/>
              <w:left w:val="single" w:color="auto" w:sz="4" w:space="0"/>
              <w:bottom w:val="single" w:color="auto" w:sz="4" w:space="0"/>
              <w:right w:val="nil"/>
            </w:tcBorders>
            <w:shd w:val="clear" w:color="auto" w:fill="auto"/>
            <w:vAlign w:val="center"/>
          </w:tcPr>
          <w:p w14:paraId="55BCDB6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7C69D5E5">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rPr>
            </w:pPr>
            <w:r>
              <w:rPr>
                <w:rFonts w:hint="eastAsia" w:ascii="方正仿宋_GBK" w:eastAsia="方正仿宋_GBK" w:cs="宋体"/>
                <w:color w:val="auto"/>
                <w:kern w:val="0"/>
                <w:sz w:val="18"/>
                <w:szCs w:val="18"/>
                <w:lang w:val="en-US" w:eastAsia="zh-CN"/>
              </w:rPr>
              <w:t>54</w:t>
            </w:r>
          </w:p>
        </w:tc>
        <w:tc>
          <w:tcPr>
            <w:tcW w:w="699" w:type="dxa"/>
            <w:tcBorders>
              <w:top w:val="nil"/>
              <w:left w:val="single" w:color="auto" w:sz="4" w:space="0"/>
              <w:bottom w:val="single" w:color="auto" w:sz="4" w:space="0"/>
              <w:right w:val="nil"/>
            </w:tcBorders>
            <w:shd w:val="clear" w:color="auto" w:fill="auto"/>
            <w:vAlign w:val="center"/>
          </w:tcPr>
          <w:p w14:paraId="0BC50DAA">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93</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354B6A93">
            <w:pPr>
              <w:keepNext w:val="0"/>
              <w:keepLines w:val="0"/>
              <w:pageBreakBefore w:val="0"/>
              <w:widowControl w:val="0"/>
              <w:kinsoku/>
              <w:wordWrap/>
              <w:overflowPunct/>
              <w:topLinePunct w:val="0"/>
              <w:autoSpaceDN w:val="0"/>
              <w:bidi w:val="0"/>
              <w:adjustRightInd/>
              <w:snapToGrid/>
              <w:jc w:val="center"/>
              <w:textAlignment w:val="auto"/>
              <w:rPr>
                <w:rFonts w:hint="default" w:ascii="方正仿宋_GBK" w:hAnsi="宋体" w:eastAsia="方正仿宋_GBK" w:cs="宋体"/>
                <w:color w:val="auto"/>
                <w:kern w:val="0"/>
                <w:sz w:val="18"/>
                <w:szCs w:val="18"/>
                <w:lang w:val="en-US" w:eastAsia="zh-CN"/>
              </w:rPr>
            </w:pPr>
            <w:r>
              <w:rPr>
                <w:rFonts w:hint="eastAsia" w:ascii="方正仿宋_GBK" w:hAnsi="宋体" w:eastAsia="方正仿宋_GBK" w:cs="宋体"/>
                <w:color w:val="auto"/>
                <w:kern w:val="0"/>
                <w:sz w:val="18"/>
                <w:szCs w:val="18"/>
              </w:rPr>
              <w:t>　</w:t>
            </w:r>
            <w:r>
              <w:rPr>
                <w:rFonts w:hint="eastAsia" w:ascii="方正仿宋_GBK" w:eastAsia="方正仿宋_GBK" w:cs="宋体"/>
                <w:color w:val="auto"/>
                <w:kern w:val="0"/>
                <w:sz w:val="18"/>
                <w:szCs w:val="18"/>
                <w:lang w:val="en-US" w:eastAsia="zh-CN"/>
              </w:rPr>
              <w:t>15</w:t>
            </w:r>
          </w:p>
        </w:tc>
        <w:tc>
          <w:tcPr>
            <w:tcW w:w="786" w:type="dxa"/>
            <w:tcBorders>
              <w:top w:val="nil"/>
              <w:left w:val="single" w:color="auto" w:sz="4" w:space="0"/>
              <w:bottom w:val="single" w:color="auto" w:sz="4" w:space="0"/>
              <w:right w:val="nil"/>
            </w:tcBorders>
            <w:shd w:val="clear" w:color="auto" w:fill="auto"/>
            <w:vAlign w:val="center"/>
          </w:tcPr>
          <w:p w14:paraId="4589695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eastAsia="方正仿宋_GBK" w:cs="宋体"/>
                <w:color w:val="auto"/>
                <w:kern w:val="0"/>
                <w:sz w:val="18"/>
                <w:szCs w:val="18"/>
                <w:lang w:val="en-US" w:eastAsia="zh-CN"/>
              </w:rPr>
              <w:t>14</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14:paraId="4601E59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4BBC2015">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4BC048A4">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4AC0A3A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服务对象满意度</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14:paraId="69DBDE4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百分数</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3C04F64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满意度指标</w:t>
            </w:r>
            <w:r>
              <w:rPr>
                <w:rFonts w:hint="eastAsia" w:ascii="方正仿宋_GBK" w:hAnsi="宋体" w:eastAsia="方正仿宋_GBK" w:cs="宋体"/>
                <w:color w:val="auto"/>
                <w:kern w:val="0"/>
                <w:sz w:val="18"/>
                <w:szCs w:val="18"/>
              </w:rPr>
              <w:t>　</w:t>
            </w:r>
          </w:p>
        </w:tc>
        <w:tc>
          <w:tcPr>
            <w:tcW w:w="597" w:type="dxa"/>
            <w:tcBorders>
              <w:top w:val="nil"/>
              <w:left w:val="single" w:color="auto" w:sz="4" w:space="0"/>
              <w:bottom w:val="single" w:color="auto" w:sz="4" w:space="0"/>
              <w:right w:val="nil"/>
            </w:tcBorders>
            <w:shd w:val="clear" w:color="auto" w:fill="auto"/>
            <w:vAlign w:val="center"/>
          </w:tcPr>
          <w:p w14:paraId="1D630E2A">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1209" w:type="dxa"/>
            <w:tcBorders>
              <w:top w:val="nil"/>
              <w:left w:val="single" w:color="auto" w:sz="4" w:space="0"/>
              <w:bottom w:val="single" w:color="auto" w:sz="4" w:space="0"/>
              <w:right w:val="nil"/>
            </w:tcBorders>
            <w:shd w:val="clear" w:color="auto" w:fill="auto"/>
            <w:vAlign w:val="center"/>
          </w:tcPr>
          <w:p w14:paraId="5A17089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34520EF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93</w:t>
            </w:r>
            <w:r>
              <w:rPr>
                <w:rFonts w:hint="eastAsia" w:ascii="方正仿宋_GBK" w:hAnsi="宋体" w:eastAsia="方正仿宋_GBK" w:cs="宋体"/>
                <w:color w:val="auto"/>
                <w:kern w:val="0"/>
                <w:sz w:val="18"/>
                <w:szCs w:val="18"/>
              </w:rPr>
              <w:t>　</w:t>
            </w:r>
          </w:p>
        </w:tc>
        <w:tc>
          <w:tcPr>
            <w:tcW w:w="699" w:type="dxa"/>
            <w:tcBorders>
              <w:top w:val="nil"/>
              <w:left w:val="single" w:color="auto" w:sz="4" w:space="0"/>
              <w:bottom w:val="single" w:color="auto" w:sz="4" w:space="0"/>
              <w:right w:val="nil"/>
            </w:tcBorders>
            <w:shd w:val="clear" w:color="auto" w:fill="auto"/>
            <w:vAlign w:val="center"/>
          </w:tcPr>
          <w:p w14:paraId="7C20F510">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28122A48">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20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3960642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18</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14:paraId="1D2AEFEC">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407CA974">
        <w:tblPrEx>
          <w:tblCellMar>
            <w:top w:w="0" w:type="dxa"/>
            <w:left w:w="108" w:type="dxa"/>
            <w:bottom w:w="0" w:type="dxa"/>
            <w:right w:w="108" w:type="dxa"/>
          </w:tblCellMar>
        </w:tblPrEx>
        <w:trPr>
          <w:cantSplit/>
          <w:trHeight w:val="23" w:hRule="atLeast"/>
        </w:trPr>
        <w:tc>
          <w:tcPr>
            <w:tcW w:w="845" w:type="dxa"/>
            <w:vMerge w:val="continue"/>
            <w:tcBorders>
              <w:top w:val="nil"/>
              <w:left w:val="single" w:color="auto" w:sz="4" w:space="0"/>
              <w:bottom w:val="single" w:color="auto" w:sz="4" w:space="0"/>
              <w:right w:val="single" w:color="auto" w:sz="4" w:space="0"/>
            </w:tcBorders>
            <w:vAlign w:val="center"/>
          </w:tcPr>
          <w:p w14:paraId="646D6F0B">
            <w:pPr>
              <w:keepNext w:val="0"/>
              <w:keepLines w:val="0"/>
              <w:pageBreakBefore w:val="0"/>
              <w:widowControl w:val="0"/>
              <w:kinsoku/>
              <w:wordWrap/>
              <w:overflowPunct/>
              <w:topLinePunct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p>
        </w:tc>
        <w:tc>
          <w:tcPr>
            <w:tcW w:w="1132" w:type="dxa"/>
            <w:tcBorders>
              <w:top w:val="nil"/>
              <w:left w:val="nil"/>
              <w:bottom w:val="single" w:color="auto" w:sz="4" w:space="0"/>
              <w:right w:val="nil"/>
            </w:tcBorders>
            <w:shd w:val="clear" w:color="auto" w:fill="auto"/>
            <w:vAlign w:val="center"/>
          </w:tcPr>
          <w:p w14:paraId="000084A5">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资金执行率</w:t>
            </w:r>
            <w:r>
              <w:rPr>
                <w:rFonts w:hint="eastAsia" w:ascii="方正仿宋_GBK" w:hAnsi="宋体" w:eastAsia="方正仿宋_GBK" w:cs="宋体"/>
                <w:color w:val="auto"/>
                <w:kern w:val="0"/>
                <w:sz w:val="18"/>
                <w:szCs w:val="18"/>
              </w:rPr>
              <w:t>　</w:t>
            </w:r>
          </w:p>
        </w:tc>
        <w:tc>
          <w:tcPr>
            <w:tcW w:w="645" w:type="dxa"/>
            <w:tcBorders>
              <w:top w:val="nil"/>
              <w:left w:val="single" w:color="auto" w:sz="4" w:space="0"/>
              <w:bottom w:val="single" w:color="auto" w:sz="4" w:space="0"/>
              <w:right w:val="nil"/>
            </w:tcBorders>
            <w:shd w:val="clear" w:color="auto" w:fill="auto"/>
            <w:vAlign w:val="center"/>
          </w:tcPr>
          <w:p w14:paraId="25D5A0B8">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百分数</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5494F4E0">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资金执行率指标</w:t>
            </w:r>
            <w:r>
              <w:rPr>
                <w:rFonts w:hint="eastAsia" w:ascii="方正仿宋_GBK" w:hAnsi="宋体" w:eastAsia="方正仿宋_GBK" w:cs="宋体"/>
                <w:color w:val="auto"/>
                <w:kern w:val="0"/>
                <w:sz w:val="18"/>
                <w:szCs w:val="18"/>
              </w:rPr>
              <w:t>　</w:t>
            </w:r>
          </w:p>
        </w:tc>
        <w:tc>
          <w:tcPr>
            <w:tcW w:w="597" w:type="dxa"/>
            <w:tcBorders>
              <w:top w:val="nil"/>
              <w:left w:val="single" w:color="auto" w:sz="4" w:space="0"/>
              <w:bottom w:val="single" w:color="auto" w:sz="4" w:space="0"/>
              <w:right w:val="nil"/>
            </w:tcBorders>
            <w:shd w:val="clear" w:color="auto" w:fill="auto"/>
            <w:vAlign w:val="center"/>
          </w:tcPr>
          <w:p w14:paraId="5C6C38A3">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1209" w:type="dxa"/>
            <w:tcBorders>
              <w:top w:val="nil"/>
              <w:left w:val="single" w:color="auto" w:sz="4" w:space="0"/>
              <w:bottom w:val="single" w:color="auto" w:sz="4" w:space="0"/>
              <w:right w:val="nil"/>
            </w:tcBorders>
            <w:shd w:val="clear" w:color="auto" w:fill="auto"/>
            <w:vAlign w:val="center"/>
          </w:tcPr>
          <w:p w14:paraId="541AB33B">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61F342D2">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100</w:t>
            </w:r>
            <w:r>
              <w:rPr>
                <w:rFonts w:hint="eastAsia" w:ascii="方正仿宋_GBK" w:hAnsi="宋体" w:eastAsia="方正仿宋_GBK" w:cs="宋体"/>
                <w:color w:val="auto"/>
                <w:kern w:val="0"/>
                <w:sz w:val="18"/>
                <w:szCs w:val="18"/>
              </w:rPr>
              <w:t>　</w:t>
            </w:r>
          </w:p>
        </w:tc>
        <w:tc>
          <w:tcPr>
            <w:tcW w:w="699" w:type="dxa"/>
            <w:tcBorders>
              <w:top w:val="nil"/>
              <w:left w:val="single" w:color="auto" w:sz="4" w:space="0"/>
              <w:bottom w:val="single" w:color="auto" w:sz="4" w:space="0"/>
              <w:right w:val="nil"/>
            </w:tcBorders>
            <w:shd w:val="clear" w:color="auto" w:fill="auto"/>
            <w:vAlign w:val="center"/>
          </w:tcPr>
          <w:p w14:paraId="3209C83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90</w:t>
            </w:r>
            <w:r>
              <w:rPr>
                <w:rFonts w:hint="eastAsia" w:ascii="方正仿宋_GBK" w:hAnsi="宋体" w:eastAsia="方正仿宋_GBK" w:cs="宋体"/>
                <w:color w:val="auto"/>
                <w:kern w:val="0"/>
                <w:sz w:val="18"/>
                <w:szCs w:val="18"/>
              </w:rPr>
              <w:t>　</w:t>
            </w:r>
          </w:p>
        </w:tc>
        <w:tc>
          <w:tcPr>
            <w:tcW w:w="772" w:type="dxa"/>
            <w:tcBorders>
              <w:top w:val="nil"/>
              <w:left w:val="single" w:color="auto" w:sz="4" w:space="0"/>
              <w:bottom w:val="single" w:color="auto" w:sz="4" w:space="0"/>
              <w:right w:val="nil"/>
            </w:tcBorders>
            <w:shd w:val="clear" w:color="auto" w:fill="auto"/>
            <w:vAlign w:val="center"/>
          </w:tcPr>
          <w:p w14:paraId="762FF191">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hAnsi="宋体" w:eastAsia="方正仿宋_GBK" w:cs="宋体"/>
                <w:color w:val="auto"/>
                <w:kern w:val="0"/>
                <w:sz w:val="18"/>
                <w:szCs w:val="18"/>
                <w:lang w:val="en-US" w:eastAsia="zh-CN"/>
              </w:rPr>
              <w:t>10</w:t>
            </w:r>
            <w:r>
              <w:rPr>
                <w:rFonts w:hint="eastAsia" w:ascii="方正仿宋_GBK" w:hAnsi="宋体" w:eastAsia="方正仿宋_GBK" w:cs="宋体"/>
                <w:color w:val="auto"/>
                <w:kern w:val="0"/>
                <w:sz w:val="18"/>
                <w:szCs w:val="18"/>
              </w:rPr>
              <w:t>　</w:t>
            </w:r>
          </w:p>
        </w:tc>
        <w:tc>
          <w:tcPr>
            <w:tcW w:w="786" w:type="dxa"/>
            <w:tcBorders>
              <w:top w:val="nil"/>
              <w:left w:val="single" w:color="auto" w:sz="4" w:space="0"/>
              <w:bottom w:val="single" w:color="auto" w:sz="4" w:space="0"/>
              <w:right w:val="nil"/>
            </w:tcBorders>
            <w:shd w:val="clear" w:color="auto" w:fill="auto"/>
            <w:vAlign w:val="center"/>
          </w:tcPr>
          <w:p w14:paraId="536D9FFE">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Calibri" w:eastAsia="方正仿宋_GBK" w:cs="宋体"/>
                <w:color w:val="auto"/>
                <w:kern w:val="0"/>
                <w:sz w:val="18"/>
                <w:szCs w:val="18"/>
                <w:lang w:val="en-US" w:eastAsia="zh-CN" w:bidi="ar-SA"/>
              </w:rPr>
            </w:pPr>
            <w:r>
              <w:rPr>
                <w:rFonts w:hint="eastAsia" w:ascii="方正仿宋_GBK" w:eastAsia="方正仿宋_GBK" w:cs="宋体"/>
                <w:color w:val="auto"/>
                <w:kern w:val="0"/>
                <w:sz w:val="18"/>
                <w:szCs w:val="18"/>
                <w:lang w:val="en-US" w:eastAsia="zh-CN"/>
              </w:rPr>
              <w:t>9</w:t>
            </w:r>
            <w:r>
              <w:rPr>
                <w:rFonts w:hint="eastAsia" w:ascii="方正仿宋_GBK" w:hAnsi="宋体" w:eastAsia="方正仿宋_GBK" w:cs="宋体"/>
                <w:color w:val="auto"/>
                <w:kern w:val="0"/>
                <w:sz w:val="18"/>
                <w:szCs w:val="18"/>
              </w:rPr>
              <w:t>　</w:t>
            </w:r>
          </w:p>
        </w:tc>
        <w:tc>
          <w:tcPr>
            <w:tcW w:w="917" w:type="dxa"/>
            <w:tcBorders>
              <w:top w:val="nil"/>
              <w:left w:val="single" w:color="auto" w:sz="4" w:space="0"/>
              <w:bottom w:val="single" w:color="auto" w:sz="4" w:space="0"/>
              <w:right w:val="single" w:color="auto" w:sz="4" w:space="0"/>
            </w:tcBorders>
            <w:shd w:val="clear" w:color="auto" w:fill="auto"/>
            <w:vAlign w:val="center"/>
          </w:tcPr>
          <w:p w14:paraId="00BCCFD9">
            <w:pPr>
              <w:keepNext w:val="0"/>
              <w:keepLines w:val="0"/>
              <w:pageBreakBefore w:val="0"/>
              <w:widowControl w:val="0"/>
              <w:kinsoku/>
              <w:wordWrap/>
              <w:overflowPunct/>
              <w:topLinePunct w:val="0"/>
              <w:autoSpaceDN w:val="0"/>
              <w:bidi w:val="0"/>
              <w:adjustRightInd/>
              <w:snapToGrid/>
              <w:jc w:val="center"/>
              <w:textAlignment w:val="auto"/>
              <w:rPr>
                <w:rFonts w:hint="eastAsia" w:ascii="方正仿宋_GBK" w:hAnsi="宋体" w:eastAsia="方正仿宋_GBK" w:cs="宋体"/>
                <w:color w:val="auto"/>
                <w:kern w:val="0"/>
                <w:sz w:val="18"/>
                <w:szCs w:val="18"/>
              </w:rPr>
            </w:pPr>
            <w:r>
              <w:rPr>
                <w:rFonts w:hint="eastAsia" w:ascii="方正仿宋_GBK" w:hAnsi="宋体" w:eastAsia="方正仿宋_GBK" w:cs="宋体"/>
                <w:color w:val="auto"/>
                <w:kern w:val="0"/>
                <w:sz w:val="18"/>
                <w:szCs w:val="18"/>
              </w:rPr>
              <w:t>　</w:t>
            </w:r>
          </w:p>
        </w:tc>
      </w:tr>
      <w:tr w14:paraId="7D62ABE7">
        <w:tblPrEx>
          <w:tblCellMar>
            <w:top w:w="0" w:type="dxa"/>
            <w:left w:w="108" w:type="dxa"/>
            <w:bottom w:w="0" w:type="dxa"/>
            <w:right w:w="108" w:type="dxa"/>
          </w:tblCellMar>
        </w:tblPrEx>
        <w:trPr>
          <w:trHeight w:val="23" w:hRule="atLeast"/>
        </w:trPr>
        <w:tc>
          <w:tcPr>
            <w:tcW w:w="845" w:type="dxa"/>
            <w:tcBorders>
              <w:top w:val="nil"/>
              <w:left w:val="single" w:color="auto" w:sz="4" w:space="0"/>
              <w:bottom w:val="single" w:color="auto" w:sz="4" w:space="0"/>
              <w:right w:val="single" w:color="auto" w:sz="4" w:space="0"/>
            </w:tcBorders>
            <w:shd w:val="clear" w:color="auto" w:fill="auto"/>
            <w:vAlign w:val="center"/>
          </w:tcPr>
          <w:p w14:paraId="78994727">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说明</w:t>
            </w:r>
          </w:p>
        </w:tc>
        <w:tc>
          <w:tcPr>
            <w:tcW w:w="8315" w:type="dxa"/>
            <w:gridSpan w:val="10"/>
            <w:tcBorders>
              <w:top w:val="single" w:color="auto" w:sz="4" w:space="0"/>
              <w:left w:val="nil"/>
              <w:bottom w:val="single" w:color="auto" w:sz="4" w:space="0"/>
              <w:right w:val="single" w:color="auto" w:sz="4" w:space="0"/>
            </w:tcBorders>
            <w:shd w:val="clear" w:color="auto" w:fill="auto"/>
            <w:vAlign w:val="center"/>
          </w:tcPr>
          <w:p w14:paraId="61DED7F5">
            <w:pPr>
              <w:keepNext w:val="0"/>
              <w:keepLines w:val="0"/>
              <w:pageBreakBefore w:val="0"/>
              <w:widowControl w:val="0"/>
              <w:kinsoku/>
              <w:wordWrap/>
              <w:overflowPunct/>
              <w:topLinePunct w:val="0"/>
              <w:autoSpaceDN w:val="0"/>
              <w:bidi w:val="0"/>
              <w:adjustRightInd/>
              <w:snapToGrid/>
              <w:spacing w:beforeAutospacing="0" w:afterAutospacing="0" w:line="594" w:lineRule="exact"/>
              <w:jc w:val="both"/>
              <w:textAlignment w:val="auto"/>
              <w:rPr>
                <w:rFonts w:ascii="Times New Roman" w:hAnsi="Times New Roman" w:eastAsia="方正仿宋_GBK"/>
                <w:color w:val="auto"/>
                <w:sz w:val="18"/>
                <w:szCs w:val="18"/>
              </w:rPr>
            </w:pPr>
            <w:r>
              <w:rPr>
                <w:rFonts w:hint="eastAsia" w:ascii="Times New Roman" w:hAnsi="Times New Roman" w:eastAsia="方正仿宋_GBK"/>
                <w:color w:val="auto"/>
                <w:sz w:val="18"/>
                <w:szCs w:val="18"/>
              </w:rPr>
              <w:t>　</w:t>
            </w:r>
          </w:p>
        </w:tc>
      </w:tr>
    </w:tbl>
    <w:p w14:paraId="35B4E52D">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left="0" w:leftChars="0" w:firstLine="640" w:firstLineChars="200"/>
        <w:jc w:val="both"/>
        <w:textAlignment w:val="auto"/>
        <w:rPr>
          <w:rFonts w:ascii="Times New Roman" w:hAnsi="Times New Roman" w:eastAsia="方正仿宋_GBK" w:cs="宋体"/>
          <w:b/>
          <w:color w:val="auto"/>
          <w:kern w:val="0"/>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（三）重点绩效评价结果</w:t>
      </w:r>
    </w:p>
    <w:p w14:paraId="6E891942">
      <w:pPr>
        <w:pStyle w:val="14"/>
        <w:keepNext w:val="0"/>
        <w:keepLines w:val="0"/>
        <w:pageBreakBefore w:val="0"/>
        <w:widowControl w:val="0"/>
        <w:tabs>
          <w:tab w:val="center" w:pos="4153"/>
          <w:tab w:val="left" w:pos="7275"/>
        </w:tabs>
        <w:kinsoku/>
        <w:wordWrap/>
        <w:overflowPunct/>
        <w:topLinePunct w:val="0"/>
        <w:bidi w:val="0"/>
        <w:adjustRightInd/>
        <w:snapToGrid/>
        <w:spacing w:beforeAutospacing="0" w:afterAutospacing="0" w:line="594" w:lineRule="exact"/>
        <w:ind w:firstLine="640"/>
        <w:jc w:val="both"/>
        <w:textAlignment w:val="auto"/>
        <w:rPr>
          <w:rFonts w:hint="eastAsia" w:ascii="Times New Roman" w:hAnsi="Times New Roman" w:eastAsia="方正仿宋_GBK" w:cs="宋体"/>
          <w:b/>
          <w:color w:val="auto"/>
          <w:kern w:val="0"/>
          <w:sz w:val="32"/>
          <w:szCs w:val="32"/>
          <w:highlight w:val="none"/>
          <w:lang w:eastAsia="zh-CN"/>
        </w:rPr>
      </w:pPr>
      <w:r>
        <w:rPr>
          <w:rFonts w:hint="eastAsia" w:ascii="Times New Roman" w:hAnsi="Times New Roman" w:eastAsia="方正仿宋_GBK"/>
          <w:color w:val="auto"/>
          <w:sz w:val="32"/>
          <w:szCs w:val="32"/>
        </w:rPr>
        <w:t>本单位2020年度</w:t>
      </w:r>
      <w:r>
        <w:rPr>
          <w:rFonts w:hint="eastAsia" w:ascii="Times New Roman" w:hAnsi="Times New Roman" w:eastAsia="方正仿宋_GBK"/>
          <w:color w:val="auto"/>
          <w:sz w:val="32"/>
          <w:szCs w:val="32"/>
          <w:highlight w:val="none"/>
          <w:lang w:eastAsia="zh-CN"/>
        </w:rPr>
        <w:t>无</w:t>
      </w:r>
      <w:r>
        <w:rPr>
          <w:rFonts w:hint="eastAsia" w:ascii="Times New Roman" w:hAnsi="Times New Roman" w:eastAsia="方正仿宋_GBK"/>
          <w:color w:val="auto"/>
          <w:sz w:val="32"/>
          <w:szCs w:val="32"/>
          <w:highlight w:val="none"/>
        </w:rPr>
        <w:t>重点绩效评价</w:t>
      </w:r>
      <w:r>
        <w:rPr>
          <w:rFonts w:hint="eastAsia" w:ascii="Times New Roman" w:hAnsi="Times New Roman" w:eastAsia="方正仿宋_GBK"/>
          <w:color w:val="auto"/>
          <w:sz w:val="32"/>
          <w:szCs w:val="32"/>
          <w:highlight w:val="none"/>
          <w:lang w:eastAsia="zh-CN"/>
        </w:rPr>
        <w:t>项目。</w:t>
      </w:r>
    </w:p>
    <w:p w14:paraId="441B2CC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rPr>
      </w:pPr>
      <w:r>
        <w:rPr>
          <w:rStyle w:val="10"/>
          <w:rFonts w:hint="eastAsia" w:ascii="Times New Roman" w:hAnsi="Times New Roman" w:eastAsia="方正黑体_GBK"/>
          <w:b w:val="0"/>
          <w:color w:val="auto"/>
          <w:sz w:val="32"/>
          <w:szCs w:val="32"/>
        </w:rPr>
        <w:t>六、专业名词解释</w:t>
      </w:r>
    </w:p>
    <w:p w14:paraId="2ED28282">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（一）财政拨款收入：</w:t>
      </w:r>
      <w:r>
        <w:rPr>
          <w:rFonts w:hint="eastAsia" w:ascii="Times New Roman" w:hAnsi="Times New Roman" w:eastAsia="方正仿宋_GBK"/>
          <w:color w:val="auto"/>
          <w:sz w:val="32"/>
          <w:szCs w:val="32"/>
        </w:rPr>
        <w:t>指本年度从本级财政部门取得的财政拨款，包括一般公共预算财政拨款和政府性基金预算财政拨款。</w:t>
      </w:r>
    </w:p>
    <w:p w14:paraId="3D93A40E">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（二）事业收入：</w:t>
      </w:r>
      <w:r>
        <w:rPr>
          <w:rFonts w:hint="eastAsia" w:ascii="Times New Roman" w:hAnsi="Times New Roman" w:eastAsia="方正仿宋_GBK"/>
          <w:color w:val="auto"/>
          <w:sz w:val="32"/>
          <w:szCs w:val="32"/>
        </w:rPr>
        <w:t>指事业单位开展专业业务活动及其辅助活动取得的现金流入；事业单位收到的财政专户实际核拨的教育收费等资金在此反映。</w:t>
      </w:r>
    </w:p>
    <w:p w14:paraId="156E2F7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（三）经营收入：</w:t>
      </w:r>
      <w:r>
        <w:rPr>
          <w:rFonts w:hint="eastAsia" w:ascii="Times New Roman" w:hAnsi="Times New Roman" w:eastAsia="方正仿宋_GBK"/>
          <w:color w:val="auto"/>
          <w:sz w:val="32"/>
          <w:szCs w:val="32"/>
        </w:rPr>
        <w:t>指事业单位在专业业务活动及其辅助活动之外开展非独立核算经营活动取得的现金流入。</w:t>
      </w:r>
    </w:p>
    <w:p w14:paraId="7709E52C">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（四）其他收入：</w:t>
      </w:r>
      <w:r>
        <w:rPr>
          <w:rFonts w:hint="eastAsia" w:ascii="Times New Roman" w:hAnsi="Times New Roman" w:eastAsia="方正仿宋_GBK"/>
          <w:color w:val="auto"/>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35C53686">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（五）年初结转和结余：</w:t>
      </w:r>
      <w:r>
        <w:rPr>
          <w:rFonts w:hint="eastAsia" w:ascii="Times New Roman" w:hAnsi="Times New Roman" w:eastAsia="方正仿宋_GBK"/>
          <w:color w:val="auto"/>
          <w:sz w:val="32"/>
          <w:szCs w:val="32"/>
        </w:rPr>
        <w:t>指单位上年结转本年使用的基本支出结转、项目支出结转和结余、经营结余。</w:t>
      </w:r>
    </w:p>
    <w:p w14:paraId="4345A291">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（六）结余分配：</w:t>
      </w:r>
      <w:r>
        <w:rPr>
          <w:rFonts w:hint="eastAsia" w:ascii="Times New Roman" w:hAnsi="Times New Roman" w:eastAsia="方正仿宋_GBK"/>
          <w:color w:val="auto"/>
          <w:sz w:val="32"/>
          <w:szCs w:val="32"/>
        </w:rPr>
        <w:t>指单位按照国家有关规定，缴纳所得税、提取专用基金、转入事业基金等当年结余的分配情况。</w:t>
      </w:r>
    </w:p>
    <w:p w14:paraId="63EA4DA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（七）年末结转和结余：</w:t>
      </w:r>
      <w:r>
        <w:rPr>
          <w:rFonts w:hint="eastAsia" w:ascii="Times New Roman" w:hAnsi="Times New Roman" w:eastAsia="方正仿宋_GBK"/>
          <w:color w:val="auto"/>
          <w:sz w:val="32"/>
          <w:szCs w:val="32"/>
        </w:rPr>
        <w:t>指单位结转下年的基本支出结转、项目支出结转和结余、经营结余。</w:t>
      </w:r>
    </w:p>
    <w:p w14:paraId="54A57AB4">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（八）基本支出：</w:t>
      </w:r>
      <w:r>
        <w:rPr>
          <w:rFonts w:hint="eastAsia" w:ascii="Times New Roman" w:hAnsi="Times New Roman" w:eastAsia="方正仿宋_GBK"/>
          <w:color w:val="auto"/>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1A6FF93">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（九）项目支出：</w:t>
      </w:r>
      <w:r>
        <w:rPr>
          <w:rFonts w:hint="eastAsia" w:ascii="Times New Roman" w:hAnsi="Times New Roman" w:eastAsia="方正仿宋_GBK"/>
          <w:color w:val="auto"/>
          <w:sz w:val="32"/>
          <w:szCs w:val="32"/>
        </w:rPr>
        <w:t>指在基本支出之外为完成特定行政任务和事业发展目标所发生的支出。</w:t>
      </w:r>
    </w:p>
    <w:p w14:paraId="62121DF7">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（十）经营支出：</w:t>
      </w:r>
      <w:r>
        <w:rPr>
          <w:rFonts w:hint="eastAsia" w:ascii="Times New Roman" w:hAnsi="Times New Roman" w:eastAsia="方正仿宋_GBK"/>
          <w:color w:val="auto"/>
          <w:sz w:val="32"/>
          <w:szCs w:val="32"/>
        </w:rPr>
        <w:t>指事业单位在专业业务活动及其辅助活动之外开展非独立核算经营活动发生的支出。</w:t>
      </w:r>
    </w:p>
    <w:p w14:paraId="1DD29F16">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（十一）“三公”经费：</w:t>
      </w:r>
      <w:r>
        <w:rPr>
          <w:rFonts w:hint="eastAsia" w:ascii="Times New Roman" w:hAnsi="Times New Roman" w:eastAsia="方正仿宋_GBK"/>
          <w:color w:val="auto"/>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w:t>
      </w:r>
      <w:r>
        <w:rPr>
          <w:rFonts w:hint="eastAsia" w:ascii="Times New Roman" w:hAnsi="Times New Roman" w:eastAsia="方正仿宋_GBK"/>
          <w:color w:val="auto"/>
          <w:sz w:val="32"/>
          <w:szCs w:val="32"/>
          <w:lang w:eastAsia="zh-CN"/>
        </w:rPr>
        <w:t>支</w:t>
      </w:r>
      <w:r>
        <w:rPr>
          <w:rFonts w:hint="eastAsia" w:ascii="Times New Roman" w:hAnsi="Times New Roman" w:eastAsia="方正仿宋_GBK"/>
          <w:color w:val="auto"/>
          <w:sz w:val="32"/>
          <w:szCs w:val="32"/>
        </w:rPr>
        <w:t>出；公务接待费反映单位按规定开支的各类公务接待（含外宾接待）支出。</w:t>
      </w:r>
    </w:p>
    <w:p w14:paraId="5F0B1475">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（十二）机关运行经费：</w:t>
      </w:r>
      <w:r>
        <w:rPr>
          <w:rFonts w:hint="eastAsia" w:ascii="Times New Roman" w:hAnsi="Times New Roman" w:eastAsia="方正仿宋_GBK"/>
          <w:color w:val="auto"/>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55624E88">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（十三）工资福利支出（支出经济分类科目类级）：</w:t>
      </w:r>
      <w:r>
        <w:rPr>
          <w:rFonts w:hint="eastAsia" w:ascii="Times New Roman" w:hAnsi="Times New Roman" w:eastAsia="方正仿宋_GBK"/>
          <w:color w:val="auto"/>
          <w:sz w:val="32"/>
          <w:szCs w:val="32"/>
        </w:rPr>
        <w:t>反映单位开支的在职职工和编制外长期聘用人员的各类劳动报酬，以及为上述人员缴纳的各项社会保险费等。</w:t>
      </w:r>
    </w:p>
    <w:p w14:paraId="556BB01D">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kern w:val="0"/>
          <w:sz w:val="32"/>
          <w:szCs w:val="32"/>
          <w:lang w:val="en-US" w:eastAsia="zh-CN" w:bidi="ar-SA"/>
        </w:rPr>
        <w:t>（十四）商品和服务支出（支出经济分类科目类级）：</w:t>
      </w:r>
      <w:r>
        <w:rPr>
          <w:rFonts w:hint="eastAsia" w:ascii="Times New Roman" w:hAnsi="Times New Roman" w:eastAsia="方正仿宋_GBK"/>
          <w:color w:val="auto"/>
          <w:sz w:val="32"/>
          <w:szCs w:val="32"/>
        </w:rPr>
        <w:t>反映单位购买商品和服务的支出（不包括用于购置固定资产的支出、战略性和应急储备支出）。</w:t>
      </w:r>
    </w:p>
    <w:p w14:paraId="4AA9DADB">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（十五）对个人和家庭的补助（支出经济分类科目类级）</w:t>
      </w:r>
      <w:r>
        <w:rPr>
          <w:rFonts w:hint="eastAsia" w:ascii="方正楷体_GBK" w:hAnsi="方正楷体_GBK" w:eastAsia="方正楷体_GBK" w:cs="方正楷体_GBK"/>
          <w:b w:val="0"/>
          <w:bCs w:val="0"/>
          <w:color w:val="auto"/>
          <w:sz w:val="32"/>
          <w:szCs w:val="32"/>
        </w:rPr>
        <w:t>：</w:t>
      </w:r>
      <w:r>
        <w:rPr>
          <w:rFonts w:hint="eastAsia" w:ascii="Times New Roman" w:hAnsi="Times New Roman" w:eastAsia="方正仿宋_GBK"/>
          <w:color w:val="auto"/>
          <w:sz w:val="32"/>
          <w:szCs w:val="32"/>
        </w:rPr>
        <w:t>反映用于对个人和家庭的补助支出。</w:t>
      </w:r>
    </w:p>
    <w:p w14:paraId="7587DEEA">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Style w:val="10"/>
          <w:rFonts w:hint="eastAsia" w:ascii="方正楷体_GBK" w:hAnsi="方正楷体_GBK" w:eastAsia="方正楷体_GBK" w:cs="方正楷体_GBK"/>
          <w:b w:val="0"/>
          <w:bCs w:val="0"/>
          <w:color w:val="auto"/>
          <w:sz w:val="32"/>
          <w:szCs w:val="32"/>
        </w:rPr>
        <w:t>（十六）其他资本性支出（支出经济分类科目类级）：</w:t>
      </w:r>
      <w:r>
        <w:rPr>
          <w:rFonts w:hint="eastAsia" w:ascii="Times New Roman" w:hAnsi="Times New Roman" w:eastAsia="方正仿宋_GBK"/>
          <w:color w:val="auto"/>
          <w:sz w:val="32"/>
          <w:szCs w:val="32"/>
        </w:rPr>
        <w:t>反映非各级发展与改革部门集中安排的用于购置固定资产、战略性和应急性储备、土地和无形资产，以及构建基础设施、大型修缮和财政支持企业更新改造所发生的支出。</w:t>
      </w:r>
    </w:p>
    <w:p w14:paraId="6D7DFB3A">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outlineLvl w:val="0"/>
        <w:rPr>
          <w:rFonts w:ascii="Times New Roman" w:hAnsi="Times New Roman" w:eastAsia="方正黑体_GBK"/>
          <w:b/>
          <w:color w:val="auto"/>
          <w:sz w:val="32"/>
          <w:szCs w:val="32"/>
        </w:rPr>
      </w:pPr>
      <w:r>
        <w:rPr>
          <w:rStyle w:val="10"/>
          <w:rFonts w:hint="eastAsia" w:ascii="Times New Roman" w:hAnsi="Times New Roman" w:eastAsia="方正黑体_GBK"/>
          <w:b w:val="0"/>
          <w:color w:val="auto"/>
          <w:sz w:val="32"/>
          <w:szCs w:val="32"/>
        </w:rPr>
        <w:t>七、决算公开联系方式及信息反馈渠道</w:t>
      </w:r>
    </w:p>
    <w:p w14:paraId="372CD68F">
      <w:pPr>
        <w:pStyle w:val="7"/>
        <w:keepNext w:val="0"/>
        <w:keepLines w:val="0"/>
        <w:pageBreakBefore w:val="0"/>
        <w:widowControl w:val="0"/>
        <w:shd w:val="clear" w:color="auto" w:fill="FFFFFF"/>
        <w:kinsoku/>
        <w:wordWrap/>
        <w:overflowPunct/>
        <w:topLinePunct w:val="0"/>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rPr>
      </w:pPr>
      <w:r>
        <w:rPr>
          <w:rFonts w:hint="eastAsia" w:ascii="Times New Roman" w:hAnsi="Times New Roman" w:eastAsia="方正仿宋_GBK"/>
          <w:color w:val="auto"/>
          <w:sz w:val="32"/>
          <w:szCs w:val="32"/>
        </w:rPr>
        <w:t>本单位决算公开信息反馈和联系方式：023-6298</w:t>
      </w:r>
      <w:r>
        <w:rPr>
          <w:rFonts w:hint="eastAsia" w:ascii="Times New Roman" w:hAnsi="Times New Roman" w:eastAsia="方正仿宋_GBK"/>
          <w:color w:val="auto"/>
          <w:sz w:val="32"/>
          <w:szCs w:val="32"/>
          <w:lang w:val="en-US" w:eastAsia="zh-CN"/>
        </w:rPr>
        <w:t>0721</w:t>
      </w:r>
      <w:r>
        <w:rPr>
          <w:rFonts w:hint="eastAsia" w:ascii="Times New Roman" w:hAnsi="Times New Roman" w:eastAsia="方正仿宋_GBK"/>
          <w:color w:val="auto"/>
          <w:sz w:val="32"/>
          <w:szCs w:val="32"/>
        </w:rPr>
        <w:t>。</w:t>
      </w:r>
    </w:p>
    <w:sectPr>
      <w:footerReference r:id="rId3" w:type="default"/>
      <w:pgSz w:w="11907" w:h="16840"/>
      <w:pgMar w:top="2098" w:right="1474" w:bottom="1985"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32487"/>
      <w:docPartObj>
        <w:docPartGallery w:val="autotext"/>
      </w:docPartObj>
    </w:sdtPr>
    <w:sdtContent>
      <w:p w14:paraId="455F8535">
        <w:pPr>
          <w:pStyle w:val="5"/>
          <w:jc w:val="center"/>
        </w:pPr>
      </w:p>
      <w:p w14:paraId="11EC562E">
        <w:pPr>
          <w:pStyle w:val="5"/>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16</w:t>
        </w:r>
        <w:r>
          <w:rPr>
            <w:rFonts w:ascii="Times New Roman" w:hAnsi="Times New Roman" w:cs="Times New Roman"/>
            <w:sz w:val="21"/>
            <w:szCs w:val="21"/>
          </w:rPr>
          <w:fldChar w:fldCharType="end"/>
        </w:r>
      </w:p>
    </w:sdtContent>
  </w:sdt>
  <w:p w14:paraId="5DC0D824">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71F8E4"/>
    <w:multiLevelType w:val="singleLevel"/>
    <w:tmpl w:val="D771F8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rsids>
    <w:rsidRoot w:val="009A41FA"/>
    <w:rsid w:val="000478A4"/>
    <w:rsid w:val="00065022"/>
    <w:rsid w:val="00115962"/>
    <w:rsid w:val="00221A09"/>
    <w:rsid w:val="0030438F"/>
    <w:rsid w:val="00316F52"/>
    <w:rsid w:val="00317DE3"/>
    <w:rsid w:val="00323DC8"/>
    <w:rsid w:val="003269CF"/>
    <w:rsid w:val="003463D8"/>
    <w:rsid w:val="00420E29"/>
    <w:rsid w:val="0063459A"/>
    <w:rsid w:val="006B3A67"/>
    <w:rsid w:val="006F08AE"/>
    <w:rsid w:val="007813B9"/>
    <w:rsid w:val="0087676C"/>
    <w:rsid w:val="009A41FA"/>
    <w:rsid w:val="009D65BE"/>
    <w:rsid w:val="00B61C9F"/>
    <w:rsid w:val="00C947A8"/>
    <w:rsid w:val="00D33E16"/>
    <w:rsid w:val="00D73116"/>
    <w:rsid w:val="00E07898"/>
    <w:rsid w:val="00F364CA"/>
    <w:rsid w:val="08E1018E"/>
    <w:rsid w:val="0D852B8C"/>
    <w:rsid w:val="159A7284"/>
    <w:rsid w:val="17013E6D"/>
    <w:rsid w:val="193906EE"/>
    <w:rsid w:val="1F01098E"/>
    <w:rsid w:val="206D6799"/>
    <w:rsid w:val="25D2650A"/>
    <w:rsid w:val="3ACA3C5F"/>
    <w:rsid w:val="4E2F68F9"/>
    <w:rsid w:val="4F0B24A4"/>
    <w:rsid w:val="5451143A"/>
    <w:rsid w:val="5D255FD6"/>
    <w:rsid w:val="5E972462"/>
    <w:rsid w:val="66516625"/>
    <w:rsid w:val="7E135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6"/>
    <w:basedOn w:val="1"/>
    <w:next w:val="1"/>
    <w:qFormat/>
    <w:uiPriority w:val="9"/>
    <w:pPr>
      <w:keepNext/>
      <w:keepLines/>
      <w:widowControl/>
      <w:suppressLineNumbers w:val="0"/>
      <w:spacing w:before="240" w:beforeAutospacing="0" w:after="64" w:afterAutospacing="0" w:line="319" w:lineRule="auto"/>
      <w:ind w:left="0" w:right="0"/>
      <w:jc w:val="left"/>
      <w:outlineLvl w:val="5"/>
    </w:pPr>
    <w:rPr>
      <w:rFonts w:hint="default" w:ascii="Cambria" w:hAnsi="Cambria" w:eastAsia="宋体" w:cs="Times New Roman"/>
      <w:b/>
      <w:kern w:val="0"/>
      <w:sz w:val="24"/>
      <w:szCs w:val="24"/>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b/>
      <w:sz w:val="36"/>
      <w:szCs w:val="20"/>
    </w:rPr>
  </w:style>
  <w:style w:type="paragraph" w:styleId="4">
    <w:name w:val="Document Map"/>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100" w:beforeAutospacing="1" w:after="100" w:afterAutospacing="1"/>
    </w:pPr>
  </w:style>
  <w:style w:type="character" w:styleId="10">
    <w:name w:val="Strong"/>
    <w:basedOn w:val="9"/>
    <w:qFormat/>
    <w:uiPriority w:val="22"/>
    <w:rPr>
      <w:b/>
      <w:bCs/>
    </w:rPr>
  </w:style>
  <w:style w:type="character" w:customStyle="1" w:styleId="11">
    <w:name w:val="页眉 Char"/>
    <w:basedOn w:val="9"/>
    <w:link w:val="6"/>
    <w:semiHidden/>
    <w:qFormat/>
    <w:locked/>
    <w:uiPriority w:val="99"/>
    <w:rPr>
      <w:rFonts w:hint="eastAsia" w:ascii="宋体" w:hAnsi="宋体" w:eastAsia="宋体" w:cs="宋体"/>
      <w:sz w:val="18"/>
      <w:szCs w:val="18"/>
    </w:rPr>
  </w:style>
  <w:style w:type="character" w:customStyle="1" w:styleId="12">
    <w:name w:val="页脚 Char"/>
    <w:basedOn w:val="9"/>
    <w:link w:val="5"/>
    <w:qFormat/>
    <w:locked/>
    <w:uiPriority w:val="99"/>
    <w:rPr>
      <w:rFonts w:hint="eastAsia" w:ascii="宋体" w:hAnsi="宋体" w:eastAsia="宋体" w:cs="宋体"/>
      <w:sz w:val="18"/>
      <w:szCs w:val="18"/>
    </w:rPr>
  </w:style>
  <w:style w:type="character" w:customStyle="1" w:styleId="13">
    <w:name w:val="文档结构图 Char"/>
    <w:basedOn w:val="9"/>
    <w:link w:val="4"/>
    <w:semiHidden/>
    <w:qFormat/>
    <w:locked/>
    <w:uiPriority w:val="99"/>
    <w:rPr>
      <w:rFonts w:hint="eastAsia" w:ascii="宋体" w:hAnsi="宋体" w:eastAsia="宋体" w:cs="宋体"/>
      <w:sz w:val="18"/>
      <w:szCs w:val="18"/>
    </w:rPr>
  </w:style>
  <w:style w:type="paragraph" w:styleId="14">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15">
    <w:name w:val="msonormal"/>
    <w:basedOn w:val="1"/>
    <w:semiHidden/>
    <w:qFormat/>
    <w:uiPriority w:val="99"/>
    <w:pPr>
      <w:spacing w:before="100" w:beforeAutospacing="1" w:after="100" w:afterAutospacing="1"/>
    </w:pPr>
  </w:style>
  <w:style w:type="paragraph" w:customStyle="1" w:styleId="16">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99550-B257-4546-AB00-96699E81D5B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13</Pages>
  <Words>5834</Words>
  <Characters>6462</Characters>
  <Lines>70</Lines>
  <Paragraphs>19</Paragraphs>
  <TotalTime>1</TotalTime>
  <ScaleCrop>false</ScaleCrop>
  <LinksUpToDate>false</LinksUpToDate>
  <CharactersWithSpaces>6555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李星星</cp:lastModifiedBy>
  <cp:lastPrinted>2021-11-17T02:22:00Z</cp:lastPrinted>
  <dcterms:modified xsi:type="dcterms:W3CDTF">2026-01-28T02:55:27Z</dcterms:modified>
  <dc:title>公开报告模板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6D4389B8D2D844409464BA747EF4A5BB</vt:lpwstr>
  </property>
  <property fmtid="{D5CDD505-2E9C-101B-9397-08002B2CF9AE}" pid="4" name="KSOTemplateDocerSaveRecord">
    <vt:lpwstr>eyJoZGlkIjoiZDdjMDA4YjJkMDc5ZTQ3Mzg5YjI2NmJhYTA3NzU3OWEiLCJ1c2VySWQiOiIzMzUyNjEwMDEifQ==</vt:lpwstr>
  </property>
</Properties>
</file>