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C1FAF" w14:textId="77777777" w:rsidR="00D40777" w:rsidRDefault="00C77F36">
      <w:pPr>
        <w:pStyle w:val="a9"/>
        <w:shd w:val="clear" w:color="auto" w:fill="FFFFFF"/>
        <w:spacing w:before="0" w:beforeAutospacing="0" w:after="0" w:afterAutospacing="0" w:line="560" w:lineRule="exact"/>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附件</w:t>
      </w:r>
      <w:r>
        <w:rPr>
          <w:rFonts w:ascii="方正仿宋_GBK" w:eastAsia="方正仿宋_GBK" w:hint="eastAsia"/>
          <w:color w:val="000000" w:themeColor="text1"/>
          <w:sz w:val="32"/>
          <w:szCs w:val="32"/>
        </w:rPr>
        <w:t>3</w:t>
      </w:r>
    </w:p>
    <w:p w14:paraId="155854FE" w14:textId="77777777" w:rsidR="00D40777" w:rsidRDefault="00C77F36">
      <w:pPr>
        <w:pStyle w:val="a9"/>
        <w:shd w:val="clear" w:color="auto" w:fill="FFFFFF"/>
        <w:spacing w:before="0" w:beforeAutospacing="0" w:after="0" w:afterAutospacing="0" w:line="560" w:lineRule="exact"/>
        <w:ind w:firstLineChars="200" w:firstLine="880"/>
        <w:jc w:val="center"/>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重庆市南岸区供销合作社</w:t>
      </w:r>
    </w:p>
    <w:p w14:paraId="78C154A2" w14:textId="77777777" w:rsidR="00D40777" w:rsidRDefault="00C77F36">
      <w:pPr>
        <w:pStyle w:val="a9"/>
        <w:shd w:val="clear" w:color="auto" w:fill="FFFFFF"/>
        <w:spacing w:before="0" w:beforeAutospacing="0" w:after="0" w:afterAutospacing="0" w:line="560" w:lineRule="exact"/>
        <w:ind w:firstLineChars="200" w:firstLine="880"/>
        <w:jc w:val="center"/>
        <w:outlineLvl w:val="0"/>
        <w:rPr>
          <w:rFonts w:ascii="方正小标宋_GBK" w:eastAsia="方正小标宋_GBK"/>
          <w:color w:val="000000" w:themeColor="text1"/>
          <w:sz w:val="44"/>
          <w:szCs w:val="44"/>
        </w:rPr>
      </w:pPr>
      <w:r>
        <w:rPr>
          <w:rFonts w:ascii="方正小标宋_GBK" w:eastAsia="方正小标宋_GBK" w:hint="eastAsia"/>
          <w:color w:val="000000" w:themeColor="text1"/>
          <w:sz w:val="44"/>
          <w:szCs w:val="44"/>
        </w:rPr>
        <w:t>2020</w:t>
      </w:r>
      <w:r>
        <w:rPr>
          <w:rFonts w:ascii="方正小标宋_GBK" w:eastAsia="方正小标宋_GBK" w:hint="eastAsia"/>
          <w:color w:val="000000" w:themeColor="text1"/>
          <w:sz w:val="44"/>
          <w:szCs w:val="44"/>
        </w:rPr>
        <w:t>年度部门决算情况说明</w:t>
      </w:r>
    </w:p>
    <w:p w14:paraId="2BD8CC2E" w14:textId="77777777" w:rsidR="00D40777" w:rsidRDefault="00D40777">
      <w:pPr>
        <w:pStyle w:val="a9"/>
        <w:shd w:val="clear" w:color="auto" w:fill="FFFFFF"/>
        <w:spacing w:before="0" w:beforeAutospacing="0" w:after="0" w:afterAutospacing="0" w:line="560" w:lineRule="exact"/>
        <w:ind w:firstLineChars="200" w:firstLine="880"/>
        <w:jc w:val="both"/>
        <w:rPr>
          <w:rFonts w:ascii="方正小标宋_GBK" w:eastAsia="方正小标宋_GBK"/>
          <w:color w:val="000000" w:themeColor="text1"/>
          <w:sz w:val="44"/>
          <w:szCs w:val="44"/>
        </w:rPr>
      </w:pPr>
    </w:p>
    <w:p w14:paraId="371DC7F8" w14:textId="77777777" w:rsidR="00D40777" w:rsidRDefault="00C77F36">
      <w:pPr>
        <w:pStyle w:val="a9"/>
        <w:shd w:val="clear" w:color="auto" w:fill="FFFFFF"/>
        <w:spacing w:before="0" w:beforeAutospacing="0" w:after="0" w:afterAutospacing="0" w:line="560" w:lineRule="exact"/>
        <w:ind w:firstLineChars="200" w:firstLine="640"/>
        <w:jc w:val="both"/>
        <w:outlineLvl w:val="0"/>
        <w:rPr>
          <w:rStyle w:val="aa"/>
          <w:rFonts w:ascii="方正黑体_GBK" w:eastAsia="方正黑体_GBK"/>
          <w:b w:val="0"/>
          <w:color w:val="000000" w:themeColor="text1"/>
          <w:sz w:val="32"/>
          <w:szCs w:val="32"/>
        </w:rPr>
      </w:pPr>
      <w:r>
        <w:rPr>
          <w:rStyle w:val="aa"/>
          <w:rFonts w:ascii="方正黑体_GBK" w:eastAsia="方正黑体_GBK" w:hint="eastAsia"/>
          <w:b w:val="0"/>
          <w:color w:val="000000" w:themeColor="text1"/>
          <w:sz w:val="32"/>
          <w:szCs w:val="32"/>
        </w:rPr>
        <w:t>一、部门基本情况</w:t>
      </w:r>
    </w:p>
    <w:p w14:paraId="0C8D44F9" w14:textId="5E7C8236" w:rsidR="00D40777" w:rsidRDefault="00C77F36">
      <w:pPr>
        <w:pStyle w:val="a9"/>
        <w:shd w:val="clear" w:color="auto" w:fill="FFFFFF"/>
        <w:spacing w:before="0" w:beforeAutospacing="0" w:after="0" w:afterAutospacing="0" w:line="560" w:lineRule="exact"/>
        <w:ind w:firstLineChars="200" w:firstLine="640"/>
        <w:outlineLvl w:val="1"/>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（一）职能职责。</w:t>
      </w:r>
      <w:r w:rsidR="00915D36">
        <w:rPr>
          <w:rFonts w:ascii="方正仿宋_GBK" w:eastAsia="方正仿宋_GBK" w:hint="eastAsia"/>
          <w:b/>
          <w:color w:val="000000" w:themeColor="text1"/>
          <w:sz w:val="32"/>
          <w:szCs w:val="32"/>
        </w:rPr>
        <w:t>重庆市人民政府</w:t>
      </w:r>
      <w:r>
        <w:rPr>
          <w:rFonts w:ascii="方正仿宋_GBK" w:eastAsia="方正仿宋_GBK" w:hint="eastAsia"/>
          <w:color w:val="000000" w:themeColor="text1"/>
          <w:sz w:val="32"/>
          <w:szCs w:val="32"/>
        </w:rPr>
        <w:t>办公室关于印发重庆市南岸区供销合作社职能配置、内设机构和人员编制规定的通知</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南岸</w:t>
      </w:r>
      <w:proofErr w:type="gramStart"/>
      <w:r>
        <w:rPr>
          <w:rFonts w:ascii="方正仿宋_GBK" w:eastAsia="方正仿宋_GBK" w:hint="eastAsia"/>
          <w:color w:val="000000" w:themeColor="text1"/>
          <w:sz w:val="32"/>
          <w:szCs w:val="32"/>
        </w:rPr>
        <w:t>府办法</w:t>
      </w:r>
      <w:proofErr w:type="gramEnd"/>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2007</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237</w:t>
      </w:r>
      <w:r>
        <w:rPr>
          <w:rFonts w:ascii="方正仿宋_GBK" w:eastAsia="方正仿宋_GBK" w:hint="eastAsia"/>
          <w:color w:val="000000" w:themeColor="text1"/>
          <w:sz w:val="32"/>
          <w:szCs w:val="32"/>
        </w:rPr>
        <w:t>号</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文件精神，根据中央、国务院《关于深化供销合作社的决定》</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中发〔</w:t>
      </w:r>
      <w:r>
        <w:rPr>
          <w:rFonts w:ascii="方正仿宋_GBK" w:eastAsia="方正仿宋_GBK" w:hint="eastAsia"/>
          <w:color w:val="000000" w:themeColor="text1"/>
          <w:sz w:val="32"/>
          <w:szCs w:val="32"/>
        </w:rPr>
        <w:t>1995</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5</w:t>
      </w:r>
      <w:r>
        <w:rPr>
          <w:rFonts w:ascii="方正仿宋_GBK" w:eastAsia="方正仿宋_GBK" w:hint="eastAsia"/>
          <w:color w:val="000000" w:themeColor="text1"/>
          <w:sz w:val="32"/>
          <w:szCs w:val="32"/>
        </w:rPr>
        <w:t>号</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，国务院关于解决供销合作社几个突出问题的通知</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国发〔</w:t>
      </w:r>
      <w:r>
        <w:rPr>
          <w:rFonts w:ascii="方正仿宋_GBK" w:eastAsia="方正仿宋_GBK" w:hint="eastAsia"/>
          <w:color w:val="000000" w:themeColor="text1"/>
          <w:sz w:val="32"/>
          <w:szCs w:val="32"/>
        </w:rPr>
        <w:t>1999</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5</w:t>
      </w:r>
      <w:r>
        <w:rPr>
          <w:rFonts w:ascii="方正仿宋_GBK" w:eastAsia="方正仿宋_GBK" w:hint="eastAsia"/>
          <w:color w:val="000000" w:themeColor="text1"/>
          <w:sz w:val="32"/>
          <w:szCs w:val="32"/>
        </w:rPr>
        <w:t>号</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和重庆市人民政府</w:t>
      </w:r>
      <w:r>
        <w:rPr>
          <w:rFonts w:ascii="方正仿宋_GBK" w:eastAsia="方正仿宋_GBK" w:hint="eastAsia"/>
          <w:color w:val="000000" w:themeColor="text1"/>
          <w:sz w:val="32"/>
          <w:szCs w:val="32"/>
        </w:rPr>
        <w:t>(</w:t>
      </w:r>
      <w:proofErr w:type="gramStart"/>
      <w:r>
        <w:rPr>
          <w:rFonts w:ascii="方正仿宋_GBK" w:eastAsia="方正仿宋_GBK" w:hint="eastAsia"/>
          <w:color w:val="000000" w:themeColor="text1"/>
          <w:sz w:val="32"/>
          <w:szCs w:val="32"/>
        </w:rPr>
        <w:t>渝府发</w:t>
      </w:r>
      <w:proofErr w:type="gramEnd"/>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1999</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81</w:t>
      </w:r>
      <w:r>
        <w:rPr>
          <w:rFonts w:ascii="方正仿宋_GBK" w:eastAsia="方正仿宋_GBK" w:hint="eastAsia"/>
          <w:color w:val="000000" w:themeColor="text1"/>
          <w:sz w:val="32"/>
          <w:szCs w:val="32"/>
        </w:rPr>
        <w:t>号</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精神，设置南岸区供销合作社，南岸区供销合作社是全区供销合作社的联合组织，由区人民政府领导。</w:t>
      </w:r>
    </w:p>
    <w:p w14:paraId="229BA9B3" w14:textId="77777777" w:rsidR="00D40777" w:rsidRDefault="00C77F36">
      <w:pPr>
        <w:pStyle w:val="a9"/>
        <w:shd w:val="clear" w:color="auto" w:fill="FFFFFF"/>
        <w:spacing w:before="0" w:beforeAutospacing="0" w:after="0" w:afterAutospacing="0" w:line="560" w:lineRule="exact"/>
        <w:ind w:firstLineChars="200" w:firstLine="640"/>
        <w:outlineLvl w:val="1"/>
        <w:rPr>
          <w:rFonts w:ascii="方正仿宋_GBK" w:eastAsia="方正仿宋_GBK"/>
          <w:color w:val="000000" w:themeColor="text1"/>
          <w:sz w:val="32"/>
          <w:szCs w:val="32"/>
        </w:rPr>
      </w:pPr>
      <w:r>
        <w:rPr>
          <w:rFonts w:ascii="方正仿宋_GBK" w:eastAsia="方正仿宋_GBK" w:hint="eastAsia"/>
          <w:color w:val="000000" w:themeColor="text1"/>
          <w:sz w:val="32"/>
          <w:szCs w:val="32"/>
        </w:rPr>
        <w:t>主要职责：</w:t>
      </w:r>
    </w:p>
    <w:p w14:paraId="48C9F611" w14:textId="77777777" w:rsidR="00D40777" w:rsidRDefault="00C77F36">
      <w:pPr>
        <w:pStyle w:val="a9"/>
        <w:shd w:val="clear" w:color="auto" w:fill="FFFFFF"/>
        <w:spacing w:before="0" w:beforeAutospacing="0" w:after="0" w:afterAutospacing="0" w:line="560" w:lineRule="exact"/>
        <w:ind w:firstLineChars="200" w:firstLine="640"/>
        <w:outlineLvl w:val="1"/>
        <w:rPr>
          <w:rFonts w:ascii="方正仿宋_GBK" w:eastAsia="方正仿宋_GBK"/>
          <w:color w:val="000000" w:themeColor="text1"/>
          <w:sz w:val="32"/>
          <w:szCs w:val="32"/>
        </w:rPr>
      </w:pPr>
      <w:r>
        <w:rPr>
          <w:rFonts w:ascii="方正仿宋_GBK" w:eastAsia="方正仿宋_GBK" w:hint="eastAsia"/>
          <w:color w:val="000000" w:themeColor="text1"/>
          <w:sz w:val="32"/>
          <w:szCs w:val="32"/>
        </w:rPr>
        <w:t>宣传贯彻党中央、国务院和市委、市政府、区委、区府有关农村经济工作和社会发展的方针政策。</w:t>
      </w:r>
    </w:p>
    <w:p w14:paraId="06F1D34E" w14:textId="77777777" w:rsidR="00D40777" w:rsidRDefault="00C77F36">
      <w:pPr>
        <w:pStyle w:val="a9"/>
        <w:shd w:val="clear" w:color="auto" w:fill="FFFFFF"/>
        <w:spacing w:before="0" w:beforeAutospacing="0" w:after="0" w:afterAutospacing="0" w:line="560" w:lineRule="exact"/>
        <w:ind w:firstLineChars="200" w:firstLine="640"/>
        <w:outlineLvl w:val="1"/>
        <w:rPr>
          <w:rFonts w:ascii="方正仿宋_GBK" w:eastAsia="方正仿宋_GBK"/>
          <w:color w:val="000000" w:themeColor="text1"/>
          <w:sz w:val="32"/>
          <w:szCs w:val="32"/>
        </w:rPr>
      </w:pPr>
      <w:r>
        <w:rPr>
          <w:rFonts w:ascii="方正仿宋_GBK" w:eastAsia="方正仿宋_GBK" w:hint="eastAsia"/>
          <w:color w:val="000000" w:themeColor="text1"/>
          <w:sz w:val="32"/>
          <w:szCs w:val="32"/>
        </w:rPr>
        <w:t>研究制定全区供销社的发展规划，指导全区供销社的改革和发展。</w:t>
      </w:r>
    </w:p>
    <w:p w14:paraId="064404BF" w14:textId="77777777" w:rsidR="00D40777" w:rsidRDefault="00C77F36">
      <w:pPr>
        <w:pStyle w:val="a9"/>
        <w:shd w:val="clear" w:color="auto" w:fill="FFFFFF"/>
        <w:spacing w:before="0" w:beforeAutospacing="0" w:after="0" w:afterAutospacing="0" w:line="560" w:lineRule="exact"/>
        <w:ind w:firstLineChars="200" w:firstLine="640"/>
        <w:outlineLvl w:val="1"/>
        <w:rPr>
          <w:rFonts w:ascii="方正仿宋_GBK" w:eastAsia="方正仿宋_GBK"/>
          <w:color w:val="000000" w:themeColor="text1"/>
          <w:sz w:val="32"/>
          <w:szCs w:val="32"/>
        </w:rPr>
      </w:pPr>
      <w:r>
        <w:rPr>
          <w:rFonts w:ascii="方正仿宋_GBK" w:eastAsia="方正仿宋_GBK" w:hint="eastAsia"/>
          <w:color w:val="000000" w:themeColor="text1"/>
          <w:sz w:val="32"/>
          <w:szCs w:val="32"/>
        </w:rPr>
        <w:t>按照政府授权对重要农资、农副产品等经营进行组织、协调和管理。</w:t>
      </w:r>
    </w:p>
    <w:p w14:paraId="7A76C9B5" w14:textId="77777777" w:rsidR="00D40777" w:rsidRDefault="00C77F36">
      <w:pPr>
        <w:pStyle w:val="a9"/>
        <w:shd w:val="clear" w:color="auto" w:fill="FFFFFF"/>
        <w:spacing w:before="0" w:beforeAutospacing="0" w:after="0" w:afterAutospacing="0" w:line="560" w:lineRule="exact"/>
        <w:ind w:firstLineChars="200" w:firstLine="640"/>
        <w:outlineLvl w:val="1"/>
        <w:rPr>
          <w:rFonts w:ascii="方正仿宋_GBK" w:eastAsia="方正仿宋_GBK"/>
          <w:color w:val="000000" w:themeColor="text1"/>
          <w:sz w:val="32"/>
          <w:szCs w:val="32"/>
        </w:rPr>
      </w:pPr>
      <w:r>
        <w:rPr>
          <w:rFonts w:ascii="方正仿宋_GBK" w:eastAsia="方正仿宋_GBK" w:hint="eastAsia"/>
          <w:color w:val="000000" w:themeColor="text1"/>
          <w:sz w:val="32"/>
          <w:szCs w:val="32"/>
        </w:rPr>
        <w:t>协调与政府部门、社会组织的关系，指导成员社的业务活动。</w:t>
      </w:r>
    </w:p>
    <w:p w14:paraId="3A25190B" w14:textId="77777777" w:rsidR="00D40777" w:rsidRDefault="00C77F36">
      <w:pPr>
        <w:pStyle w:val="a9"/>
        <w:shd w:val="clear" w:color="auto" w:fill="FFFFFF"/>
        <w:spacing w:before="0" w:beforeAutospacing="0" w:after="0" w:afterAutospacing="0" w:line="560" w:lineRule="exact"/>
        <w:ind w:firstLineChars="200" w:firstLine="640"/>
        <w:outlineLvl w:val="1"/>
        <w:rPr>
          <w:rFonts w:ascii="方正仿宋_GBK" w:eastAsia="方正仿宋_GBK"/>
          <w:color w:val="000000" w:themeColor="text1"/>
          <w:sz w:val="32"/>
          <w:szCs w:val="32"/>
        </w:rPr>
      </w:pPr>
      <w:r>
        <w:rPr>
          <w:rFonts w:ascii="方正仿宋_GBK" w:eastAsia="方正仿宋_GBK" w:hint="eastAsia"/>
          <w:color w:val="000000" w:themeColor="text1"/>
          <w:sz w:val="32"/>
          <w:szCs w:val="32"/>
        </w:rPr>
        <w:lastRenderedPageBreak/>
        <w:t>调查研究供销社经济运行中的重大问题，提出扶持性政策建议，维护供销社的合法权益。</w:t>
      </w:r>
    </w:p>
    <w:p w14:paraId="3C3E913D" w14:textId="77777777" w:rsidR="00D40777" w:rsidRDefault="00C77F36">
      <w:pPr>
        <w:pStyle w:val="a9"/>
        <w:shd w:val="clear" w:color="auto" w:fill="FFFFFF"/>
        <w:spacing w:before="0" w:beforeAutospacing="0" w:after="0" w:afterAutospacing="0" w:line="560" w:lineRule="exact"/>
        <w:ind w:firstLineChars="200" w:firstLine="640"/>
        <w:outlineLvl w:val="1"/>
        <w:rPr>
          <w:rFonts w:ascii="方正仿宋_GBK" w:eastAsia="方正仿宋_GBK"/>
          <w:color w:val="000000" w:themeColor="text1"/>
          <w:sz w:val="32"/>
          <w:szCs w:val="32"/>
        </w:rPr>
      </w:pPr>
      <w:r>
        <w:rPr>
          <w:rFonts w:ascii="方正仿宋_GBK" w:eastAsia="方正仿宋_GBK" w:hint="eastAsia"/>
          <w:color w:val="000000" w:themeColor="text1"/>
          <w:sz w:val="32"/>
          <w:szCs w:val="32"/>
        </w:rPr>
        <w:t>指导供销合作社基层社组织建设，改善经营管理，协调成员社的关系，发挥群体联合优势。</w:t>
      </w:r>
    </w:p>
    <w:p w14:paraId="4756AD9F" w14:textId="77777777" w:rsidR="00D40777" w:rsidRDefault="00C77F36">
      <w:pPr>
        <w:pStyle w:val="a9"/>
        <w:shd w:val="clear" w:color="auto" w:fill="FFFFFF"/>
        <w:spacing w:before="0" w:beforeAutospacing="0" w:after="0" w:afterAutospacing="0" w:line="560" w:lineRule="exact"/>
        <w:ind w:firstLineChars="200" w:firstLine="640"/>
        <w:outlineLvl w:val="1"/>
        <w:rPr>
          <w:rFonts w:ascii="方正仿宋_GBK" w:eastAsia="方正仿宋_GBK"/>
          <w:color w:val="000000" w:themeColor="text1"/>
          <w:sz w:val="32"/>
          <w:szCs w:val="32"/>
        </w:rPr>
      </w:pPr>
      <w:r>
        <w:rPr>
          <w:rFonts w:ascii="方正仿宋_GBK" w:eastAsia="方正仿宋_GBK" w:hint="eastAsia"/>
          <w:color w:val="000000" w:themeColor="text1"/>
          <w:sz w:val="32"/>
          <w:szCs w:val="32"/>
        </w:rPr>
        <w:t>管理运营本级社有资产，监督社有资产保值增值，对直属企业单位行使出资人的职权，依法享有</w:t>
      </w:r>
      <w:r>
        <w:rPr>
          <w:rFonts w:ascii="方正仿宋_GBK" w:eastAsia="方正仿宋_GBK" w:hint="eastAsia"/>
          <w:color w:val="000000" w:themeColor="text1"/>
          <w:sz w:val="32"/>
          <w:szCs w:val="32"/>
        </w:rPr>
        <w:t>资产受益，重大决策和选择经营管理者等权利。</w:t>
      </w:r>
    </w:p>
    <w:p w14:paraId="634F8C25" w14:textId="77777777" w:rsidR="00D40777" w:rsidRDefault="00C77F36">
      <w:pPr>
        <w:pStyle w:val="a9"/>
        <w:shd w:val="clear" w:color="auto" w:fill="FFFFFF"/>
        <w:spacing w:before="0" w:beforeAutospacing="0" w:after="0" w:afterAutospacing="0" w:line="560" w:lineRule="exact"/>
        <w:ind w:firstLineChars="200" w:firstLine="640"/>
        <w:outlineLvl w:val="1"/>
        <w:rPr>
          <w:rFonts w:ascii="方正仿宋_GBK" w:eastAsia="方正仿宋_GBK"/>
          <w:color w:val="000000" w:themeColor="text1"/>
          <w:sz w:val="32"/>
          <w:szCs w:val="32"/>
        </w:rPr>
      </w:pPr>
      <w:r>
        <w:rPr>
          <w:rFonts w:ascii="方正仿宋_GBK" w:eastAsia="方正仿宋_GBK" w:hint="eastAsia"/>
          <w:color w:val="000000" w:themeColor="text1"/>
          <w:sz w:val="32"/>
          <w:szCs w:val="32"/>
        </w:rPr>
        <w:t>承办区政府交办的其他事宜。</w:t>
      </w:r>
    </w:p>
    <w:p w14:paraId="7DC04A0B" w14:textId="77777777" w:rsidR="00D40777" w:rsidRDefault="00C77F36">
      <w:pPr>
        <w:pStyle w:val="a9"/>
        <w:spacing w:line="450" w:lineRule="atLeast"/>
        <w:ind w:firstLine="480"/>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（二）机构设置。</w:t>
      </w:r>
      <w:r>
        <w:rPr>
          <w:rFonts w:ascii="方正仿宋_GBK" w:eastAsia="方正仿宋_GBK" w:hint="eastAsia"/>
          <w:color w:val="000000" w:themeColor="text1"/>
          <w:sz w:val="32"/>
          <w:szCs w:val="32"/>
        </w:rPr>
        <w:t>南岸区供销社事业编制</w:t>
      </w:r>
      <w:r>
        <w:rPr>
          <w:rFonts w:ascii="方正仿宋_GBK" w:eastAsia="方正仿宋_GBK" w:hint="eastAsia"/>
          <w:color w:val="000000" w:themeColor="text1"/>
          <w:sz w:val="32"/>
          <w:szCs w:val="32"/>
        </w:rPr>
        <w:t>13</w:t>
      </w:r>
      <w:r>
        <w:rPr>
          <w:rFonts w:ascii="方正仿宋_GBK" w:eastAsia="方正仿宋_GBK" w:hint="eastAsia"/>
          <w:color w:val="000000" w:themeColor="text1"/>
          <w:sz w:val="32"/>
          <w:szCs w:val="32"/>
        </w:rPr>
        <w:t>名，参照公务员管理。</w:t>
      </w:r>
      <w:r>
        <w:rPr>
          <w:rFonts w:ascii="方正仿宋_GBK" w:eastAsia="方正仿宋_GBK" w:hint="eastAsia"/>
          <w:color w:val="000000" w:themeColor="text1"/>
          <w:sz w:val="32"/>
          <w:szCs w:val="32"/>
        </w:rPr>
        <w:t>2019</w:t>
      </w:r>
      <w:r>
        <w:rPr>
          <w:rFonts w:ascii="方正仿宋_GBK" w:eastAsia="方正仿宋_GBK" w:hint="eastAsia"/>
          <w:color w:val="000000" w:themeColor="text1"/>
          <w:sz w:val="32"/>
          <w:szCs w:val="32"/>
        </w:rPr>
        <w:t>年年末在编人员</w:t>
      </w:r>
      <w:r>
        <w:rPr>
          <w:rFonts w:ascii="方正仿宋_GBK" w:eastAsia="方正仿宋_GBK" w:hint="eastAsia"/>
          <w:color w:val="000000" w:themeColor="text1"/>
          <w:sz w:val="32"/>
          <w:szCs w:val="32"/>
        </w:rPr>
        <w:t>13</w:t>
      </w:r>
      <w:r>
        <w:rPr>
          <w:rFonts w:ascii="方正仿宋_GBK" w:eastAsia="方正仿宋_GBK" w:hint="eastAsia"/>
          <w:color w:val="000000" w:themeColor="text1"/>
          <w:sz w:val="32"/>
          <w:szCs w:val="32"/>
        </w:rPr>
        <w:t>名（实质领导</w:t>
      </w:r>
      <w:r>
        <w:rPr>
          <w:rFonts w:ascii="方正仿宋_GBK" w:eastAsia="方正仿宋_GBK" w:hint="eastAsia"/>
          <w:color w:val="000000" w:themeColor="text1"/>
          <w:sz w:val="32"/>
          <w:szCs w:val="32"/>
        </w:rPr>
        <w:t>4</w:t>
      </w:r>
      <w:r>
        <w:rPr>
          <w:rFonts w:ascii="方正仿宋_GBK" w:eastAsia="方正仿宋_GBK" w:hint="eastAsia"/>
          <w:color w:val="000000" w:themeColor="text1"/>
          <w:sz w:val="32"/>
          <w:szCs w:val="32"/>
        </w:rPr>
        <w:t>人、二级调研员</w:t>
      </w:r>
      <w:r>
        <w:rPr>
          <w:rFonts w:ascii="方正仿宋_GBK" w:eastAsia="方正仿宋_GBK" w:hint="eastAsia"/>
          <w:color w:val="000000" w:themeColor="text1"/>
          <w:sz w:val="32"/>
          <w:szCs w:val="32"/>
        </w:rPr>
        <w:t>1</w:t>
      </w:r>
      <w:r>
        <w:rPr>
          <w:rFonts w:ascii="方正仿宋_GBK" w:eastAsia="方正仿宋_GBK" w:hint="eastAsia"/>
          <w:color w:val="000000" w:themeColor="text1"/>
          <w:sz w:val="32"/>
          <w:szCs w:val="32"/>
        </w:rPr>
        <w:t>人、四级调研员</w:t>
      </w:r>
      <w:r>
        <w:rPr>
          <w:rFonts w:ascii="方正仿宋_GBK" w:eastAsia="方正仿宋_GBK" w:hint="eastAsia"/>
          <w:color w:val="000000" w:themeColor="text1"/>
          <w:sz w:val="32"/>
          <w:szCs w:val="32"/>
        </w:rPr>
        <w:t>2</w:t>
      </w:r>
      <w:r>
        <w:rPr>
          <w:rFonts w:ascii="方正仿宋_GBK" w:eastAsia="方正仿宋_GBK" w:hint="eastAsia"/>
          <w:color w:val="000000" w:themeColor="text1"/>
          <w:sz w:val="32"/>
          <w:szCs w:val="32"/>
        </w:rPr>
        <w:t>人、科级</w:t>
      </w:r>
      <w:r>
        <w:rPr>
          <w:rFonts w:ascii="方正仿宋_GBK" w:eastAsia="方正仿宋_GBK" w:hint="eastAsia"/>
          <w:color w:val="000000" w:themeColor="text1"/>
          <w:sz w:val="32"/>
          <w:szCs w:val="32"/>
        </w:rPr>
        <w:t>5</w:t>
      </w:r>
      <w:r>
        <w:rPr>
          <w:rFonts w:ascii="方正仿宋_GBK" w:eastAsia="方正仿宋_GBK" w:hint="eastAsia"/>
          <w:color w:val="000000" w:themeColor="text1"/>
          <w:sz w:val="32"/>
          <w:szCs w:val="32"/>
        </w:rPr>
        <w:t>人、工勤</w:t>
      </w:r>
      <w:r>
        <w:rPr>
          <w:rFonts w:ascii="方正仿宋_GBK" w:eastAsia="方正仿宋_GBK" w:hint="eastAsia"/>
          <w:color w:val="000000" w:themeColor="text1"/>
          <w:sz w:val="32"/>
          <w:szCs w:val="32"/>
        </w:rPr>
        <w:t>1</w:t>
      </w:r>
      <w:r>
        <w:rPr>
          <w:rFonts w:ascii="方正仿宋_GBK" w:eastAsia="方正仿宋_GBK" w:hint="eastAsia"/>
          <w:color w:val="000000" w:themeColor="text1"/>
          <w:sz w:val="32"/>
          <w:szCs w:val="32"/>
        </w:rPr>
        <w:t>人）。其中：核定科级领导职数</w:t>
      </w:r>
      <w:r>
        <w:rPr>
          <w:rFonts w:ascii="方正仿宋_GBK" w:eastAsia="方正仿宋_GBK" w:hint="eastAsia"/>
          <w:color w:val="000000" w:themeColor="text1"/>
          <w:sz w:val="32"/>
          <w:szCs w:val="32"/>
        </w:rPr>
        <w:t>3</w:t>
      </w:r>
      <w:r>
        <w:rPr>
          <w:rFonts w:ascii="方正仿宋_GBK" w:eastAsia="方正仿宋_GBK" w:hint="eastAsia"/>
          <w:color w:val="000000" w:themeColor="text1"/>
          <w:sz w:val="32"/>
          <w:szCs w:val="32"/>
        </w:rPr>
        <w:t>人，实有正科级领导干部</w:t>
      </w:r>
      <w:r>
        <w:rPr>
          <w:rFonts w:ascii="方正仿宋_GBK" w:eastAsia="方正仿宋_GBK" w:hint="eastAsia"/>
          <w:color w:val="000000" w:themeColor="text1"/>
          <w:sz w:val="32"/>
          <w:szCs w:val="32"/>
        </w:rPr>
        <w:t>2</w:t>
      </w:r>
      <w:r>
        <w:rPr>
          <w:rFonts w:ascii="方正仿宋_GBK" w:eastAsia="方正仿宋_GBK" w:hint="eastAsia"/>
          <w:color w:val="000000" w:themeColor="text1"/>
          <w:sz w:val="32"/>
          <w:szCs w:val="32"/>
        </w:rPr>
        <w:t>人，副科级领导干部</w:t>
      </w:r>
      <w:r>
        <w:rPr>
          <w:rFonts w:ascii="方正仿宋_GBK" w:eastAsia="方正仿宋_GBK" w:hint="eastAsia"/>
          <w:color w:val="000000" w:themeColor="text1"/>
          <w:sz w:val="32"/>
          <w:szCs w:val="32"/>
        </w:rPr>
        <w:t>1</w:t>
      </w:r>
      <w:r>
        <w:rPr>
          <w:rFonts w:ascii="方正仿宋_GBK" w:eastAsia="方正仿宋_GBK" w:hint="eastAsia"/>
          <w:color w:val="000000" w:themeColor="text1"/>
          <w:sz w:val="32"/>
          <w:szCs w:val="32"/>
        </w:rPr>
        <w:t>人。纳入社保养老金的退休人员共</w:t>
      </w:r>
      <w:r>
        <w:rPr>
          <w:rFonts w:ascii="方正仿宋_GBK" w:eastAsia="方正仿宋_GBK" w:hint="eastAsia"/>
          <w:color w:val="000000" w:themeColor="text1"/>
          <w:sz w:val="32"/>
          <w:szCs w:val="32"/>
        </w:rPr>
        <w:t>26</w:t>
      </w:r>
      <w:r>
        <w:rPr>
          <w:rFonts w:ascii="方正仿宋_GBK" w:eastAsia="方正仿宋_GBK" w:hint="eastAsia"/>
          <w:color w:val="000000" w:themeColor="text1"/>
          <w:sz w:val="32"/>
          <w:szCs w:val="32"/>
        </w:rPr>
        <w:t>名。</w:t>
      </w:r>
    </w:p>
    <w:p w14:paraId="54E589B2" w14:textId="77777777" w:rsidR="00D40777" w:rsidRDefault="00C77F36">
      <w:pPr>
        <w:pStyle w:val="a9"/>
        <w:shd w:val="clear" w:color="auto" w:fill="FFFFFF"/>
        <w:spacing w:before="0" w:beforeAutospacing="0" w:after="0" w:afterAutospacing="0" w:line="560" w:lineRule="exact"/>
        <w:ind w:firstLineChars="200" w:firstLine="640"/>
        <w:outlineLvl w:val="1"/>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（三）单位构成。</w:t>
      </w:r>
      <w:r>
        <w:rPr>
          <w:rFonts w:ascii="方正仿宋_GBK" w:eastAsia="方正仿宋_GBK" w:hint="eastAsia"/>
          <w:color w:val="000000" w:themeColor="text1"/>
          <w:sz w:val="32"/>
          <w:szCs w:val="32"/>
        </w:rPr>
        <w:t>本单位无下级预算单位。</w:t>
      </w:r>
    </w:p>
    <w:p w14:paraId="04E05BB1" w14:textId="77777777" w:rsidR="00D40777" w:rsidRDefault="00C77F36">
      <w:pPr>
        <w:pStyle w:val="a9"/>
        <w:shd w:val="clear" w:color="auto" w:fill="FFFFFF"/>
        <w:spacing w:before="0" w:beforeAutospacing="0" w:after="0" w:afterAutospacing="0" w:line="560" w:lineRule="exact"/>
        <w:ind w:firstLineChars="200" w:firstLine="640"/>
        <w:outlineLvl w:val="1"/>
        <w:rPr>
          <w:rStyle w:val="aa"/>
          <w:rFonts w:ascii="方正黑体_GBK" w:eastAsia="方正黑体_GBK"/>
          <w:b w:val="0"/>
          <w:color w:val="000000" w:themeColor="text1"/>
        </w:rPr>
      </w:pPr>
      <w:r>
        <w:rPr>
          <w:rStyle w:val="aa"/>
          <w:rFonts w:ascii="方正黑体_GBK" w:eastAsia="方正黑体_GBK" w:hint="eastAsia"/>
          <w:b w:val="0"/>
          <w:color w:val="000000" w:themeColor="text1"/>
          <w:sz w:val="32"/>
          <w:szCs w:val="32"/>
        </w:rPr>
        <w:t>二、部门决算情况说明</w:t>
      </w:r>
    </w:p>
    <w:p w14:paraId="2E2A499A" w14:textId="77777777" w:rsidR="00D40777" w:rsidRDefault="00C77F36">
      <w:pPr>
        <w:pStyle w:val="a9"/>
        <w:shd w:val="clear" w:color="auto" w:fill="FFFFFF"/>
        <w:spacing w:before="0" w:beforeAutospacing="0" w:after="0" w:afterAutospacing="0" w:line="560" w:lineRule="exact"/>
        <w:ind w:firstLineChars="200" w:firstLine="640"/>
        <w:jc w:val="both"/>
        <w:outlineLvl w:val="0"/>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（一）收入支出决算总体情况说明</w:t>
      </w:r>
    </w:p>
    <w:p w14:paraId="27566A8B"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1.</w:t>
      </w:r>
      <w:r>
        <w:rPr>
          <w:rFonts w:ascii="方正仿宋_GBK" w:eastAsia="方正仿宋_GBK" w:hint="eastAsia"/>
          <w:b/>
          <w:color w:val="000000" w:themeColor="text1"/>
          <w:sz w:val="32"/>
          <w:szCs w:val="32"/>
        </w:rPr>
        <w:t>总体情况。</w:t>
      </w: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年度收入总计</w:t>
      </w:r>
      <w:r>
        <w:rPr>
          <w:rFonts w:ascii="方正仿宋_GBK" w:eastAsia="方正仿宋_GBK" w:hint="eastAsia"/>
          <w:color w:val="000000" w:themeColor="text1"/>
          <w:sz w:val="32"/>
          <w:szCs w:val="32"/>
        </w:rPr>
        <w:t>1032.57</w:t>
      </w:r>
      <w:r>
        <w:rPr>
          <w:rFonts w:ascii="方正仿宋_GBK" w:eastAsia="方正仿宋_GBK" w:hint="eastAsia"/>
          <w:color w:val="000000" w:themeColor="text1"/>
          <w:sz w:val="32"/>
          <w:szCs w:val="32"/>
        </w:rPr>
        <w:t>万元，支出总计</w:t>
      </w:r>
      <w:r>
        <w:rPr>
          <w:rFonts w:ascii="方正仿宋_GBK" w:eastAsia="方正仿宋_GBK" w:hint="eastAsia"/>
          <w:color w:val="000000" w:themeColor="text1"/>
          <w:sz w:val="32"/>
          <w:szCs w:val="32"/>
        </w:rPr>
        <w:t>1032.57</w:t>
      </w:r>
      <w:r>
        <w:rPr>
          <w:rFonts w:ascii="方正仿宋_GBK" w:eastAsia="方正仿宋_GBK" w:hint="eastAsia"/>
          <w:color w:val="000000" w:themeColor="text1"/>
          <w:sz w:val="32"/>
          <w:szCs w:val="32"/>
        </w:rPr>
        <w:t>万元。收支较上年决算数增加</w:t>
      </w:r>
      <w:r>
        <w:rPr>
          <w:rFonts w:ascii="方正仿宋_GBK" w:eastAsia="方正仿宋_GBK" w:hint="eastAsia"/>
          <w:color w:val="000000" w:themeColor="text1"/>
          <w:sz w:val="32"/>
          <w:szCs w:val="32"/>
        </w:rPr>
        <w:t>533.53</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106.9%</w:t>
      </w:r>
      <w:r>
        <w:rPr>
          <w:rFonts w:ascii="方正仿宋_GBK" w:eastAsia="方正仿宋_GBK" w:hint="eastAsia"/>
          <w:color w:val="000000" w:themeColor="text1"/>
          <w:sz w:val="32"/>
          <w:szCs w:val="32"/>
        </w:rPr>
        <w:t>，主要原因：涉农方面的专项增加</w:t>
      </w:r>
      <w:r>
        <w:rPr>
          <w:rFonts w:ascii="方正仿宋_GBK" w:eastAsia="方正仿宋_GBK" w:hint="eastAsia"/>
          <w:color w:val="000000" w:themeColor="text1"/>
          <w:sz w:val="32"/>
          <w:szCs w:val="32"/>
        </w:rPr>
        <w:t>360.37</w:t>
      </w:r>
      <w:r>
        <w:rPr>
          <w:rFonts w:ascii="方正仿宋_GBK" w:eastAsia="方正仿宋_GBK" w:hint="eastAsia"/>
          <w:color w:val="000000" w:themeColor="text1"/>
          <w:sz w:val="32"/>
          <w:szCs w:val="32"/>
        </w:rPr>
        <w:t>万元，烟花爆竹经营企业补偿方面增加</w:t>
      </w:r>
      <w:r>
        <w:rPr>
          <w:rFonts w:ascii="方正仿宋_GBK" w:eastAsia="方正仿宋_GBK" w:hint="eastAsia"/>
          <w:color w:val="000000" w:themeColor="text1"/>
          <w:sz w:val="32"/>
          <w:szCs w:val="32"/>
        </w:rPr>
        <w:t>67</w:t>
      </w:r>
      <w:r>
        <w:rPr>
          <w:rFonts w:ascii="方正仿宋_GBK" w:eastAsia="方正仿宋_GBK" w:hint="eastAsia"/>
          <w:color w:val="000000" w:themeColor="text1"/>
          <w:sz w:val="32"/>
          <w:szCs w:val="32"/>
        </w:rPr>
        <w:t>万元，专项工作经</w:t>
      </w:r>
      <w:r>
        <w:rPr>
          <w:rFonts w:ascii="方正仿宋_GBK" w:eastAsia="方正仿宋_GBK" w:hint="eastAsia"/>
          <w:color w:val="000000" w:themeColor="text1"/>
          <w:sz w:val="32"/>
          <w:szCs w:val="32"/>
        </w:rPr>
        <w:lastRenderedPageBreak/>
        <w:t>费调整与人员晋级调标、抚恤金等经费增加</w:t>
      </w:r>
      <w:r>
        <w:rPr>
          <w:rFonts w:ascii="方正仿宋_GBK" w:eastAsia="方正仿宋_GBK" w:hint="eastAsia"/>
          <w:color w:val="000000" w:themeColor="text1"/>
          <w:sz w:val="32"/>
          <w:szCs w:val="32"/>
        </w:rPr>
        <w:t>106.16</w:t>
      </w:r>
      <w:r>
        <w:rPr>
          <w:rFonts w:ascii="方正仿宋_GBK" w:eastAsia="方正仿宋_GBK" w:hint="eastAsia"/>
          <w:color w:val="000000" w:themeColor="text1"/>
          <w:sz w:val="32"/>
          <w:szCs w:val="32"/>
        </w:rPr>
        <w:t>万元。本部分的收入总计包括收入合计、用事业基金弥补收支差额、年初结转和结余，支出总计包括本年支出合计、结余分配、年末结转和结余。</w:t>
      </w:r>
    </w:p>
    <w:p w14:paraId="394228EB"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2.</w:t>
      </w:r>
      <w:r>
        <w:rPr>
          <w:rFonts w:ascii="方正仿宋_GBK" w:eastAsia="方正仿宋_GBK" w:hint="eastAsia"/>
          <w:b/>
          <w:color w:val="000000" w:themeColor="text1"/>
          <w:sz w:val="32"/>
          <w:szCs w:val="32"/>
        </w:rPr>
        <w:t>收入情况。</w:t>
      </w: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年度收入合计</w:t>
      </w:r>
      <w:r>
        <w:rPr>
          <w:rFonts w:ascii="方正仿宋_GBK" w:eastAsia="方正仿宋_GBK" w:hint="eastAsia"/>
          <w:color w:val="000000" w:themeColor="text1"/>
          <w:sz w:val="32"/>
          <w:szCs w:val="32"/>
        </w:rPr>
        <w:t>1032.57</w:t>
      </w:r>
      <w:r>
        <w:rPr>
          <w:rFonts w:ascii="方正仿宋_GBK" w:eastAsia="方正仿宋_GBK" w:hint="eastAsia"/>
          <w:color w:val="000000" w:themeColor="text1"/>
          <w:sz w:val="32"/>
          <w:szCs w:val="32"/>
        </w:rPr>
        <w:t>万元，较上年决算数增加</w:t>
      </w:r>
      <w:r>
        <w:rPr>
          <w:rFonts w:ascii="方正仿宋_GBK" w:eastAsia="方正仿宋_GBK" w:hint="eastAsia"/>
          <w:color w:val="000000" w:themeColor="text1"/>
          <w:sz w:val="32"/>
          <w:szCs w:val="32"/>
        </w:rPr>
        <w:t>533.53</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106.9%</w:t>
      </w:r>
      <w:r>
        <w:rPr>
          <w:rFonts w:ascii="方正仿宋_GBK" w:eastAsia="方正仿宋_GBK" w:hint="eastAsia"/>
          <w:color w:val="000000" w:themeColor="text1"/>
          <w:sz w:val="32"/>
          <w:szCs w:val="32"/>
        </w:rPr>
        <w:t>，主要原因</w:t>
      </w:r>
      <w:r>
        <w:rPr>
          <w:rFonts w:ascii="方正仿宋_GBK" w:eastAsia="方正仿宋_GBK" w:hint="eastAsia"/>
          <w:color w:val="000000" w:themeColor="text1"/>
          <w:sz w:val="32"/>
          <w:szCs w:val="32"/>
        </w:rPr>
        <w:t>：涉农方面的专项增加</w:t>
      </w:r>
      <w:r>
        <w:rPr>
          <w:rFonts w:ascii="方正仿宋_GBK" w:eastAsia="方正仿宋_GBK" w:hint="eastAsia"/>
          <w:color w:val="000000" w:themeColor="text1"/>
          <w:sz w:val="32"/>
          <w:szCs w:val="32"/>
        </w:rPr>
        <w:t>360.37</w:t>
      </w:r>
      <w:r>
        <w:rPr>
          <w:rFonts w:ascii="方正仿宋_GBK" w:eastAsia="方正仿宋_GBK" w:hint="eastAsia"/>
          <w:color w:val="000000" w:themeColor="text1"/>
          <w:sz w:val="32"/>
          <w:szCs w:val="32"/>
        </w:rPr>
        <w:t>万元，烟花爆竹经营企业补偿方面增加</w:t>
      </w:r>
      <w:r>
        <w:rPr>
          <w:rFonts w:ascii="方正仿宋_GBK" w:eastAsia="方正仿宋_GBK" w:hint="eastAsia"/>
          <w:color w:val="000000" w:themeColor="text1"/>
          <w:sz w:val="32"/>
          <w:szCs w:val="32"/>
        </w:rPr>
        <w:t>67</w:t>
      </w:r>
      <w:r>
        <w:rPr>
          <w:rFonts w:ascii="方正仿宋_GBK" w:eastAsia="方正仿宋_GBK" w:hint="eastAsia"/>
          <w:color w:val="000000" w:themeColor="text1"/>
          <w:sz w:val="32"/>
          <w:szCs w:val="32"/>
        </w:rPr>
        <w:t>万元，专项工作经费调整与人员晋级调标、抚恤金等经费增加</w:t>
      </w:r>
      <w:r>
        <w:rPr>
          <w:rFonts w:ascii="方正仿宋_GBK" w:eastAsia="方正仿宋_GBK" w:hint="eastAsia"/>
          <w:color w:val="000000" w:themeColor="text1"/>
          <w:sz w:val="32"/>
          <w:szCs w:val="32"/>
        </w:rPr>
        <w:t>106.16</w:t>
      </w:r>
      <w:r>
        <w:rPr>
          <w:rFonts w:ascii="方正仿宋_GBK" w:eastAsia="方正仿宋_GBK" w:hint="eastAsia"/>
          <w:color w:val="000000" w:themeColor="text1"/>
          <w:sz w:val="32"/>
          <w:szCs w:val="32"/>
        </w:rPr>
        <w:t>万元。其中：财政拨款收入</w:t>
      </w:r>
      <w:r>
        <w:rPr>
          <w:rFonts w:ascii="方正仿宋_GBK" w:eastAsia="方正仿宋_GBK" w:hint="eastAsia"/>
          <w:color w:val="000000" w:themeColor="text1"/>
          <w:sz w:val="32"/>
          <w:szCs w:val="32"/>
        </w:rPr>
        <w:t>1032.57</w:t>
      </w:r>
      <w:r>
        <w:rPr>
          <w:rFonts w:ascii="方正仿宋_GBK" w:eastAsia="方正仿宋_GBK" w:hint="eastAsia"/>
          <w:color w:val="000000" w:themeColor="text1"/>
          <w:sz w:val="32"/>
          <w:szCs w:val="32"/>
        </w:rPr>
        <w:t>万元，占</w:t>
      </w:r>
      <w:r>
        <w:rPr>
          <w:rFonts w:ascii="方正仿宋_GBK" w:eastAsia="方正仿宋_GBK" w:hint="eastAsia"/>
          <w:color w:val="000000" w:themeColor="text1"/>
          <w:sz w:val="32"/>
          <w:szCs w:val="32"/>
        </w:rPr>
        <w:t>100%</w:t>
      </w:r>
      <w:r>
        <w:rPr>
          <w:rFonts w:ascii="方正仿宋_GBK" w:eastAsia="方正仿宋_GBK" w:hint="eastAsia"/>
          <w:color w:val="000000" w:themeColor="text1"/>
          <w:sz w:val="32"/>
          <w:szCs w:val="32"/>
        </w:rPr>
        <w:t>。</w:t>
      </w:r>
    </w:p>
    <w:p w14:paraId="3A2891B8"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3.</w:t>
      </w:r>
      <w:r>
        <w:rPr>
          <w:rFonts w:ascii="方正仿宋_GBK" w:eastAsia="方正仿宋_GBK" w:hint="eastAsia"/>
          <w:b/>
          <w:color w:val="000000" w:themeColor="text1"/>
          <w:sz w:val="32"/>
          <w:szCs w:val="32"/>
        </w:rPr>
        <w:t>支出情况。</w:t>
      </w: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年度支出合计</w:t>
      </w:r>
      <w:r>
        <w:rPr>
          <w:rFonts w:ascii="方正仿宋_GBK" w:eastAsia="方正仿宋_GBK" w:hint="eastAsia"/>
          <w:color w:val="000000" w:themeColor="text1"/>
          <w:sz w:val="32"/>
          <w:szCs w:val="32"/>
        </w:rPr>
        <w:t>1032.57</w:t>
      </w:r>
      <w:r>
        <w:rPr>
          <w:rFonts w:ascii="方正仿宋_GBK" w:eastAsia="方正仿宋_GBK" w:hint="eastAsia"/>
          <w:color w:val="000000" w:themeColor="text1"/>
          <w:sz w:val="32"/>
          <w:szCs w:val="32"/>
        </w:rPr>
        <w:t>万元，较上年决算数增加</w:t>
      </w:r>
      <w:r>
        <w:rPr>
          <w:rFonts w:ascii="方正仿宋_GBK" w:eastAsia="方正仿宋_GBK" w:hint="eastAsia"/>
          <w:color w:val="000000" w:themeColor="text1"/>
          <w:sz w:val="32"/>
          <w:szCs w:val="32"/>
        </w:rPr>
        <w:t>533.53</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106.9%</w:t>
      </w:r>
      <w:r>
        <w:rPr>
          <w:rFonts w:ascii="方正仿宋_GBK" w:eastAsia="方正仿宋_GBK" w:hint="eastAsia"/>
          <w:color w:val="000000" w:themeColor="text1"/>
          <w:sz w:val="32"/>
          <w:szCs w:val="32"/>
        </w:rPr>
        <w:t>，主要原因：涉农方面的专项增加</w:t>
      </w:r>
      <w:r>
        <w:rPr>
          <w:rFonts w:ascii="方正仿宋_GBK" w:eastAsia="方正仿宋_GBK" w:hint="eastAsia"/>
          <w:color w:val="000000" w:themeColor="text1"/>
          <w:sz w:val="32"/>
          <w:szCs w:val="32"/>
        </w:rPr>
        <w:t>360.37</w:t>
      </w:r>
      <w:r>
        <w:rPr>
          <w:rFonts w:ascii="方正仿宋_GBK" w:eastAsia="方正仿宋_GBK" w:hint="eastAsia"/>
          <w:color w:val="000000" w:themeColor="text1"/>
          <w:sz w:val="32"/>
          <w:szCs w:val="32"/>
        </w:rPr>
        <w:t>万元，烟花爆竹经营企业补偿方面增加</w:t>
      </w:r>
      <w:r>
        <w:rPr>
          <w:rFonts w:ascii="方正仿宋_GBK" w:eastAsia="方正仿宋_GBK" w:hint="eastAsia"/>
          <w:color w:val="000000" w:themeColor="text1"/>
          <w:sz w:val="32"/>
          <w:szCs w:val="32"/>
        </w:rPr>
        <w:t>67</w:t>
      </w:r>
      <w:r>
        <w:rPr>
          <w:rFonts w:ascii="方正仿宋_GBK" w:eastAsia="方正仿宋_GBK" w:hint="eastAsia"/>
          <w:color w:val="000000" w:themeColor="text1"/>
          <w:sz w:val="32"/>
          <w:szCs w:val="32"/>
        </w:rPr>
        <w:t>万元，专项工作经费调整与人员晋级调标、抚恤金等经费增加</w:t>
      </w:r>
      <w:r>
        <w:rPr>
          <w:rFonts w:ascii="方正仿宋_GBK" w:eastAsia="方正仿宋_GBK" w:hint="eastAsia"/>
          <w:color w:val="000000" w:themeColor="text1"/>
          <w:sz w:val="32"/>
          <w:szCs w:val="32"/>
        </w:rPr>
        <w:t>106.16</w:t>
      </w:r>
      <w:r>
        <w:rPr>
          <w:rFonts w:ascii="方正仿宋_GBK" w:eastAsia="方正仿宋_GBK" w:hint="eastAsia"/>
          <w:color w:val="000000" w:themeColor="text1"/>
          <w:sz w:val="32"/>
          <w:szCs w:val="32"/>
        </w:rPr>
        <w:t>万元。其中：基本支出</w:t>
      </w:r>
      <w:r>
        <w:rPr>
          <w:rFonts w:ascii="方正仿宋_GBK" w:eastAsia="方正仿宋_GBK" w:hint="eastAsia"/>
          <w:color w:val="000000" w:themeColor="text1"/>
          <w:sz w:val="32"/>
          <w:szCs w:val="32"/>
        </w:rPr>
        <w:t>479.8</w:t>
      </w:r>
      <w:r>
        <w:rPr>
          <w:rFonts w:ascii="方正仿宋_GBK" w:eastAsia="方正仿宋_GBK" w:hint="eastAsia"/>
          <w:color w:val="000000" w:themeColor="text1"/>
          <w:sz w:val="32"/>
          <w:szCs w:val="32"/>
        </w:rPr>
        <w:t>万元，占</w:t>
      </w:r>
      <w:r>
        <w:rPr>
          <w:rFonts w:ascii="方正仿宋_GBK" w:eastAsia="方正仿宋_GBK" w:hint="eastAsia"/>
          <w:color w:val="000000" w:themeColor="text1"/>
          <w:sz w:val="32"/>
          <w:szCs w:val="32"/>
        </w:rPr>
        <w:t>46.5%</w:t>
      </w:r>
      <w:r>
        <w:rPr>
          <w:rFonts w:ascii="方正仿宋_GBK" w:eastAsia="方正仿宋_GBK" w:hint="eastAsia"/>
          <w:color w:val="000000" w:themeColor="text1"/>
          <w:sz w:val="32"/>
          <w:szCs w:val="32"/>
        </w:rPr>
        <w:t>；项目支出</w:t>
      </w:r>
      <w:r>
        <w:rPr>
          <w:rFonts w:ascii="方正仿宋_GBK" w:eastAsia="方正仿宋_GBK" w:hint="eastAsia"/>
          <w:color w:val="000000" w:themeColor="text1"/>
          <w:sz w:val="32"/>
          <w:szCs w:val="32"/>
        </w:rPr>
        <w:t>552.77</w:t>
      </w:r>
      <w:r>
        <w:rPr>
          <w:rFonts w:ascii="方正仿宋_GBK" w:eastAsia="方正仿宋_GBK" w:hint="eastAsia"/>
          <w:color w:val="000000" w:themeColor="text1"/>
          <w:sz w:val="32"/>
          <w:szCs w:val="32"/>
        </w:rPr>
        <w:t>万元，占</w:t>
      </w:r>
      <w:r>
        <w:rPr>
          <w:rFonts w:ascii="方正仿宋_GBK" w:eastAsia="方正仿宋_GBK" w:hint="eastAsia"/>
          <w:color w:val="000000" w:themeColor="text1"/>
          <w:sz w:val="32"/>
          <w:szCs w:val="32"/>
        </w:rPr>
        <w:t>53.5%</w:t>
      </w:r>
      <w:r>
        <w:rPr>
          <w:rFonts w:ascii="方正仿宋_GBK" w:eastAsia="方正仿宋_GBK" w:hint="eastAsia"/>
          <w:color w:val="000000" w:themeColor="text1"/>
          <w:sz w:val="32"/>
          <w:szCs w:val="32"/>
        </w:rPr>
        <w:t>。</w:t>
      </w:r>
    </w:p>
    <w:p w14:paraId="416B0B39"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4.</w:t>
      </w:r>
      <w:r>
        <w:rPr>
          <w:rFonts w:ascii="方正仿宋_GBK" w:eastAsia="方正仿宋_GBK" w:hint="eastAsia"/>
          <w:b/>
          <w:color w:val="000000" w:themeColor="text1"/>
          <w:sz w:val="32"/>
          <w:szCs w:val="32"/>
        </w:rPr>
        <w:t>结转结余情况。</w:t>
      </w: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年度无年末结转和结余。</w:t>
      </w:r>
    </w:p>
    <w:p w14:paraId="429A5935" w14:textId="77777777" w:rsidR="00D40777" w:rsidRDefault="00C77F36">
      <w:pPr>
        <w:pStyle w:val="a9"/>
        <w:shd w:val="clear" w:color="auto" w:fill="FFFFFF"/>
        <w:spacing w:before="0" w:beforeAutospacing="0" w:after="0" w:afterAutospacing="0" w:line="560" w:lineRule="exact"/>
        <w:ind w:firstLineChars="200" w:firstLine="640"/>
        <w:jc w:val="both"/>
        <w:outlineLvl w:val="0"/>
        <w:rPr>
          <w:rStyle w:val="aa"/>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（二）财政拨款收入支出决算总体情况说明</w:t>
      </w:r>
    </w:p>
    <w:p w14:paraId="365D1561" w14:textId="77777777" w:rsidR="00D40777" w:rsidRDefault="00C77F36">
      <w:pPr>
        <w:pStyle w:val="a9"/>
        <w:shd w:val="clear" w:color="auto" w:fill="FFFFFF"/>
        <w:spacing w:before="0" w:beforeAutospacing="0" w:after="0" w:afterAutospacing="0" w:line="560" w:lineRule="exact"/>
        <w:ind w:firstLineChars="200" w:firstLine="640"/>
        <w:jc w:val="both"/>
        <w:outlineLvl w:val="0"/>
        <w:rPr>
          <w:rFonts w:ascii="方正仿宋_GBK" w:eastAsia="方正仿宋_GBK"/>
          <w:color w:val="000000" w:themeColor="text1"/>
          <w:sz w:val="32"/>
          <w:szCs w:val="32"/>
        </w:rPr>
      </w:pP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年度财政拨款收、支总计</w:t>
      </w:r>
      <w:r>
        <w:rPr>
          <w:rFonts w:ascii="方正仿宋_GBK" w:eastAsia="方正仿宋_GBK" w:hint="eastAsia"/>
          <w:color w:val="000000" w:themeColor="text1"/>
          <w:sz w:val="32"/>
          <w:szCs w:val="32"/>
        </w:rPr>
        <w:t>1032.57</w:t>
      </w:r>
      <w:r>
        <w:rPr>
          <w:rFonts w:ascii="方正仿宋_GBK" w:eastAsia="方正仿宋_GBK" w:hint="eastAsia"/>
          <w:color w:val="000000" w:themeColor="text1"/>
          <w:sz w:val="32"/>
          <w:szCs w:val="32"/>
        </w:rPr>
        <w:t>万元。与</w:t>
      </w:r>
      <w:r>
        <w:rPr>
          <w:rFonts w:ascii="方正仿宋_GBK" w:eastAsia="方正仿宋_GBK" w:hint="eastAsia"/>
          <w:color w:val="000000" w:themeColor="text1"/>
          <w:sz w:val="32"/>
          <w:szCs w:val="32"/>
        </w:rPr>
        <w:t xml:space="preserve">2019 </w:t>
      </w:r>
      <w:r>
        <w:rPr>
          <w:rFonts w:ascii="方正仿宋_GBK" w:eastAsia="方正仿宋_GBK" w:hint="eastAsia"/>
          <w:color w:val="000000" w:themeColor="text1"/>
          <w:sz w:val="32"/>
          <w:szCs w:val="32"/>
        </w:rPr>
        <w:t>年相比，财政拨款收、支总计各增加</w:t>
      </w:r>
      <w:r>
        <w:rPr>
          <w:rFonts w:ascii="方正仿宋_GBK" w:eastAsia="方正仿宋_GBK" w:hint="eastAsia"/>
          <w:color w:val="000000" w:themeColor="text1"/>
          <w:sz w:val="32"/>
          <w:szCs w:val="32"/>
        </w:rPr>
        <w:t>533.53</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 xml:space="preserve"> 106.9%</w:t>
      </w:r>
      <w:r>
        <w:rPr>
          <w:rFonts w:ascii="方正仿宋_GBK" w:eastAsia="方正仿宋_GBK" w:hint="eastAsia"/>
          <w:color w:val="000000" w:themeColor="text1"/>
          <w:sz w:val="32"/>
          <w:szCs w:val="32"/>
        </w:rPr>
        <w:t>。主要原因：涉农方面的专项增加</w:t>
      </w:r>
      <w:r>
        <w:rPr>
          <w:rFonts w:ascii="方正仿宋_GBK" w:eastAsia="方正仿宋_GBK" w:hint="eastAsia"/>
          <w:color w:val="000000" w:themeColor="text1"/>
          <w:sz w:val="32"/>
          <w:szCs w:val="32"/>
        </w:rPr>
        <w:t>360.37</w:t>
      </w:r>
      <w:r>
        <w:rPr>
          <w:rFonts w:ascii="方正仿宋_GBK" w:eastAsia="方正仿宋_GBK" w:hint="eastAsia"/>
          <w:color w:val="000000" w:themeColor="text1"/>
          <w:sz w:val="32"/>
          <w:szCs w:val="32"/>
        </w:rPr>
        <w:t>万</w:t>
      </w:r>
      <w:r>
        <w:rPr>
          <w:rFonts w:ascii="方正仿宋_GBK" w:eastAsia="方正仿宋_GBK" w:hint="eastAsia"/>
          <w:color w:val="000000" w:themeColor="text1"/>
          <w:sz w:val="32"/>
          <w:szCs w:val="32"/>
        </w:rPr>
        <w:lastRenderedPageBreak/>
        <w:t>元，烟花爆竹经营企业补偿方面增加</w:t>
      </w:r>
      <w:r>
        <w:rPr>
          <w:rFonts w:ascii="方正仿宋_GBK" w:eastAsia="方正仿宋_GBK" w:hint="eastAsia"/>
          <w:color w:val="000000" w:themeColor="text1"/>
          <w:sz w:val="32"/>
          <w:szCs w:val="32"/>
        </w:rPr>
        <w:t>67</w:t>
      </w:r>
      <w:r>
        <w:rPr>
          <w:rFonts w:ascii="方正仿宋_GBK" w:eastAsia="方正仿宋_GBK" w:hint="eastAsia"/>
          <w:color w:val="000000" w:themeColor="text1"/>
          <w:sz w:val="32"/>
          <w:szCs w:val="32"/>
        </w:rPr>
        <w:t>万元，专项工作经费调整与人员晋级调标、抚恤金等经费增加</w:t>
      </w:r>
      <w:r>
        <w:rPr>
          <w:rFonts w:ascii="方正仿宋_GBK" w:eastAsia="方正仿宋_GBK" w:hint="eastAsia"/>
          <w:color w:val="000000" w:themeColor="text1"/>
          <w:sz w:val="32"/>
          <w:szCs w:val="32"/>
        </w:rPr>
        <w:t>106.16</w:t>
      </w:r>
      <w:r>
        <w:rPr>
          <w:rFonts w:ascii="方正仿宋_GBK" w:eastAsia="方正仿宋_GBK" w:hint="eastAsia"/>
          <w:color w:val="000000" w:themeColor="text1"/>
          <w:sz w:val="32"/>
          <w:szCs w:val="32"/>
        </w:rPr>
        <w:t>元。</w:t>
      </w:r>
    </w:p>
    <w:p w14:paraId="2C09FCE3" w14:textId="77777777" w:rsidR="00D40777" w:rsidRDefault="00C77F36">
      <w:pPr>
        <w:pStyle w:val="a9"/>
        <w:shd w:val="clear" w:color="auto" w:fill="FFFFFF"/>
        <w:spacing w:before="0" w:beforeAutospacing="0" w:after="0" w:afterAutospacing="0" w:line="560" w:lineRule="exact"/>
        <w:ind w:firstLineChars="200" w:firstLine="640"/>
        <w:jc w:val="both"/>
        <w:outlineLvl w:val="0"/>
        <w:rPr>
          <w:rStyle w:val="aa"/>
          <w:color w:val="000000" w:themeColor="text1"/>
        </w:rPr>
      </w:pPr>
      <w:r>
        <w:rPr>
          <w:rStyle w:val="aa"/>
          <w:rFonts w:ascii="方正仿宋_GBK" w:eastAsia="方正仿宋_GBK" w:hint="eastAsia"/>
          <w:color w:val="000000" w:themeColor="text1"/>
          <w:sz w:val="32"/>
          <w:szCs w:val="32"/>
        </w:rPr>
        <w:t>（三）一般公共预算财政拨款支出决算情况说明</w:t>
      </w:r>
    </w:p>
    <w:p w14:paraId="1637515B" w14:textId="77777777" w:rsidR="00D40777" w:rsidRDefault="00C77F36">
      <w:pPr>
        <w:pStyle w:val="a9"/>
        <w:shd w:val="clear" w:color="auto" w:fill="FFFFFF"/>
        <w:spacing w:before="0" w:beforeAutospacing="0" w:after="0" w:afterAutospacing="0" w:line="560" w:lineRule="exact"/>
        <w:ind w:firstLineChars="200" w:firstLine="640"/>
        <w:jc w:val="both"/>
        <w:rPr>
          <w:color w:val="000000" w:themeColor="text1"/>
        </w:rPr>
      </w:pPr>
      <w:r>
        <w:rPr>
          <w:rFonts w:ascii="方正仿宋_GBK" w:eastAsia="方正仿宋_GBK" w:hint="eastAsia"/>
          <w:b/>
          <w:color w:val="000000" w:themeColor="text1"/>
          <w:sz w:val="32"/>
          <w:szCs w:val="32"/>
        </w:rPr>
        <w:t>1.</w:t>
      </w:r>
      <w:r>
        <w:rPr>
          <w:rFonts w:ascii="方正仿宋_GBK" w:eastAsia="方正仿宋_GBK" w:hint="eastAsia"/>
          <w:b/>
          <w:color w:val="000000" w:themeColor="text1"/>
          <w:sz w:val="32"/>
          <w:szCs w:val="32"/>
        </w:rPr>
        <w:t>收入情况。</w:t>
      </w: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年度一般公共预算财政拨款收入</w:t>
      </w:r>
      <w:r>
        <w:rPr>
          <w:rFonts w:ascii="方正仿宋_GBK" w:eastAsia="方正仿宋_GBK" w:hint="eastAsia"/>
          <w:color w:val="000000" w:themeColor="text1"/>
          <w:sz w:val="32"/>
          <w:szCs w:val="32"/>
        </w:rPr>
        <w:t>1032.57</w:t>
      </w:r>
      <w:r>
        <w:rPr>
          <w:rFonts w:ascii="方正仿宋_GBK" w:eastAsia="方正仿宋_GBK" w:hint="eastAsia"/>
          <w:color w:val="000000" w:themeColor="text1"/>
          <w:sz w:val="32"/>
          <w:szCs w:val="32"/>
        </w:rPr>
        <w:t>万元，较上年决算数增加</w:t>
      </w:r>
      <w:r>
        <w:rPr>
          <w:rFonts w:ascii="方正仿宋_GBK" w:eastAsia="方正仿宋_GBK" w:hint="eastAsia"/>
          <w:color w:val="000000" w:themeColor="text1"/>
          <w:sz w:val="32"/>
          <w:szCs w:val="32"/>
        </w:rPr>
        <w:t>533.53</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106.9%</w:t>
      </w:r>
      <w:r>
        <w:rPr>
          <w:rFonts w:ascii="方正仿宋_GBK" w:eastAsia="方正仿宋_GBK" w:hint="eastAsia"/>
          <w:color w:val="000000" w:themeColor="text1"/>
          <w:sz w:val="32"/>
          <w:szCs w:val="32"/>
        </w:rPr>
        <w:t>，主要原因是涉农方面专项增加</w:t>
      </w:r>
      <w:r>
        <w:rPr>
          <w:rFonts w:ascii="方正仿宋_GBK" w:eastAsia="方正仿宋_GBK" w:hint="eastAsia"/>
          <w:color w:val="000000" w:themeColor="text1"/>
          <w:sz w:val="32"/>
          <w:szCs w:val="32"/>
        </w:rPr>
        <w:t>360.37</w:t>
      </w:r>
      <w:r>
        <w:rPr>
          <w:rFonts w:ascii="方正仿宋_GBK" w:eastAsia="方正仿宋_GBK" w:hint="eastAsia"/>
          <w:color w:val="000000" w:themeColor="text1"/>
          <w:sz w:val="32"/>
          <w:szCs w:val="32"/>
        </w:rPr>
        <w:t>万元，烟花爆竹经营企业补偿方面增加</w:t>
      </w:r>
      <w:r>
        <w:rPr>
          <w:rFonts w:ascii="方正仿宋_GBK" w:eastAsia="方正仿宋_GBK" w:hint="eastAsia"/>
          <w:color w:val="000000" w:themeColor="text1"/>
          <w:sz w:val="32"/>
          <w:szCs w:val="32"/>
        </w:rPr>
        <w:t>67</w:t>
      </w:r>
      <w:r>
        <w:rPr>
          <w:rFonts w:ascii="方正仿宋_GBK" w:eastAsia="方正仿宋_GBK" w:hint="eastAsia"/>
          <w:color w:val="000000" w:themeColor="text1"/>
          <w:sz w:val="32"/>
          <w:szCs w:val="32"/>
        </w:rPr>
        <w:t>万元，专项工作经费调整与人员晋级调标、抚恤金等经费增加</w:t>
      </w:r>
      <w:r>
        <w:rPr>
          <w:rFonts w:ascii="方正仿宋_GBK" w:eastAsia="方正仿宋_GBK" w:hint="eastAsia"/>
          <w:color w:val="000000" w:themeColor="text1"/>
          <w:sz w:val="32"/>
          <w:szCs w:val="32"/>
        </w:rPr>
        <w:t>106.16</w:t>
      </w:r>
      <w:r>
        <w:rPr>
          <w:rFonts w:ascii="方正仿宋_GBK" w:eastAsia="方正仿宋_GBK" w:hint="eastAsia"/>
          <w:color w:val="000000" w:themeColor="text1"/>
          <w:sz w:val="32"/>
          <w:szCs w:val="32"/>
        </w:rPr>
        <w:t>万元。。较年初预</w:t>
      </w:r>
      <w:r>
        <w:rPr>
          <w:rFonts w:ascii="方正仿宋_GBK" w:eastAsia="方正仿宋_GBK" w:hint="eastAsia"/>
          <w:color w:val="000000" w:themeColor="text1"/>
          <w:sz w:val="32"/>
          <w:szCs w:val="32"/>
        </w:rPr>
        <w:t>算数增加</w:t>
      </w:r>
      <w:r>
        <w:rPr>
          <w:rFonts w:eastAsia="方正仿宋_GBK" w:hint="eastAsia"/>
          <w:color w:val="000000" w:themeColor="text1"/>
          <w:sz w:val="32"/>
          <w:szCs w:val="32"/>
        </w:rPr>
        <w:t>613.93</w:t>
      </w:r>
      <w:r>
        <w:rPr>
          <w:rFonts w:ascii="方正仿宋_GBK" w:eastAsia="方正仿宋_GBK" w:hint="eastAsia"/>
          <w:color w:val="000000" w:themeColor="text1"/>
          <w:sz w:val="32"/>
          <w:szCs w:val="32"/>
        </w:rPr>
        <w:t>万元，增长</w:t>
      </w:r>
      <w:r>
        <w:rPr>
          <w:rFonts w:eastAsia="方正仿宋_GBK" w:hint="eastAsia"/>
          <w:color w:val="000000" w:themeColor="text1"/>
          <w:sz w:val="32"/>
          <w:szCs w:val="32"/>
        </w:rPr>
        <w:t>146.6</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。主要原因是：涉农方面专项增加</w:t>
      </w:r>
      <w:r>
        <w:rPr>
          <w:rFonts w:ascii="方正仿宋_GBK" w:eastAsia="方正仿宋_GBK" w:hint="eastAsia"/>
          <w:color w:val="000000" w:themeColor="text1"/>
          <w:sz w:val="32"/>
          <w:szCs w:val="32"/>
        </w:rPr>
        <w:t>419.6</w:t>
      </w:r>
      <w:r>
        <w:rPr>
          <w:rFonts w:ascii="方正仿宋_GBK" w:eastAsia="方正仿宋_GBK" w:hint="eastAsia"/>
          <w:color w:val="000000" w:themeColor="text1"/>
          <w:sz w:val="32"/>
          <w:szCs w:val="32"/>
        </w:rPr>
        <w:t>万元，烟花爆竹经营企业补偿方面增加</w:t>
      </w:r>
      <w:r>
        <w:rPr>
          <w:rFonts w:ascii="方正仿宋_GBK" w:eastAsia="方正仿宋_GBK" w:hint="eastAsia"/>
          <w:color w:val="000000" w:themeColor="text1"/>
          <w:sz w:val="32"/>
          <w:szCs w:val="32"/>
        </w:rPr>
        <w:t>117</w:t>
      </w:r>
      <w:r>
        <w:rPr>
          <w:rFonts w:ascii="方正仿宋_GBK" w:eastAsia="方正仿宋_GBK" w:hint="eastAsia"/>
          <w:color w:val="000000" w:themeColor="text1"/>
          <w:sz w:val="32"/>
          <w:szCs w:val="32"/>
        </w:rPr>
        <w:t>万元，专项工作经费调整与人员晋级调标、抚恤金等经费增加</w:t>
      </w:r>
      <w:r>
        <w:rPr>
          <w:rFonts w:ascii="方正仿宋_GBK" w:eastAsia="方正仿宋_GBK" w:hint="eastAsia"/>
          <w:color w:val="000000" w:themeColor="text1"/>
          <w:sz w:val="32"/>
          <w:szCs w:val="32"/>
        </w:rPr>
        <w:t>77.33</w:t>
      </w:r>
      <w:r>
        <w:rPr>
          <w:rFonts w:ascii="方正仿宋_GBK" w:eastAsia="方正仿宋_GBK" w:hint="eastAsia"/>
          <w:color w:val="000000" w:themeColor="text1"/>
          <w:sz w:val="32"/>
          <w:szCs w:val="32"/>
        </w:rPr>
        <w:t>万元。此外，年初财政拨款无结转和结余。</w:t>
      </w:r>
    </w:p>
    <w:p w14:paraId="6338CF12" w14:textId="77777777" w:rsidR="00D40777" w:rsidRDefault="00C77F36">
      <w:pPr>
        <w:spacing w:line="594" w:lineRule="exact"/>
        <w:ind w:firstLineChars="200" w:firstLine="640"/>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2.</w:t>
      </w:r>
      <w:r>
        <w:rPr>
          <w:rFonts w:ascii="方正仿宋_GBK" w:eastAsia="方正仿宋_GBK" w:hint="eastAsia"/>
          <w:b/>
          <w:color w:val="000000" w:themeColor="text1"/>
          <w:sz w:val="32"/>
          <w:szCs w:val="32"/>
        </w:rPr>
        <w:t>支出情况。</w:t>
      </w: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年度一般公共预算财政拨款支出</w:t>
      </w:r>
      <w:r>
        <w:rPr>
          <w:rFonts w:ascii="方正仿宋_GBK" w:eastAsia="方正仿宋_GBK" w:hint="eastAsia"/>
          <w:color w:val="000000" w:themeColor="text1"/>
          <w:sz w:val="32"/>
          <w:szCs w:val="32"/>
        </w:rPr>
        <w:t>1032.57</w:t>
      </w:r>
      <w:r>
        <w:rPr>
          <w:rFonts w:ascii="方正仿宋_GBK" w:eastAsia="方正仿宋_GBK" w:hint="eastAsia"/>
          <w:color w:val="000000" w:themeColor="text1"/>
          <w:sz w:val="32"/>
          <w:szCs w:val="32"/>
        </w:rPr>
        <w:t>万元，较上年决算数增加</w:t>
      </w:r>
      <w:r>
        <w:rPr>
          <w:rFonts w:ascii="方正仿宋_GBK" w:eastAsia="方正仿宋_GBK" w:hint="eastAsia"/>
          <w:color w:val="000000" w:themeColor="text1"/>
          <w:sz w:val="32"/>
          <w:szCs w:val="32"/>
        </w:rPr>
        <w:t>533.53</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106.9%</w:t>
      </w:r>
      <w:r>
        <w:rPr>
          <w:rFonts w:ascii="方正仿宋_GBK" w:eastAsia="方正仿宋_GBK" w:hint="eastAsia"/>
          <w:color w:val="000000" w:themeColor="text1"/>
          <w:sz w:val="32"/>
          <w:szCs w:val="32"/>
        </w:rPr>
        <w:t>，主要原因是：经费涉农方面增加</w:t>
      </w:r>
      <w:r>
        <w:rPr>
          <w:rFonts w:ascii="方正仿宋_GBK" w:eastAsia="方正仿宋_GBK" w:hint="eastAsia"/>
          <w:color w:val="000000" w:themeColor="text1"/>
          <w:sz w:val="32"/>
          <w:szCs w:val="32"/>
        </w:rPr>
        <w:t>360.37</w:t>
      </w:r>
      <w:r>
        <w:rPr>
          <w:rFonts w:ascii="方正仿宋_GBK" w:eastAsia="方正仿宋_GBK" w:hint="eastAsia"/>
          <w:color w:val="000000" w:themeColor="text1"/>
          <w:sz w:val="32"/>
          <w:szCs w:val="32"/>
        </w:rPr>
        <w:t>万元，烟花爆竹经营企业补偿方面增加</w:t>
      </w:r>
      <w:r>
        <w:rPr>
          <w:rFonts w:ascii="方正仿宋_GBK" w:eastAsia="方正仿宋_GBK" w:hint="eastAsia"/>
          <w:color w:val="000000" w:themeColor="text1"/>
          <w:sz w:val="32"/>
          <w:szCs w:val="32"/>
        </w:rPr>
        <w:t>67</w:t>
      </w:r>
      <w:r>
        <w:rPr>
          <w:rFonts w:ascii="方正仿宋_GBK" w:eastAsia="方正仿宋_GBK" w:hint="eastAsia"/>
          <w:color w:val="000000" w:themeColor="text1"/>
          <w:sz w:val="32"/>
          <w:szCs w:val="32"/>
        </w:rPr>
        <w:t>万元，专项工作经费调整与人员晋级调标、抚恤金等经费增加</w:t>
      </w:r>
      <w:r>
        <w:rPr>
          <w:rFonts w:ascii="方正仿宋_GBK" w:eastAsia="方正仿宋_GBK" w:hint="eastAsia"/>
          <w:color w:val="000000" w:themeColor="text1"/>
          <w:sz w:val="32"/>
          <w:szCs w:val="32"/>
        </w:rPr>
        <w:t>106.16</w:t>
      </w:r>
      <w:r>
        <w:rPr>
          <w:rFonts w:ascii="方正仿宋_GBK" w:eastAsia="方正仿宋_GBK" w:hint="eastAsia"/>
          <w:color w:val="000000" w:themeColor="text1"/>
          <w:sz w:val="32"/>
          <w:szCs w:val="32"/>
        </w:rPr>
        <w:t>万元。</w:t>
      </w:r>
    </w:p>
    <w:p w14:paraId="156CDC87" w14:textId="77777777" w:rsidR="00D40777" w:rsidRDefault="00C77F36">
      <w:pPr>
        <w:spacing w:line="594" w:lineRule="exact"/>
        <w:ind w:firstLineChars="200" w:firstLine="640"/>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3.</w:t>
      </w:r>
      <w:r>
        <w:rPr>
          <w:rFonts w:ascii="方正仿宋_GBK" w:eastAsia="方正仿宋_GBK" w:hint="eastAsia"/>
          <w:b/>
          <w:color w:val="000000" w:themeColor="text1"/>
          <w:sz w:val="32"/>
          <w:szCs w:val="32"/>
        </w:rPr>
        <w:t>结转结余</w:t>
      </w:r>
      <w:r>
        <w:rPr>
          <w:rFonts w:ascii="方正仿宋_GBK" w:eastAsia="方正仿宋_GBK" w:hint="eastAsia"/>
          <w:b/>
          <w:color w:val="000000" w:themeColor="text1"/>
          <w:sz w:val="32"/>
          <w:szCs w:val="32"/>
        </w:rPr>
        <w:t>情况。</w:t>
      </w: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年度年末无一般公共预算财政拨款结转和结余。</w:t>
      </w:r>
    </w:p>
    <w:p w14:paraId="0C54EB9B" w14:textId="77777777" w:rsidR="00D40777" w:rsidRDefault="00C77F36">
      <w:pPr>
        <w:pStyle w:val="a9"/>
        <w:widowControl w:val="0"/>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b/>
          <w:color w:val="000000" w:themeColor="text1"/>
          <w:sz w:val="32"/>
          <w:szCs w:val="32"/>
        </w:rPr>
        <w:t>4.</w:t>
      </w:r>
      <w:r>
        <w:rPr>
          <w:rFonts w:ascii="方正仿宋_GBK" w:eastAsia="方正仿宋_GBK" w:hint="eastAsia"/>
          <w:b/>
          <w:color w:val="000000" w:themeColor="text1"/>
          <w:sz w:val="32"/>
          <w:szCs w:val="32"/>
        </w:rPr>
        <w:t>比较情况。</w:t>
      </w:r>
      <w:r>
        <w:rPr>
          <w:rFonts w:ascii="方正仿宋_GBK" w:eastAsia="方正仿宋_GBK" w:hint="eastAsia"/>
          <w:color w:val="000000" w:themeColor="text1"/>
          <w:sz w:val="32"/>
          <w:szCs w:val="32"/>
        </w:rPr>
        <w:t>本部门</w:t>
      </w: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年度一般公共预算财政拨款支出主要用于以下几个方面：</w:t>
      </w:r>
      <w:r>
        <w:rPr>
          <w:rFonts w:ascii="方正仿宋_GBK" w:eastAsia="方正仿宋_GBK"/>
          <w:color w:val="000000" w:themeColor="text1"/>
          <w:sz w:val="32"/>
          <w:szCs w:val="32"/>
        </w:rPr>
        <w:t xml:space="preserve"> </w:t>
      </w:r>
    </w:p>
    <w:p w14:paraId="30DF5481"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lastRenderedPageBreak/>
        <w:t>（</w:t>
      </w:r>
      <w:r>
        <w:rPr>
          <w:rFonts w:ascii="方正仿宋_GBK" w:eastAsia="方正仿宋_GBK" w:hint="eastAsia"/>
          <w:color w:val="000000" w:themeColor="text1"/>
          <w:sz w:val="32"/>
          <w:szCs w:val="32"/>
        </w:rPr>
        <w:t>1</w:t>
      </w:r>
      <w:r>
        <w:rPr>
          <w:rFonts w:ascii="方正仿宋_GBK" w:eastAsia="方正仿宋_GBK" w:hint="eastAsia"/>
          <w:color w:val="000000" w:themeColor="text1"/>
          <w:sz w:val="32"/>
          <w:szCs w:val="32"/>
        </w:rPr>
        <w:t>）社会保障与就业支出</w:t>
      </w:r>
      <w:r>
        <w:rPr>
          <w:rFonts w:ascii="方正仿宋_GBK" w:eastAsia="方正仿宋_GBK" w:hint="eastAsia"/>
          <w:color w:val="000000" w:themeColor="text1"/>
          <w:sz w:val="32"/>
          <w:szCs w:val="32"/>
        </w:rPr>
        <w:t>142.15</w:t>
      </w:r>
      <w:r>
        <w:rPr>
          <w:rFonts w:ascii="方正仿宋_GBK" w:eastAsia="方正仿宋_GBK" w:hint="eastAsia"/>
          <w:color w:val="000000" w:themeColor="text1"/>
          <w:sz w:val="32"/>
          <w:szCs w:val="32"/>
        </w:rPr>
        <w:t>万元，占</w:t>
      </w:r>
      <w:r>
        <w:rPr>
          <w:rFonts w:ascii="方正仿宋_GBK" w:eastAsia="方正仿宋_GBK" w:hint="eastAsia"/>
          <w:color w:val="000000" w:themeColor="text1"/>
          <w:sz w:val="32"/>
          <w:szCs w:val="32"/>
        </w:rPr>
        <w:t>13.8%</w:t>
      </w:r>
      <w:r>
        <w:rPr>
          <w:rFonts w:ascii="方正仿宋_GBK" w:eastAsia="方正仿宋_GBK" w:hint="eastAsia"/>
          <w:color w:val="000000" w:themeColor="text1"/>
          <w:sz w:val="32"/>
          <w:szCs w:val="32"/>
        </w:rPr>
        <w:t>，较年初预算数增加</w:t>
      </w:r>
      <w:r>
        <w:rPr>
          <w:rFonts w:ascii="方正仿宋_GBK" w:eastAsia="方正仿宋_GBK" w:hint="eastAsia"/>
          <w:color w:val="000000" w:themeColor="text1"/>
          <w:sz w:val="32"/>
          <w:szCs w:val="32"/>
        </w:rPr>
        <w:t xml:space="preserve">53.4 </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37.6%</w:t>
      </w:r>
      <w:r>
        <w:rPr>
          <w:rFonts w:ascii="方正仿宋_GBK" w:eastAsia="方正仿宋_GBK" w:hint="eastAsia"/>
          <w:color w:val="000000" w:themeColor="text1"/>
          <w:sz w:val="32"/>
          <w:szCs w:val="32"/>
        </w:rPr>
        <w:t>，主要原因是追加死亡抚恤金。</w:t>
      </w:r>
    </w:p>
    <w:p w14:paraId="02B99F60"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9</w:t>
      </w:r>
      <w:r>
        <w:rPr>
          <w:rFonts w:ascii="方正仿宋_GBK" w:eastAsia="方正仿宋_GBK" w:hint="eastAsia"/>
          <w:color w:val="000000" w:themeColor="text1"/>
          <w:sz w:val="32"/>
          <w:szCs w:val="32"/>
        </w:rPr>
        <w:t>）卫生健康支出</w:t>
      </w:r>
      <w:r>
        <w:rPr>
          <w:rFonts w:ascii="方正仿宋_GBK" w:eastAsia="方正仿宋_GBK" w:hint="eastAsia"/>
          <w:color w:val="000000" w:themeColor="text1"/>
          <w:sz w:val="32"/>
          <w:szCs w:val="32"/>
        </w:rPr>
        <w:t>22.25</w:t>
      </w:r>
      <w:r>
        <w:rPr>
          <w:rFonts w:ascii="方正仿宋_GBK" w:eastAsia="方正仿宋_GBK" w:hint="eastAsia"/>
          <w:color w:val="000000" w:themeColor="text1"/>
          <w:sz w:val="32"/>
          <w:szCs w:val="32"/>
        </w:rPr>
        <w:t>万元，占</w:t>
      </w:r>
      <w:r>
        <w:rPr>
          <w:rFonts w:ascii="方正仿宋_GBK" w:eastAsia="方正仿宋_GBK" w:hint="eastAsia"/>
          <w:color w:val="000000" w:themeColor="text1"/>
          <w:sz w:val="32"/>
          <w:szCs w:val="32"/>
        </w:rPr>
        <w:t>2.1%</w:t>
      </w:r>
      <w:r>
        <w:rPr>
          <w:rFonts w:ascii="方正仿宋_GBK" w:eastAsia="方正仿宋_GBK" w:hint="eastAsia"/>
          <w:color w:val="000000" w:themeColor="text1"/>
          <w:sz w:val="32"/>
          <w:szCs w:val="32"/>
        </w:rPr>
        <w:t>，与年初预算数一致。</w:t>
      </w:r>
    </w:p>
    <w:p w14:paraId="2623D66E"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10</w:t>
      </w:r>
      <w:r>
        <w:rPr>
          <w:rFonts w:ascii="方正仿宋_GBK" w:eastAsia="方正仿宋_GBK" w:hint="eastAsia"/>
          <w:color w:val="000000" w:themeColor="text1"/>
          <w:sz w:val="32"/>
          <w:szCs w:val="32"/>
        </w:rPr>
        <w:t>）节能环保支出</w:t>
      </w:r>
      <w:r>
        <w:rPr>
          <w:rFonts w:ascii="方正仿宋_GBK" w:eastAsia="方正仿宋_GBK" w:hint="eastAsia"/>
          <w:color w:val="000000" w:themeColor="text1"/>
          <w:sz w:val="32"/>
          <w:szCs w:val="32"/>
        </w:rPr>
        <w:t>6.6</w:t>
      </w:r>
      <w:r>
        <w:rPr>
          <w:rFonts w:ascii="方正仿宋_GBK" w:eastAsia="方正仿宋_GBK" w:hint="eastAsia"/>
          <w:color w:val="000000" w:themeColor="text1"/>
          <w:sz w:val="32"/>
          <w:szCs w:val="32"/>
        </w:rPr>
        <w:t>万元，占</w:t>
      </w:r>
      <w:r>
        <w:rPr>
          <w:rFonts w:ascii="方正仿宋_GBK" w:eastAsia="方正仿宋_GBK" w:hint="eastAsia"/>
          <w:color w:val="000000" w:themeColor="text1"/>
          <w:sz w:val="32"/>
          <w:szCs w:val="32"/>
        </w:rPr>
        <w:t>0.6%</w:t>
      </w:r>
      <w:r>
        <w:rPr>
          <w:rFonts w:ascii="方正仿宋_GBK" w:eastAsia="方正仿宋_GBK" w:hint="eastAsia"/>
          <w:color w:val="000000" w:themeColor="text1"/>
          <w:sz w:val="32"/>
          <w:szCs w:val="32"/>
        </w:rPr>
        <w:t>，较年初预算数增加</w:t>
      </w:r>
      <w:r>
        <w:rPr>
          <w:rFonts w:ascii="方正仿宋_GBK" w:eastAsia="方正仿宋_GBK" w:hint="eastAsia"/>
          <w:color w:val="000000" w:themeColor="text1"/>
          <w:sz w:val="32"/>
          <w:szCs w:val="32"/>
        </w:rPr>
        <w:t xml:space="preserve"> </w:t>
      </w:r>
      <w:r>
        <w:rPr>
          <w:rFonts w:ascii="方正仿宋_GBK" w:eastAsia="方正仿宋_GBK" w:hint="eastAsia"/>
          <w:color w:val="000000" w:themeColor="text1"/>
          <w:sz w:val="32"/>
          <w:szCs w:val="32"/>
        </w:rPr>
        <w:t>6.6</w:t>
      </w:r>
      <w:r>
        <w:rPr>
          <w:rFonts w:ascii="方正仿宋_GBK" w:eastAsia="方正仿宋_GBK" w:hint="eastAsia"/>
          <w:color w:val="000000" w:themeColor="text1"/>
          <w:sz w:val="32"/>
          <w:szCs w:val="32"/>
        </w:rPr>
        <w:t>万元，增加</w:t>
      </w:r>
      <w:r>
        <w:rPr>
          <w:rFonts w:ascii="方正仿宋_GBK" w:eastAsia="方正仿宋_GBK" w:hint="eastAsia"/>
          <w:color w:val="000000" w:themeColor="text1"/>
          <w:sz w:val="32"/>
          <w:szCs w:val="32"/>
        </w:rPr>
        <w:t>100%</w:t>
      </w:r>
      <w:r>
        <w:rPr>
          <w:rFonts w:ascii="方正仿宋_GBK" w:eastAsia="方正仿宋_GBK" w:hint="eastAsia"/>
          <w:color w:val="000000" w:themeColor="text1"/>
          <w:sz w:val="32"/>
          <w:szCs w:val="32"/>
        </w:rPr>
        <w:t>，主要原因是增加废弃农膜回专项款。</w:t>
      </w:r>
    </w:p>
    <w:p w14:paraId="47E6086A"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11</w:t>
      </w:r>
      <w:r>
        <w:rPr>
          <w:rFonts w:ascii="方正仿宋_GBK" w:eastAsia="方正仿宋_GBK" w:hint="eastAsia"/>
          <w:color w:val="000000" w:themeColor="text1"/>
          <w:sz w:val="32"/>
          <w:szCs w:val="32"/>
        </w:rPr>
        <w:t>）城乡社区支出</w:t>
      </w:r>
      <w:r>
        <w:rPr>
          <w:rFonts w:ascii="方正仿宋_GBK" w:eastAsia="方正仿宋_GBK" w:hint="eastAsia"/>
          <w:color w:val="000000" w:themeColor="text1"/>
          <w:sz w:val="32"/>
          <w:szCs w:val="32"/>
        </w:rPr>
        <w:t>8.9</w:t>
      </w:r>
      <w:r>
        <w:rPr>
          <w:rFonts w:ascii="方正仿宋_GBK" w:eastAsia="方正仿宋_GBK" w:hint="eastAsia"/>
          <w:color w:val="000000" w:themeColor="text1"/>
          <w:sz w:val="32"/>
          <w:szCs w:val="32"/>
        </w:rPr>
        <w:t>万元，占</w:t>
      </w:r>
      <w:r>
        <w:rPr>
          <w:rFonts w:ascii="方正仿宋_GBK" w:eastAsia="方正仿宋_GBK" w:hint="eastAsia"/>
          <w:color w:val="000000" w:themeColor="text1"/>
          <w:sz w:val="32"/>
          <w:szCs w:val="32"/>
        </w:rPr>
        <w:t>0.9%</w:t>
      </w:r>
      <w:r>
        <w:rPr>
          <w:rFonts w:ascii="方正仿宋_GBK" w:eastAsia="方正仿宋_GBK" w:hint="eastAsia"/>
          <w:color w:val="000000" w:themeColor="text1"/>
          <w:sz w:val="32"/>
          <w:szCs w:val="32"/>
        </w:rPr>
        <w:t>，与年初预算数一致。</w:t>
      </w:r>
    </w:p>
    <w:p w14:paraId="5EDD9BCE" w14:textId="77777777" w:rsidR="00D40777" w:rsidRDefault="00C77F36">
      <w:pPr>
        <w:spacing w:line="594" w:lineRule="exact"/>
        <w:ind w:firstLineChars="200" w:firstLine="640"/>
        <w:rPr>
          <w:rFonts w:eastAsia="方正仿宋_GBK"/>
          <w:color w:val="000000" w:themeColor="text1"/>
          <w:sz w:val="32"/>
          <w:szCs w:val="32"/>
        </w:rPr>
      </w:pP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12</w:t>
      </w:r>
      <w:r>
        <w:rPr>
          <w:rFonts w:ascii="方正仿宋_GBK" w:eastAsia="方正仿宋_GBK" w:hint="eastAsia"/>
          <w:color w:val="000000" w:themeColor="text1"/>
          <w:sz w:val="32"/>
          <w:szCs w:val="32"/>
        </w:rPr>
        <w:t>）农林水支出</w:t>
      </w:r>
      <w:r>
        <w:rPr>
          <w:rFonts w:ascii="方正仿宋_GBK" w:eastAsia="方正仿宋_GBK" w:hint="eastAsia"/>
          <w:color w:val="000000" w:themeColor="text1"/>
          <w:sz w:val="32"/>
          <w:szCs w:val="32"/>
        </w:rPr>
        <w:t>530</w:t>
      </w:r>
      <w:r>
        <w:rPr>
          <w:rFonts w:ascii="方正仿宋_GBK" w:eastAsia="方正仿宋_GBK" w:hint="eastAsia"/>
          <w:color w:val="000000" w:themeColor="text1"/>
          <w:sz w:val="32"/>
          <w:szCs w:val="32"/>
        </w:rPr>
        <w:t>万元，占</w:t>
      </w:r>
      <w:r>
        <w:rPr>
          <w:rFonts w:ascii="方正仿宋_GBK" w:eastAsia="方正仿宋_GBK" w:hint="eastAsia"/>
          <w:color w:val="000000" w:themeColor="text1"/>
          <w:sz w:val="32"/>
          <w:szCs w:val="32"/>
        </w:rPr>
        <w:t>51.3%</w:t>
      </w:r>
      <w:r>
        <w:rPr>
          <w:rFonts w:ascii="方正仿宋_GBK" w:eastAsia="方正仿宋_GBK" w:hint="eastAsia"/>
          <w:color w:val="000000" w:themeColor="text1"/>
          <w:sz w:val="32"/>
          <w:szCs w:val="32"/>
        </w:rPr>
        <w:t>，较年初预算数增加</w:t>
      </w:r>
      <w:r>
        <w:rPr>
          <w:rFonts w:ascii="方正仿宋_GBK" w:eastAsia="方正仿宋_GBK" w:hint="eastAsia"/>
          <w:color w:val="000000" w:themeColor="text1"/>
          <w:sz w:val="32"/>
          <w:szCs w:val="32"/>
        </w:rPr>
        <w:t>530</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100%</w:t>
      </w:r>
      <w:r>
        <w:rPr>
          <w:rFonts w:ascii="方正仿宋_GBK" w:eastAsia="方正仿宋_GBK" w:hint="eastAsia"/>
          <w:color w:val="000000" w:themeColor="text1"/>
          <w:sz w:val="32"/>
          <w:szCs w:val="32"/>
        </w:rPr>
        <w:t>，主要原因是为提升三农的服务特新增专项，如助农贷、产业助农、三社融合等专项支出。</w:t>
      </w:r>
    </w:p>
    <w:p w14:paraId="76AF0ABE"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15</w:t>
      </w:r>
      <w:r>
        <w:rPr>
          <w:rFonts w:ascii="方正仿宋_GBK" w:eastAsia="方正仿宋_GBK" w:hint="eastAsia"/>
          <w:color w:val="000000" w:themeColor="text1"/>
          <w:sz w:val="32"/>
          <w:szCs w:val="32"/>
        </w:rPr>
        <w:t>）商业服务业等支出</w:t>
      </w:r>
      <w:r>
        <w:rPr>
          <w:rFonts w:ascii="方正仿宋_GBK" w:eastAsia="方正仿宋_GBK"/>
          <w:color w:val="000000" w:themeColor="text1"/>
          <w:sz w:val="32"/>
          <w:szCs w:val="32"/>
        </w:rPr>
        <w:t>306.61</w:t>
      </w:r>
      <w:r>
        <w:rPr>
          <w:rFonts w:ascii="方正仿宋_GBK" w:eastAsia="方正仿宋_GBK" w:hint="eastAsia"/>
          <w:color w:val="000000" w:themeColor="text1"/>
          <w:sz w:val="32"/>
          <w:szCs w:val="32"/>
        </w:rPr>
        <w:t>万元，占</w:t>
      </w:r>
      <w:r>
        <w:rPr>
          <w:rFonts w:ascii="方正仿宋_GBK" w:eastAsia="方正仿宋_GBK" w:hint="eastAsia"/>
          <w:color w:val="000000" w:themeColor="text1"/>
          <w:sz w:val="32"/>
          <w:szCs w:val="32"/>
        </w:rPr>
        <w:t>29.7%</w:t>
      </w:r>
      <w:r>
        <w:rPr>
          <w:rFonts w:ascii="方正仿宋_GBK" w:eastAsia="方正仿宋_GBK" w:hint="eastAsia"/>
          <w:color w:val="000000" w:themeColor="text1"/>
          <w:sz w:val="32"/>
          <w:szCs w:val="32"/>
        </w:rPr>
        <w:t>，较年初预算数增加</w:t>
      </w:r>
      <w:r>
        <w:rPr>
          <w:rFonts w:ascii="方正仿宋_GBK" w:eastAsia="方正仿宋_GBK" w:hint="eastAsia"/>
          <w:color w:val="000000" w:themeColor="text1"/>
          <w:sz w:val="32"/>
          <w:szCs w:val="32"/>
        </w:rPr>
        <w:t>22.1</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7.8%</w:t>
      </w:r>
      <w:r>
        <w:rPr>
          <w:rFonts w:ascii="方正仿宋_GBK" w:eastAsia="方正仿宋_GBK" w:hint="eastAsia"/>
          <w:color w:val="000000" w:themeColor="text1"/>
          <w:sz w:val="32"/>
          <w:szCs w:val="32"/>
        </w:rPr>
        <w:t>，主要原因是增加</w:t>
      </w:r>
      <w:r>
        <w:rPr>
          <w:rFonts w:ascii="方正仿宋_GBK" w:eastAsia="方正仿宋_GBK" w:hint="eastAsia"/>
          <w:color w:val="000000" w:themeColor="text1"/>
          <w:sz w:val="32"/>
          <w:szCs w:val="32"/>
        </w:rPr>
        <w:t>2019</w:t>
      </w:r>
      <w:r>
        <w:rPr>
          <w:rFonts w:ascii="方正仿宋_GBK" w:eastAsia="方正仿宋_GBK" w:hint="eastAsia"/>
          <w:color w:val="000000" w:themeColor="text1"/>
          <w:sz w:val="32"/>
          <w:szCs w:val="32"/>
        </w:rPr>
        <w:t>年目标绩效奖金、退休人员节日慰问费、基层党建活动经费等费用。</w:t>
      </w:r>
    </w:p>
    <w:p w14:paraId="343C2438"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t>19</w:t>
      </w:r>
      <w:r>
        <w:rPr>
          <w:rFonts w:ascii="方正仿宋_GBK" w:eastAsia="方正仿宋_GBK" w:hint="eastAsia"/>
          <w:color w:val="000000" w:themeColor="text1"/>
          <w:sz w:val="32"/>
          <w:szCs w:val="32"/>
        </w:rPr>
        <w:t>）住房保障支出</w:t>
      </w:r>
      <w:r>
        <w:rPr>
          <w:rFonts w:ascii="方正仿宋_GBK" w:eastAsia="方正仿宋_GBK" w:hint="eastAsia"/>
          <w:color w:val="000000" w:themeColor="text1"/>
          <w:sz w:val="32"/>
          <w:szCs w:val="32"/>
        </w:rPr>
        <w:t>16.06</w:t>
      </w:r>
      <w:r>
        <w:rPr>
          <w:rFonts w:ascii="方正仿宋_GBK" w:eastAsia="方正仿宋_GBK" w:hint="eastAsia"/>
          <w:color w:val="000000" w:themeColor="text1"/>
          <w:sz w:val="32"/>
          <w:szCs w:val="32"/>
        </w:rPr>
        <w:t>万元，占</w:t>
      </w:r>
      <w:r>
        <w:rPr>
          <w:rFonts w:ascii="方正仿宋_GBK" w:eastAsia="方正仿宋_GBK" w:hint="eastAsia"/>
          <w:color w:val="000000" w:themeColor="text1"/>
          <w:sz w:val="32"/>
          <w:szCs w:val="32"/>
        </w:rPr>
        <w:t>1.6%</w:t>
      </w:r>
      <w:r>
        <w:rPr>
          <w:rFonts w:ascii="方正仿宋_GBK" w:eastAsia="方正仿宋_GBK" w:hint="eastAsia"/>
          <w:color w:val="000000" w:themeColor="text1"/>
          <w:sz w:val="32"/>
          <w:szCs w:val="32"/>
        </w:rPr>
        <w:t>，较年初预算数增加</w:t>
      </w:r>
      <w:r>
        <w:rPr>
          <w:rFonts w:ascii="方正仿宋_GBK" w:eastAsia="方正仿宋_GBK" w:hint="eastAsia"/>
          <w:color w:val="000000" w:themeColor="text1"/>
          <w:sz w:val="32"/>
          <w:szCs w:val="32"/>
        </w:rPr>
        <w:t>1.83</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1.3%</w:t>
      </w:r>
      <w:r>
        <w:rPr>
          <w:rFonts w:ascii="方正仿宋_GBK" w:eastAsia="方正仿宋_GBK" w:hint="eastAsia"/>
          <w:color w:val="000000" w:themeColor="text1"/>
          <w:sz w:val="32"/>
          <w:szCs w:val="32"/>
        </w:rPr>
        <w:t>，主要原因是补发以前年度住房补贴</w:t>
      </w:r>
      <w:r>
        <w:rPr>
          <w:rFonts w:ascii="方正仿宋_GBK" w:eastAsia="方正仿宋_GBK" w:hint="eastAsia"/>
          <w:color w:val="000000" w:themeColor="text1"/>
          <w:sz w:val="32"/>
          <w:szCs w:val="32"/>
        </w:rPr>
        <w:t xml:space="preserve"> </w:t>
      </w:r>
      <w:r>
        <w:rPr>
          <w:rFonts w:ascii="方正仿宋_GBK" w:eastAsia="方正仿宋_GBK" w:hint="eastAsia"/>
          <w:color w:val="000000" w:themeColor="text1"/>
          <w:sz w:val="32"/>
          <w:szCs w:val="32"/>
        </w:rPr>
        <w:t>。</w:t>
      </w:r>
    </w:p>
    <w:p w14:paraId="0246424D" w14:textId="77777777" w:rsidR="00D40777" w:rsidRDefault="00C77F36">
      <w:pPr>
        <w:pStyle w:val="a9"/>
        <w:shd w:val="clear" w:color="auto" w:fill="FFFFFF"/>
        <w:spacing w:before="0" w:beforeAutospacing="0" w:after="0" w:afterAutospacing="0" w:line="560" w:lineRule="exact"/>
        <w:ind w:firstLineChars="200" w:firstLine="640"/>
        <w:jc w:val="both"/>
        <w:outlineLvl w:val="0"/>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（四）一般公共预算财政拨款基本支出决算情况说明</w:t>
      </w:r>
    </w:p>
    <w:p w14:paraId="5C6A4229"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lastRenderedPageBreak/>
        <w:t>2020</w:t>
      </w:r>
      <w:r>
        <w:rPr>
          <w:rFonts w:ascii="方正仿宋_GBK" w:eastAsia="方正仿宋_GBK" w:hint="eastAsia"/>
          <w:color w:val="000000" w:themeColor="text1"/>
          <w:sz w:val="32"/>
          <w:szCs w:val="32"/>
        </w:rPr>
        <w:t>年度一般公共财政拨款基本支出</w:t>
      </w:r>
      <w:r>
        <w:rPr>
          <w:rFonts w:ascii="方正仿宋_GBK" w:eastAsia="方正仿宋_GBK" w:hint="eastAsia"/>
          <w:color w:val="000000" w:themeColor="text1"/>
          <w:sz w:val="32"/>
          <w:szCs w:val="32"/>
        </w:rPr>
        <w:t>479.8</w:t>
      </w:r>
      <w:r>
        <w:rPr>
          <w:rFonts w:ascii="方正仿宋_GBK" w:eastAsia="方正仿宋_GBK" w:hint="eastAsia"/>
          <w:color w:val="000000" w:themeColor="text1"/>
          <w:sz w:val="32"/>
          <w:szCs w:val="32"/>
        </w:rPr>
        <w:t>万元。其中：人员经费</w:t>
      </w:r>
      <w:r>
        <w:rPr>
          <w:rFonts w:ascii="方正仿宋_GBK" w:eastAsia="方正仿宋_GBK" w:hint="eastAsia"/>
          <w:color w:val="000000" w:themeColor="text1"/>
          <w:sz w:val="32"/>
          <w:szCs w:val="32"/>
        </w:rPr>
        <w:t>409.64</w:t>
      </w:r>
      <w:r>
        <w:rPr>
          <w:rFonts w:ascii="方正仿宋_GBK" w:eastAsia="方正仿宋_GBK" w:hint="eastAsia"/>
          <w:color w:val="000000" w:themeColor="text1"/>
          <w:sz w:val="32"/>
          <w:szCs w:val="32"/>
        </w:rPr>
        <w:t>万元，较上年决算数增加</w:t>
      </w:r>
      <w:r>
        <w:rPr>
          <w:rFonts w:ascii="方正仿宋_GBK" w:eastAsia="方正仿宋_GBK" w:hint="eastAsia"/>
          <w:color w:val="000000" w:themeColor="text1"/>
          <w:sz w:val="32"/>
          <w:szCs w:val="32"/>
        </w:rPr>
        <w:t>71.17</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21%</w:t>
      </w:r>
      <w:r>
        <w:rPr>
          <w:rFonts w:ascii="方正仿宋_GBK" w:eastAsia="方正仿宋_GBK" w:hint="eastAsia"/>
          <w:color w:val="000000" w:themeColor="text1"/>
          <w:sz w:val="32"/>
          <w:szCs w:val="32"/>
        </w:rPr>
        <w:t>，主要原因是专项工作经费调整与人员晋级调标、抚恤金等经费。人员</w:t>
      </w:r>
      <w:r>
        <w:rPr>
          <w:rFonts w:ascii="方正仿宋_GBK" w:eastAsia="方正仿宋_GBK" w:hint="eastAsia"/>
          <w:color w:val="000000" w:themeColor="text1"/>
          <w:sz w:val="32"/>
          <w:szCs w:val="32"/>
        </w:rPr>
        <w:t>经费用途主要包括基本工资、津贴补贴、奖金、伙食补助费、基本养老保险缴费、职业年金缴费、医疗保险缴费、住房公积金缴费、其他工资福利支出等支出。公用经费</w:t>
      </w:r>
      <w:r>
        <w:rPr>
          <w:rFonts w:ascii="方正仿宋_GBK" w:eastAsia="方正仿宋_GBK" w:hint="eastAsia"/>
          <w:color w:val="000000" w:themeColor="text1"/>
          <w:sz w:val="32"/>
          <w:szCs w:val="32"/>
        </w:rPr>
        <w:t>70.16</w:t>
      </w:r>
      <w:r>
        <w:rPr>
          <w:rFonts w:ascii="方正仿宋_GBK" w:eastAsia="方正仿宋_GBK" w:hint="eastAsia"/>
          <w:color w:val="000000" w:themeColor="text1"/>
          <w:sz w:val="32"/>
          <w:szCs w:val="32"/>
        </w:rPr>
        <w:t>万元，较上年决算数减少</w:t>
      </w:r>
      <w:r>
        <w:rPr>
          <w:rFonts w:ascii="方正仿宋_GBK" w:eastAsia="方正仿宋_GBK" w:hint="eastAsia"/>
          <w:color w:val="000000" w:themeColor="text1"/>
          <w:sz w:val="32"/>
          <w:szCs w:val="32"/>
        </w:rPr>
        <w:t xml:space="preserve"> 14.18</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16.8%</w:t>
      </w:r>
      <w:r>
        <w:rPr>
          <w:rFonts w:ascii="方正仿宋_GBK" w:eastAsia="方正仿宋_GBK" w:hint="eastAsia"/>
          <w:color w:val="000000" w:themeColor="text1"/>
          <w:sz w:val="32"/>
          <w:szCs w:val="32"/>
        </w:rPr>
        <w:t>，主要原因是贯彻过紧日子思想压缩日常公用经费。公用经费用途主要包括办公费、印刷费、手续费、邮电费、差旅费、租赁费、委托业务费、工会经费、福利费、其他交通费等支出。</w:t>
      </w:r>
    </w:p>
    <w:p w14:paraId="737915F5" w14:textId="77777777" w:rsidR="00D40777" w:rsidRDefault="00C77F36">
      <w:pPr>
        <w:pStyle w:val="a9"/>
        <w:shd w:val="clear" w:color="auto" w:fill="FFFFFF"/>
        <w:spacing w:before="0" w:beforeAutospacing="0" w:after="0" w:afterAutospacing="0" w:line="560" w:lineRule="exact"/>
        <w:ind w:firstLineChars="200" w:firstLine="640"/>
        <w:jc w:val="both"/>
        <w:outlineLvl w:val="0"/>
        <w:rPr>
          <w:rStyle w:val="aa"/>
          <w:color w:val="000000" w:themeColor="text1"/>
        </w:rPr>
      </w:pPr>
      <w:r>
        <w:rPr>
          <w:rStyle w:val="aa"/>
          <w:rFonts w:ascii="方正仿宋_GBK" w:eastAsia="方正仿宋_GBK" w:hint="eastAsia"/>
          <w:color w:val="000000" w:themeColor="text1"/>
          <w:sz w:val="32"/>
          <w:szCs w:val="32"/>
        </w:rPr>
        <w:t>（五）政府性基金预算收支决算情况说明</w:t>
      </w:r>
    </w:p>
    <w:p w14:paraId="074C3A8A"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本部门</w:t>
      </w: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年度无政府性基金预算财政拨款收支。</w:t>
      </w:r>
    </w:p>
    <w:p w14:paraId="126E6E38" w14:textId="77777777" w:rsidR="00D40777" w:rsidRDefault="00C77F36">
      <w:pPr>
        <w:pStyle w:val="a9"/>
        <w:shd w:val="clear" w:color="auto" w:fill="FFFFFF"/>
        <w:spacing w:before="0" w:beforeAutospacing="0" w:after="0" w:afterAutospacing="0" w:line="560" w:lineRule="exact"/>
        <w:ind w:firstLineChars="200" w:firstLine="640"/>
        <w:jc w:val="both"/>
        <w:outlineLvl w:val="0"/>
        <w:rPr>
          <w:rStyle w:val="aa"/>
          <w:color w:val="000000" w:themeColor="text1"/>
        </w:rPr>
      </w:pPr>
      <w:r>
        <w:rPr>
          <w:rStyle w:val="aa"/>
          <w:rFonts w:ascii="方正仿宋_GBK" w:eastAsia="方正仿宋_GBK" w:hint="eastAsia"/>
          <w:color w:val="000000" w:themeColor="text1"/>
          <w:sz w:val="32"/>
          <w:szCs w:val="32"/>
        </w:rPr>
        <w:t>（六）国有资本经营预算财政拨款支出决算情况说明</w:t>
      </w:r>
    </w:p>
    <w:p w14:paraId="318702A8"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本部门</w:t>
      </w: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年度无国有资本经营预算财政拨款支出。</w:t>
      </w:r>
    </w:p>
    <w:p w14:paraId="237DB63C" w14:textId="77777777" w:rsidR="00D40777" w:rsidRDefault="00C77F36">
      <w:pPr>
        <w:pStyle w:val="a9"/>
        <w:shd w:val="clear" w:color="auto" w:fill="FFFFFF"/>
        <w:spacing w:before="0" w:beforeAutospacing="0" w:after="0" w:afterAutospacing="0" w:line="560" w:lineRule="exact"/>
        <w:ind w:firstLineChars="200" w:firstLine="640"/>
        <w:jc w:val="both"/>
        <w:outlineLvl w:val="0"/>
        <w:rPr>
          <w:rStyle w:val="aa"/>
          <w:rFonts w:ascii="方正黑体_GBK" w:eastAsia="方正黑体_GBK"/>
          <w:color w:val="000000" w:themeColor="text1"/>
        </w:rPr>
      </w:pPr>
      <w:r>
        <w:rPr>
          <w:rStyle w:val="aa"/>
          <w:rFonts w:ascii="方正黑体_GBK" w:eastAsia="方正黑体_GBK" w:hint="eastAsia"/>
          <w:b w:val="0"/>
          <w:color w:val="000000" w:themeColor="text1"/>
          <w:sz w:val="32"/>
          <w:szCs w:val="32"/>
        </w:rPr>
        <w:t>三、“三公”经费情况说明</w:t>
      </w:r>
    </w:p>
    <w:p w14:paraId="28C4CF0D" w14:textId="77777777" w:rsidR="00D40777" w:rsidRDefault="00C77F36">
      <w:pPr>
        <w:pStyle w:val="a9"/>
        <w:shd w:val="clear" w:color="auto" w:fill="FFFFFF"/>
        <w:spacing w:before="0" w:beforeAutospacing="0" w:after="0" w:afterAutospacing="0" w:line="560" w:lineRule="exact"/>
        <w:ind w:firstLineChars="200" w:firstLine="640"/>
        <w:jc w:val="both"/>
        <w:outlineLvl w:val="1"/>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（一）“三公”经费支出总体情况说明。</w:t>
      </w:r>
    </w:p>
    <w:p w14:paraId="2147E27E" w14:textId="77777777" w:rsidR="00D40777" w:rsidRDefault="00C77F36">
      <w:pPr>
        <w:pStyle w:val="a9"/>
        <w:widowControl w:val="0"/>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年度“三公”经费支出共计</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万元，</w:t>
      </w:r>
      <w:r>
        <w:rPr>
          <w:rFonts w:ascii="方正仿宋_GBK" w:eastAsia="方正仿宋_GBK" w:hint="eastAsia"/>
          <w:sz w:val="32"/>
          <w:szCs w:val="32"/>
        </w:rPr>
        <w:t>较年初预算无变动</w:t>
      </w:r>
      <w:r>
        <w:rPr>
          <w:rFonts w:ascii="方正仿宋_GBK" w:eastAsia="方正仿宋_GBK" w:hint="eastAsia"/>
          <w:color w:val="000000" w:themeColor="text1"/>
          <w:sz w:val="32"/>
          <w:szCs w:val="32"/>
        </w:rPr>
        <w:t>。主要原因是受疫情影响，本单位未进行公务接待。较上年支出数减少</w:t>
      </w:r>
      <w:r>
        <w:rPr>
          <w:rFonts w:ascii="方正仿宋_GBK" w:eastAsia="方正仿宋_GBK" w:hint="eastAsia"/>
          <w:color w:val="000000" w:themeColor="text1"/>
          <w:sz w:val="32"/>
          <w:szCs w:val="32"/>
        </w:rPr>
        <w:t>0.3</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100%</w:t>
      </w:r>
      <w:r>
        <w:rPr>
          <w:rFonts w:ascii="方正仿宋_GBK" w:eastAsia="方正仿宋_GBK" w:hint="eastAsia"/>
          <w:color w:val="000000" w:themeColor="text1"/>
          <w:sz w:val="32"/>
          <w:szCs w:val="32"/>
        </w:rPr>
        <w:t>，主要原因：一是本单位无公车。二是受疫情影响，本单位今年未进行公务接</w:t>
      </w:r>
      <w:r>
        <w:rPr>
          <w:rFonts w:ascii="方正仿宋_GBK" w:eastAsia="方正仿宋_GBK" w:hint="eastAsia"/>
          <w:color w:val="000000" w:themeColor="text1"/>
          <w:sz w:val="32"/>
          <w:szCs w:val="32"/>
        </w:rPr>
        <w:lastRenderedPageBreak/>
        <w:t>待。三是进一步规范因公出国（境）活动，今年未安排人员出国出访。</w:t>
      </w:r>
    </w:p>
    <w:p w14:paraId="5DC8BB29" w14:textId="77777777" w:rsidR="00D40777" w:rsidRDefault="00C77F36">
      <w:pPr>
        <w:pStyle w:val="a9"/>
        <w:shd w:val="clear" w:color="auto" w:fill="FFFFFF"/>
        <w:spacing w:before="0" w:beforeAutospacing="0" w:after="0" w:afterAutospacing="0" w:line="560" w:lineRule="exact"/>
        <w:ind w:firstLineChars="200" w:firstLine="640"/>
        <w:jc w:val="both"/>
        <w:outlineLvl w:val="1"/>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（二）“三公”经费分项支出情况。</w:t>
      </w:r>
    </w:p>
    <w:p w14:paraId="78C1075B" w14:textId="77777777" w:rsidR="00D40777" w:rsidRDefault="00C77F36">
      <w:pPr>
        <w:pStyle w:val="a9"/>
        <w:shd w:val="clear" w:color="auto" w:fill="FFFFFF"/>
        <w:spacing w:before="0" w:beforeAutospacing="0" w:after="0" w:afterAutospacing="0" w:line="560" w:lineRule="exact"/>
        <w:ind w:firstLineChars="250" w:firstLine="800"/>
        <w:jc w:val="both"/>
        <w:rPr>
          <w:rFonts w:ascii="方正仿宋_GBK" w:eastAsia="方正仿宋_GBK"/>
          <w:color w:val="000000" w:themeColor="text1"/>
          <w:sz w:val="32"/>
          <w:szCs w:val="32"/>
        </w:rPr>
      </w:pPr>
      <w:r>
        <w:rPr>
          <w:rFonts w:ascii="方正仿宋_GBK" w:eastAsia="方正仿宋_GBK" w:hint="eastAsia"/>
          <w:sz w:val="32"/>
          <w:szCs w:val="32"/>
        </w:rPr>
        <w:t>2020</w:t>
      </w:r>
      <w:r>
        <w:rPr>
          <w:rFonts w:ascii="方正仿宋_GBK" w:eastAsia="方正仿宋_GBK" w:hint="eastAsia"/>
          <w:sz w:val="32"/>
          <w:szCs w:val="32"/>
        </w:rPr>
        <w:t>年度本部门因公出国（境）费用</w:t>
      </w:r>
      <w:r>
        <w:rPr>
          <w:rFonts w:ascii="方正仿宋_GBK" w:eastAsia="方正仿宋_GBK" w:hint="eastAsia"/>
          <w:sz w:val="32"/>
          <w:szCs w:val="32"/>
        </w:rPr>
        <w:t>0</w:t>
      </w:r>
      <w:r>
        <w:rPr>
          <w:rFonts w:ascii="方正仿宋_GBK" w:eastAsia="方正仿宋_GBK" w:hint="eastAsia"/>
          <w:sz w:val="32"/>
          <w:szCs w:val="32"/>
        </w:rPr>
        <w:t>万元。较年初预算无变动</w:t>
      </w:r>
      <w:r>
        <w:rPr>
          <w:rFonts w:ascii="方正仿宋_GBK" w:eastAsia="方正仿宋_GBK" w:hint="eastAsia"/>
          <w:color w:val="000000" w:themeColor="text1"/>
          <w:sz w:val="32"/>
          <w:szCs w:val="32"/>
        </w:rPr>
        <w:t>；与上年支出数一致，无变动。</w:t>
      </w:r>
    </w:p>
    <w:p w14:paraId="20442ABE"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公务车购置费</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万元；本单位无公车，公务车运行维护费</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万元。</w:t>
      </w:r>
      <w:r>
        <w:rPr>
          <w:rFonts w:ascii="方正仿宋_GBK" w:eastAsia="方正仿宋_GBK" w:hint="eastAsia"/>
          <w:sz w:val="32"/>
          <w:szCs w:val="32"/>
        </w:rPr>
        <w:t>较年初预算无变动</w:t>
      </w:r>
      <w:r>
        <w:rPr>
          <w:rFonts w:ascii="方正仿宋_GBK" w:eastAsia="方正仿宋_GBK" w:hint="eastAsia"/>
          <w:color w:val="000000" w:themeColor="text1"/>
          <w:sz w:val="32"/>
          <w:szCs w:val="32"/>
        </w:rPr>
        <w:t>；与上年支出数一致，无变动。</w:t>
      </w:r>
    </w:p>
    <w:p w14:paraId="72287816"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公务接待费</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万元，</w:t>
      </w:r>
      <w:r>
        <w:rPr>
          <w:rFonts w:ascii="方正仿宋_GBK" w:eastAsia="方正仿宋_GBK" w:hint="eastAsia"/>
          <w:sz w:val="32"/>
          <w:szCs w:val="32"/>
        </w:rPr>
        <w:t>较年初预算无变动</w:t>
      </w:r>
      <w:r>
        <w:rPr>
          <w:rFonts w:ascii="方正仿宋_GBK" w:eastAsia="方正仿宋_GBK" w:hint="eastAsia"/>
          <w:color w:val="000000" w:themeColor="text1"/>
          <w:sz w:val="32"/>
          <w:szCs w:val="32"/>
        </w:rPr>
        <w:t>。较上年支出数减少</w:t>
      </w:r>
      <w:r>
        <w:rPr>
          <w:rFonts w:ascii="方正仿宋_GBK" w:eastAsia="方正仿宋_GBK" w:hint="eastAsia"/>
          <w:color w:val="000000" w:themeColor="text1"/>
          <w:sz w:val="32"/>
          <w:szCs w:val="32"/>
        </w:rPr>
        <w:t xml:space="preserve"> 0.3</w:t>
      </w:r>
      <w:r>
        <w:rPr>
          <w:rFonts w:ascii="方正仿宋_GBK" w:eastAsia="方正仿宋_GBK" w:hint="eastAsia"/>
          <w:color w:val="000000" w:themeColor="text1"/>
          <w:sz w:val="32"/>
          <w:szCs w:val="32"/>
        </w:rPr>
        <w:t>万元，</w:t>
      </w:r>
      <w:r>
        <w:rPr>
          <w:rFonts w:ascii="方正仿宋_GBK" w:eastAsia="方正仿宋_GBK" w:hint="eastAsia"/>
          <w:color w:val="000000" w:themeColor="text1"/>
          <w:sz w:val="32"/>
          <w:szCs w:val="32"/>
        </w:rPr>
        <w:t>下降</w:t>
      </w:r>
      <w:r>
        <w:rPr>
          <w:rFonts w:ascii="方正仿宋_GBK" w:eastAsia="方正仿宋_GBK" w:hint="eastAsia"/>
          <w:color w:val="000000" w:themeColor="text1"/>
          <w:sz w:val="32"/>
          <w:szCs w:val="32"/>
        </w:rPr>
        <w:t xml:space="preserve"> 100%</w:t>
      </w:r>
      <w:r>
        <w:rPr>
          <w:rFonts w:ascii="方正仿宋_GBK" w:eastAsia="方正仿宋_GBK" w:hint="eastAsia"/>
          <w:color w:val="000000" w:themeColor="text1"/>
          <w:sz w:val="32"/>
          <w:szCs w:val="32"/>
        </w:rPr>
        <w:t>，主要原因是受疫情影响，本单位今年未进行公务接待。</w:t>
      </w:r>
    </w:p>
    <w:p w14:paraId="1593E59F" w14:textId="77777777" w:rsidR="00D40777" w:rsidRDefault="00C77F36">
      <w:pPr>
        <w:pStyle w:val="a9"/>
        <w:shd w:val="clear" w:color="auto" w:fill="FFFFFF"/>
        <w:spacing w:before="0" w:beforeAutospacing="0" w:after="0" w:afterAutospacing="0" w:line="560" w:lineRule="exact"/>
        <w:ind w:firstLineChars="200" w:firstLine="640"/>
        <w:jc w:val="both"/>
        <w:outlineLvl w:val="1"/>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（三）“三公”经费实物量情况。</w:t>
      </w:r>
    </w:p>
    <w:p w14:paraId="65DCC187"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sz w:val="32"/>
          <w:szCs w:val="32"/>
        </w:rPr>
      </w:pPr>
      <w:r>
        <w:rPr>
          <w:rFonts w:ascii="方正仿宋_GBK" w:eastAsia="方正仿宋_GBK" w:hint="eastAsia"/>
          <w:sz w:val="32"/>
          <w:szCs w:val="32"/>
        </w:rPr>
        <w:t>2020</w:t>
      </w:r>
      <w:r>
        <w:rPr>
          <w:rFonts w:ascii="方正仿宋_GBK" w:eastAsia="方正仿宋_GBK" w:hint="eastAsia"/>
          <w:sz w:val="32"/>
          <w:szCs w:val="32"/>
        </w:rPr>
        <w:t>年度本部门因公出国（境）共计</w:t>
      </w:r>
      <w:r>
        <w:rPr>
          <w:rFonts w:ascii="方正仿宋_GBK" w:eastAsia="方正仿宋_GBK" w:hint="eastAsia"/>
          <w:sz w:val="32"/>
          <w:szCs w:val="32"/>
        </w:rPr>
        <w:t>0</w:t>
      </w:r>
      <w:r>
        <w:rPr>
          <w:rFonts w:ascii="方正仿宋_GBK" w:eastAsia="方正仿宋_GBK" w:hint="eastAsia"/>
          <w:sz w:val="32"/>
          <w:szCs w:val="32"/>
        </w:rPr>
        <w:t>个团组，</w:t>
      </w:r>
      <w:r>
        <w:rPr>
          <w:rFonts w:ascii="方正仿宋_GBK" w:eastAsia="方正仿宋_GBK" w:hint="eastAsia"/>
          <w:sz w:val="32"/>
          <w:szCs w:val="32"/>
        </w:rPr>
        <w:t>0</w:t>
      </w:r>
      <w:r>
        <w:rPr>
          <w:rFonts w:ascii="方正仿宋_GBK" w:eastAsia="方正仿宋_GBK" w:hint="eastAsia"/>
          <w:sz w:val="32"/>
          <w:szCs w:val="32"/>
        </w:rPr>
        <w:t>人；公务用车购置</w:t>
      </w:r>
      <w:r>
        <w:rPr>
          <w:rFonts w:ascii="方正仿宋_GBK" w:eastAsia="方正仿宋_GBK" w:hint="eastAsia"/>
          <w:sz w:val="32"/>
          <w:szCs w:val="32"/>
        </w:rPr>
        <w:t>0</w:t>
      </w:r>
      <w:r>
        <w:rPr>
          <w:rFonts w:ascii="方正仿宋_GBK" w:eastAsia="方正仿宋_GBK" w:hint="eastAsia"/>
          <w:sz w:val="32"/>
          <w:szCs w:val="32"/>
        </w:rPr>
        <w:t>辆，公务车保有量为</w:t>
      </w:r>
      <w:r>
        <w:rPr>
          <w:rFonts w:ascii="方正仿宋_GBK" w:eastAsia="方正仿宋_GBK" w:hint="eastAsia"/>
          <w:sz w:val="32"/>
          <w:szCs w:val="32"/>
        </w:rPr>
        <w:t>0</w:t>
      </w:r>
      <w:r>
        <w:rPr>
          <w:rFonts w:ascii="方正仿宋_GBK" w:eastAsia="方正仿宋_GBK" w:hint="eastAsia"/>
          <w:sz w:val="32"/>
          <w:szCs w:val="32"/>
        </w:rPr>
        <w:t>辆；国内公务接待</w:t>
      </w:r>
      <w:r>
        <w:rPr>
          <w:rFonts w:ascii="方正仿宋_GBK" w:eastAsia="方正仿宋_GBK" w:hint="eastAsia"/>
          <w:sz w:val="32"/>
          <w:szCs w:val="32"/>
        </w:rPr>
        <w:t>0</w:t>
      </w:r>
      <w:r>
        <w:rPr>
          <w:rFonts w:ascii="方正仿宋_GBK" w:eastAsia="方正仿宋_GBK" w:hint="eastAsia"/>
          <w:sz w:val="32"/>
          <w:szCs w:val="32"/>
        </w:rPr>
        <w:t>批次</w:t>
      </w:r>
      <w:r>
        <w:rPr>
          <w:rFonts w:ascii="方正仿宋_GBK" w:eastAsia="方正仿宋_GBK" w:hint="eastAsia"/>
          <w:sz w:val="32"/>
          <w:szCs w:val="32"/>
        </w:rPr>
        <w:t>0</w:t>
      </w:r>
      <w:r>
        <w:rPr>
          <w:rFonts w:ascii="方正仿宋_GBK" w:eastAsia="方正仿宋_GBK" w:hint="eastAsia"/>
          <w:sz w:val="32"/>
          <w:szCs w:val="32"/>
        </w:rPr>
        <w:t>人，其中：国内外事接待</w:t>
      </w:r>
      <w:r>
        <w:rPr>
          <w:rFonts w:ascii="方正仿宋_GBK" w:eastAsia="方正仿宋_GBK" w:hint="eastAsia"/>
          <w:sz w:val="32"/>
          <w:szCs w:val="32"/>
        </w:rPr>
        <w:t>0</w:t>
      </w:r>
      <w:r>
        <w:rPr>
          <w:rFonts w:ascii="方正仿宋_GBK" w:eastAsia="方正仿宋_GBK" w:hint="eastAsia"/>
          <w:sz w:val="32"/>
          <w:szCs w:val="32"/>
        </w:rPr>
        <w:t>批次，</w:t>
      </w:r>
      <w:r>
        <w:rPr>
          <w:rFonts w:ascii="方正仿宋_GBK" w:eastAsia="方正仿宋_GBK" w:hint="eastAsia"/>
          <w:sz w:val="32"/>
          <w:szCs w:val="32"/>
        </w:rPr>
        <w:t>0</w:t>
      </w:r>
      <w:r>
        <w:rPr>
          <w:rFonts w:ascii="方正仿宋_GBK" w:eastAsia="方正仿宋_GBK" w:hint="eastAsia"/>
          <w:sz w:val="32"/>
          <w:szCs w:val="32"/>
        </w:rPr>
        <w:t>人；国（境）外公务接待</w:t>
      </w:r>
      <w:r>
        <w:rPr>
          <w:rFonts w:ascii="方正仿宋_GBK" w:eastAsia="方正仿宋_GBK" w:hint="eastAsia"/>
          <w:sz w:val="32"/>
          <w:szCs w:val="32"/>
        </w:rPr>
        <w:t>0</w:t>
      </w:r>
      <w:r>
        <w:rPr>
          <w:rFonts w:ascii="方正仿宋_GBK" w:eastAsia="方正仿宋_GBK" w:hint="eastAsia"/>
          <w:sz w:val="32"/>
          <w:szCs w:val="32"/>
        </w:rPr>
        <w:t>批次，</w:t>
      </w:r>
      <w:r>
        <w:rPr>
          <w:rFonts w:ascii="方正仿宋_GBK" w:eastAsia="方正仿宋_GBK" w:hint="eastAsia"/>
          <w:sz w:val="32"/>
          <w:szCs w:val="32"/>
        </w:rPr>
        <w:t>0</w:t>
      </w:r>
      <w:r>
        <w:rPr>
          <w:rFonts w:ascii="方正仿宋_GBK" w:eastAsia="方正仿宋_GBK" w:hint="eastAsia"/>
          <w:sz w:val="32"/>
          <w:szCs w:val="32"/>
        </w:rPr>
        <w:t>人。</w:t>
      </w:r>
      <w:r>
        <w:rPr>
          <w:rFonts w:ascii="方正仿宋_GBK" w:eastAsia="方正仿宋_GBK" w:hint="eastAsia"/>
          <w:sz w:val="32"/>
          <w:szCs w:val="32"/>
        </w:rPr>
        <w:t>2020</w:t>
      </w:r>
      <w:r>
        <w:rPr>
          <w:rFonts w:ascii="方正仿宋_GBK" w:eastAsia="方正仿宋_GBK" w:hint="eastAsia"/>
          <w:sz w:val="32"/>
          <w:szCs w:val="32"/>
        </w:rPr>
        <w:t>年本部门人均接待费</w:t>
      </w:r>
      <w:r>
        <w:rPr>
          <w:rFonts w:ascii="方正仿宋_GBK" w:eastAsia="方正仿宋_GBK" w:hint="eastAsia"/>
          <w:sz w:val="32"/>
          <w:szCs w:val="32"/>
        </w:rPr>
        <w:t>0</w:t>
      </w:r>
      <w:r>
        <w:rPr>
          <w:rFonts w:ascii="方正仿宋_GBK" w:eastAsia="方正仿宋_GBK" w:hint="eastAsia"/>
          <w:sz w:val="32"/>
          <w:szCs w:val="32"/>
        </w:rPr>
        <w:t>元，车均购置费</w:t>
      </w:r>
      <w:r>
        <w:rPr>
          <w:rFonts w:ascii="方正仿宋_GBK" w:eastAsia="方正仿宋_GBK" w:hint="eastAsia"/>
          <w:sz w:val="32"/>
          <w:szCs w:val="32"/>
        </w:rPr>
        <w:t>0</w:t>
      </w:r>
      <w:r>
        <w:rPr>
          <w:rFonts w:ascii="方正仿宋_GBK" w:eastAsia="方正仿宋_GBK" w:hint="eastAsia"/>
          <w:sz w:val="32"/>
          <w:szCs w:val="32"/>
        </w:rPr>
        <w:t>万元，车均维护费</w:t>
      </w:r>
      <w:r>
        <w:rPr>
          <w:rFonts w:ascii="方正仿宋_GBK" w:eastAsia="方正仿宋_GBK" w:hint="eastAsia"/>
          <w:sz w:val="32"/>
          <w:szCs w:val="32"/>
        </w:rPr>
        <w:t>0</w:t>
      </w:r>
      <w:r>
        <w:rPr>
          <w:rFonts w:ascii="方正仿宋_GBK" w:eastAsia="方正仿宋_GBK" w:hint="eastAsia"/>
          <w:sz w:val="32"/>
          <w:szCs w:val="32"/>
        </w:rPr>
        <w:t>万元。</w:t>
      </w:r>
    </w:p>
    <w:p w14:paraId="60F93DCB" w14:textId="77777777" w:rsidR="00D40777" w:rsidRDefault="00C77F36">
      <w:pPr>
        <w:pStyle w:val="a9"/>
        <w:shd w:val="clear" w:color="auto" w:fill="FFFFFF"/>
        <w:spacing w:before="0" w:beforeAutospacing="0" w:after="0" w:afterAutospacing="0" w:line="560" w:lineRule="exact"/>
        <w:ind w:firstLineChars="200" w:firstLine="640"/>
        <w:jc w:val="both"/>
        <w:outlineLvl w:val="0"/>
        <w:rPr>
          <w:rStyle w:val="aa"/>
          <w:color w:val="000000" w:themeColor="text1"/>
        </w:rPr>
      </w:pPr>
      <w:r>
        <w:rPr>
          <w:rStyle w:val="aa"/>
          <w:rFonts w:ascii="方正黑体_GBK" w:eastAsia="方正黑体_GBK" w:hint="eastAsia"/>
          <w:b w:val="0"/>
          <w:color w:val="000000" w:themeColor="text1"/>
          <w:sz w:val="32"/>
          <w:szCs w:val="32"/>
        </w:rPr>
        <w:t>四、其他需要说明的事项</w:t>
      </w:r>
    </w:p>
    <w:p w14:paraId="54C48836"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（一）机关运行经费情况说明。</w:t>
      </w:r>
      <w:r>
        <w:rPr>
          <w:rFonts w:ascii="方正仿宋_GBK" w:eastAsia="方正仿宋_GBK" w:hint="eastAsia"/>
          <w:color w:val="000000" w:themeColor="text1"/>
          <w:sz w:val="32"/>
          <w:szCs w:val="32"/>
        </w:rPr>
        <w:t>2019</w:t>
      </w:r>
      <w:r>
        <w:rPr>
          <w:rFonts w:ascii="方正仿宋_GBK" w:eastAsia="方正仿宋_GBK" w:hint="eastAsia"/>
          <w:color w:val="000000" w:themeColor="text1"/>
          <w:sz w:val="32"/>
          <w:szCs w:val="32"/>
        </w:rPr>
        <w:t>年度本部门机关运行经费支出</w:t>
      </w:r>
      <w:r>
        <w:rPr>
          <w:rFonts w:ascii="方正仿宋_GBK" w:eastAsia="方正仿宋_GBK" w:hint="eastAsia"/>
          <w:color w:val="000000" w:themeColor="text1"/>
          <w:sz w:val="32"/>
          <w:szCs w:val="32"/>
        </w:rPr>
        <w:t>70.16</w:t>
      </w:r>
      <w:r>
        <w:rPr>
          <w:rFonts w:ascii="方正仿宋_GBK" w:eastAsia="方正仿宋_GBK" w:hint="eastAsia"/>
          <w:color w:val="000000" w:themeColor="text1"/>
          <w:sz w:val="32"/>
          <w:szCs w:val="32"/>
        </w:rPr>
        <w:t>万元，机关运行经费主要用于开支办公费、印刷费、手续费、邮电费、差旅费、租赁费、委托业务费、工会经费、福利费、其他交通费等</w:t>
      </w:r>
      <w:r>
        <w:rPr>
          <w:rFonts w:hint="eastAsia"/>
          <w:color w:val="000000" w:themeColor="text1"/>
          <w:sz w:val="22"/>
          <w:szCs w:val="22"/>
          <w:shd w:val="clear" w:color="auto" w:fill="FFFFFF"/>
        </w:rPr>
        <w:t>保</w:t>
      </w:r>
      <w:r>
        <w:rPr>
          <w:rFonts w:ascii="方正仿宋_GBK" w:eastAsia="方正仿宋_GBK" w:hint="eastAsia"/>
          <w:color w:val="000000" w:themeColor="text1"/>
          <w:sz w:val="32"/>
          <w:szCs w:val="32"/>
        </w:rPr>
        <w:t>障机关运行的经费</w:t>
      </w:r>
      <w:r>
        <w:rPr>
          <w:rFonts w:ascii="方正仿宋_GBK" w:eastAsia="方正仿宋_GBK" w:hint="eastAsia"/>
          <w:color w:val="000000" w:themeColor="text1"/>
          <w:sz w:val="32"/>
          <w:szCs w:val="32"/>
        </w:rPr>
        <w:lastRenderedPageBreak/>
        <w:t>支出。机关运行经费较上年决算数减少</w:t>
      </w:r>
      <w:r>
        <w:rPr>
          <w:rFonts w:ascii="方正仿宋_GBK" w:eastAsia="方正仿宋_GBK" w:hint="eastAsia"/>
          <w:color w:val="000000" w:themeColor="text1"/>
          <w:sz w:val="32"/>
          <w:szCs w:val="32"/>
        </w:rPr>
        <w:t>14.18</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16.8%</w:t>
      </w:r>
      <w:r>
        <w:rPr>
          <w:rFonts w:ascii="方正仿宋_GBK" w:eastAsia="方正仿宋_GBK" w:hint="eastAsia"/>
          <w:color w:val="000000" w:themeColor="text1"/>
          <w:sz w:val="32"/>
          <w:szCs w:val="32"/>
        </w:rPr>
        <w:t>，主要原因是贯彻过紧日子思想压缩日常公用经费。</w:t>
      </w:r>
    </w:p>
    <w:p w14:paraId="12AA55F0"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此外，本年度一般公共预算财政拨款会议费支出</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万元，较上年决算数增加</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万元，增长</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，主要原因是本年度未进行会务。本年度一般公共预算财政拨款培训费支出</w:t>
      </w:r>
      <w:r>
        <w:rPr>
          <w:rFonts w:ascii="方正仿宋_GBK" w:eastAsia="方正仿宋_GBK" w:hint="eastAsia"/>
          <w:color w:val="000000" w:themeColor="text1"/>
          <w:sz w:val="32"/>
          <w:szCs w:val="32"/>
        </w:rPr>
        <w:t>0.96</w:t>
      </w:r>
      <w:r>
        <w:rPr>
          <w:rFonts w:ascii="方正仿宋_GBK" w:eastAsia="方正仿宋_GBK" w:hint="eastAsia"/>
          <w:color w:val="000000" w:themeColor="text1"/>
          <w:sz w:val="32"/>
          <w:szCs w:val="32"/>
        </w:rPr>
        <w:t>万元，较上年决算数减少</w:t>
      </w:r>
      <w:r>
        <w:rPr>
          <w:rFonts w:ascii="方正仿宋_GBK" w:eastAsia="方正仿宋_GBK" w:hint="eastAsia"/>
          <w:color w:val="000000" w:themeColor="text1"/>
          <w:sz w:val="32"/>
          <w:szCs w:val="32"/>
        </w:rPr>
        <w:t>0.64</w:t>
      </w:r>
      <w:r>
        <w:rPr>
          <w:rFonts w:ascii="方正仿宋_GBK" w:eastAsia="方正仿宋_GBK" w:hint="eastAsia"/>
          <w:color w:val="000000" w:themeColor="text1"/>
          <w:sz w:val="32"/>
          <w:szCs w:val="32"/>
        </w:rPr>
        <w:t>万元，下降</w:t>
      </w:r>
      <w:r>
        <w:rPr>
          <w:rFonts w:ascii="方正仿宋_GBK" w:eastAsia="方正仿宋_GBK" w:hint="eastAsia"/>
          <w:color w:val="000000" w:themeColor="text1"/>
          <w:sz w:val="32"/>
          <w:szCs w:val="32"/>
        </w:rPr>
        <w:t>40%</w:t>
      </w:r>
      <w:r>
        <w:rPr>
          <w:rFonts w:ascii="方正仿宋_GBK" w:eastAsia="方正仿宋_GBK" w:hint="eastAsia"/>
          <w:color w:val="000000" w:themeColor="text1"/>
          <w:sz w:val="32"/>
          <w:szCs w:val="32"/>
        </w:rPr>
        <w:t>，主要原因是落实中央八项规定精神，严控“三公”经费支出。</w:t>
      </w:r>
    </w:p>
    <w:p w14:paraId="2BAF9541" w14:textId="77777777" w:rsidR="00D40777" w:rsidRDefault="00C77F36">
      <w:pPr>
        <w:widowControl w:val="0"/>
        <w:spacing w:line="56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（二）国有资产占用情况说明。</w:t>
      </w:r>
      <w:r>
        <w:rPr>
          <w:rFonts w:ascii="方正仿宋_GBK" w:eastAsia="方正仿宋_GBK" w:hint="eastAsia"/>
          <w:color w:val="000000" w:themeColor="text1"/>
          <w:sz w:val="32"/>
          <w:szCs w:val="32"/>
        </w:rPr>
        <w:t>截至</w:t>
      </w: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w:t>
      </w:r>
      <w:r>
        <w:rPr>
          <w:rFonts w:ascii="方正仿宋_GBK" w:eastAsia="方正仿宋_GBK" w:hint="eastAsia"/>
          <w:color w:val="000000" w:themeColor="text1"/>
          <w:sz w:val="32"/>
          <w:szCs w:val="32"/>
        </w:rPr>
        <w:t>12</w:t>
      </w:r>
      <w:r>
        <w:rPr>
          <w:rFonts w:ascii="方正仿宋_GBK" w:eastAsia="方正仿宋_GBK" w:hint="eastAsia"/>
          <w:color w:val="000000" w:themeColor="text1"/>
          <w:sz w:val="32"/>
          <w:szCs w:val="32"/>
        </w:rPr>
        <w:t>月</w:t>
      </w:r>
      <w:r>
        <w:rPr>
          <w:rFonts w:ascii="方正仿宋_GBK" w:eastAsia="方正仿宋_GBK" w:hint="eastAsia"/>
          <w:color w:val="000000" w:themeColor="text1"/>
          <w:sz w:val="32"/>
          <w:szCs w:val="32"/>
        </w:rPr>
        <w:t>31</w:t>
      </w:r>
      <w:r>
        <w:rPr>
          <w:rFonts w:ascii="方正仿宋_GBK" w:eastAsia="方正仿宋_GBK" w:hint="eastAsia"/>
          <w:color w:val="000000" w:themeColor="text1"/>
          <w:sz w:val="32"/>
          <w:szCs w:val="32"/>
        </w:rPr>
        <w:t>日，本部门共有车辆</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辆，其中，副部（省）级及以上领导用车</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辆、主要领导干部用车</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辆、机要通信用车</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辆、应急保障用车</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辆、执法执勤用车</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辆，特种专业技术用车</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辆，离退休干部用车</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辆，其他用车</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辆。单价</w:t>
      </w:r>
      <w:r>
        <w:rPr>
          <w:rFonts w:ascii="方正仿宋_GBK" w:eastAsia="方正仿宋_GBK" w:hint="eastAsia"/>
          <w:color w:val="000000" w:themeColor="text1"/>
          <w:sz w:val="32"/>
          <w:szCs w:val="32"/>
        </w:rPr>
        <w:t>5</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万元（含）以上通用设备</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台（套），单价</w:t>
      </w:r>
      <w:r>
        <w:rPr>
          <w:rFonts w:ascii="方正仿宋_GBK" w:eastAsia="方正仿宋_GBK" w:hint="eastAsia"/>
          <w:color w:val="000000" w:themeColor="text1"/>
          <w:sz w:val="32"/>
          <w:szCs w:val="32"/>
        </w:rPr>
        <w:t>100</w:t>
      </w:r>
      <w:r>
        <w:rPr>
          <w:rFonts w:ascii="方正仿宋_GBK" w:eastAsia="方正仿宋_GBK" w:hint="eastAsia"/>
          <w:color w:val="000000" w:themeColor="text1"/>
          <w:sz w:val="32"/>
          <w:szCs w:val="32"/>
        </w:rPr>
        <w:t>万元（含）以上专用设备</w:t>
      </w:r>
      <w:r>
        <w:rPr>
          <w:rFonts w:ascii="方正仿宋_GBK" w:eastAsia="方正仿宋_GBK" w:hint="eastAsia"/>
          <w:color w:val="000000" w:themeColor="text1"/>
          <w:sz w:val="32"/>
          <w:szCs w:val="32"/>
        </w:rPr>
        <w:t>0</w:t>
      </w:r>
      <w:r>
        <w:rPr>
          <w:rFonts w:ascii="方正仿宋_GBK" w:eastAsia="方正仿宋_GBK" w:hint="eastAsia"/>
          <w:color w:val="000000" w:themeColor="text1"/>
          <w:sz w:val="32"/>
          <w:szCs w:val="32"/>
        </w:rPr>
        <w:t>台（套）。</w:t>
      </w:r>
    </w:p>
    <w:p w14:paraId="09FDB9E1"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b/>
          <w:color w:val="000000" w:themeColor="text1"/>
          <w:sz w:val="32"/>
          <w:szCs w:val="32"/>
        </w:rPr>
      </w:pPr>
      <w:r>
        <w:rPr>
          <w:rStyle w:val="aa"/>
          <w:rFonts w:ascii="方正仿宋_GBK" w:eastAsia="方正仿宋_GBK" w:hint="eastAsia"/>
          <w:color w:val="000000" w:themeColor="text1"/>
          <w:sz w:val="32"/>
          <w:szCs w:val="32"/>
        </w:rPr>
        <w:t>（三）政府采购支出情况说明。</w:t>
      </w:r>
    </w:p>
    <w:p w14:paraId="65D0A95A" w14:textId="77777777" w:rsidR="00D40777" w:rsidRDefault="00C77F36">
      <w:pPr>
        <w:pStyle w:val="a9"/>
        <w:shd w:val="clear" w:color="auto" w:fill="FFFFFF"/>
        <w:spacing w:before="0" w:beforeAutospacing="0" w:after="0" w:afterAutospacing="0" w:line="56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2020</w:t>
      </w:r>
      <w:r>
        <w:rPr>
          <w:rFonts w:ascii="方正仿宋_GBK" w:eastAsia="方正仿宋_GBK" w:hint="eastAsia"/>
          <w:color w:val="000000" w:themeColor="text1"/>
          <w:sz w:val="32"/>
          <w:szCs w:val="32"/>
        </w:rPr>
        <w:t>年度我单位未发生政府采购事项，无相关经费支出。</w:t>
      </w:r>
    </w:p>
    <w:p w14:paraId="10FDDFE1" w14:textId="77777777" w:rsidR="00D40777" w:rsidRDefault="00C77F36">
      <w:pPr>
        <w:pStyle w:val="a9"/>
        <w:shd w:val="clear" w:color="auto" w:fill="FFFFFF"/>
        <w:spacing w:before="0" w:beforeAutospacing="0" w:after="0" w:afterAutospacing="0" w:line="560" w:lineRule="exact"/>
        <w:ind w:firstLineChars="200" w:firstLine="640"/>
        <w:jc w:val="both"/>
        <w:outlineLvl w:val="0"/>
        <w:rPr>
          <w:rStyle w:val="aa"/>
          <w:rFonts w:ascii="方正黑体_GBK" w:eastAsia="方正黑体_GBK"/>
          <w:color w:val="000000" w:themeColor="text1"/>
          <w:sz w:val="32"/>
          <w:szCs w:val="32"/>
        </w:rPr>
      </w:pPr>
      <w:r>
        <w:rPr>
          <w:rStyle w:val="aa"/>
          <w:rFonts w:ascii="方正黑体_GBK" w:eastAsia="方正黑体_GBK" w:hint="eastAsia"/>
          <w:color w:val="000000" w:themeColor="text1"/>
          <w:sz w:val="32"/>
          <w:szCs w:val="32"/>
        </w:rPr>
        <w:t>五、预算绩效管理情况说明</w:t>
      </w:r>
    </w:p>
    <w:p w14:paraId="768269B7" w14:textId="77777777" w:rsidR="00D40777" w:rsidRDefault="00C77F36">
      <w:pPr>
        <w:pStyle w:val="ab"/>
        <w:tabs>
          <w:tab w:val="center" w:pos="4153"/>
          <w:tab w:val="left" w:pos="7275"/>
        </w:tabs>
        <w:spacing w:line="560" w:lineRule="exact"/>
        <w:ind w:firstLine="640"/>
        <w:rPr>
          <w:rFonts w:ascii="方正仿宋_GBK" w:eastAsia="方正仿宋_GBK" w:hAnsi="宋体" w:cs="宋体"/>
          <w:color w:val="000000" w:themeColor="text1"/>
          <w:kern w:val="0"/>
          <w:sz w:val="32"/>
          <w:szCs w:val="32"/>
        </w:rPr>
      </w:pPr>
      <w:r>
        <w:rPr>
          <w:rFonts w:ascii="方正仿宋_GBK" w:eastAsia="方正仿宋_GBK" w:hAnsi="宋体" w:cs="宋体" w:hint="eastAsia"/>
          <w:b/>
          <w:color w:val="000000" w:themeColor="text1"/>
          <w:kern w:val="0"/>
          <w:sz w:val="32"/>
          <w:szCs w:val="32"/>
        </w:rPr>
        <w:t>（一）预算绩效管理工作开展情况</w:t>
      </w:r>
    </w:p>
    <w:p w14:paraId="041E8D6A" w14:textId="77777777" w:rsidR="00D40777" w:rsidRDefault="00C77F36">
      <w:pPr>
        <w:pStyle w:val="a9"/>
        <w:shd w:val="clear" w:color="auto" w:fill="FFFFFF"/>
        <w:spacing w:before="0" w:beforeAutospacing="0" w:after="0" w:afterAutospacing="0" w:line="560" w:lineRule="exact"/>
        <w:ind w:firstLineChars="200" w:firstLine="640"/>
        <w:jc w:val="both"/>
        <w:outlineLvl w:val="0"/>
        <w:rPr>
          <w:rFonts w:ascii="方正仿宋_GBK" w:eastAsia="方正仿宋_GBK"/>
          <w:b/>
          <w:bCs/>
          <w:color w:val="000000" w:themeColor="text1"/>
          <w:sz w:val="32"/>
          <w:szCs w:val="32"/>
        </w:rPr>
      </w:pPr>
      <w:r>
        <w:rPr>
          <w:rFonts w:ascii="方正仿宋_GBK" w:eastAsia="方正仿宋_GBK" w:hint="eastAsia"/>
          <w:color w:val="000000" w:themeColor="text1"/>
          <w:sz w:val="32"/>
          <w:szCs w:val="32"/>
        </w:rPr>
        <w:t>根据预算绩效管理要求，本部门对</w:t>
      </w:r>
      <w:r>
        <w:rPr>
          <w:rFonts w:ascii="方正仿宋_GBK" w:eastAsia="方正仿宋_GBK" w:hint="eastAsia"/>
          <w:color w:val="000000" w:themeColor="text1"/>
          <w:sz w:val="32"/>
          <w:szCs w:val="32"/>
        </w:rPr>
        <w:t>11</w:t>
      </w:r>
      <w:r>
        <w:rPr>
          <w:rFonts w:ascii="方正仿宋_GBK" w:eastAsia="方正仿宋_GBK" w:hint="eastAsia"/>
          <w:color w:val="000000" w:themeColor="text1"/>
          <w:sz w:val="32"/>
          <w:szCs w:val="32"/>
        </w:rPr>
        <w:t>个项目开展了绩效自评，以填报目标自评表形式开展自评，涉及资金</w:t>
      </w:r>
      <w:r>
        <w:rPr>
          <w:rFonts w:ascii="方正仿宋_GBK" w:eastAsia="方正仿宋_GBK" w:hint="eastAsia"/>
          <w:color w:val="000000" w:themeColor="text1"/>
          <w:sz w:val="32"/>
          <w:szCs w:val="32"/>
        </w:rPr>
        <w:t>555.17</w:t>
      </w:r>
      <w:r>
        <w:rPr>
          <w:rFonts w:ascii="方正仿宋_GBK" w:eastAsia="方正仿宋_GBK" w:hint="eastAsia"/>
          <w:color w:val="000000" w:themeColor="text1"/>
          <w:sz w:val="32"/>
          <w:szCs w:val="32"/>
        </w:rPr>
        <w:t>万元，从评价情况来看，项目资金执行率</w:t>
      </w:r>
      <w:r>
        <w:rPr>
          <w:rFonts w:ascii="方正仿宋_GBK" w:eastAsia="方正仿宋_GBK" w:hint="eastAsia"/>
          <w:color w:val="000000" w:themeColor="text1"/>
          <w:sz w:val="32"/>
          <w:szCs w:val="32"/>
        </w:rPr>
        <w:t>65.3%</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rPr>
        <w:lastRenderedPageBreak/>
        <w:t>做到专项专用，未发现虚列（套取）、截留、挤占、挪用、超标准开支的情况。</w:t>
      </w:r>
    </w:p>
    <w:p w14:paraId="2323DFC5" w14:textId="77777777" w:rsidR="00D40777" w:rsidRDefault="00C77F36">
      <w:pPr>
        <w:pStyle w:val="ab"/>
        <w:tabs>
          <w:tab w:val="center" w:pos="4153"/>
          <w:tab w:val="left" w:pos="7275"/>
        </w:tabs>
        <w:spacing w:line="560" w:lineRule="exact"/>
        <w:ind w:firstLine="640"/>
        <w:rPr>
          <w:rFonts w:ascii="方正仿宋_GBK" w:eastAsia="方正仿宋_GBK" w:hAnsi="宋体" w:cs="宋体"/>
          <w:b/>
          <w:color w:val="000000" w:themeColor="text1"/>
          <w:kern w:val="0"/>
          <w:sz w:val="32"/>
          <w:szCs w:val="32"/>
        </w:rPr>
      </w:pPr>
      <w:r>
        <w:rPr>
          <w:rFonts w:ascii="方正仿宋_GBK" w:eastAsia="方正仿宋_GBK" w:hAnsi="宋体" w:cs="宋体" w:hint="eastAsia"/>
          <w:b/>
          <w:color w:val="000000" w:themeColor="text1"/>
          <w:kern w:val="0"/>
          <w:sz w:val="32"/>
          <w:szCs w:val="32"/>
        </w:rPr>
        <w:t>（二）绩效自评结果</w:t>
      </w:r>
    </w:p>
    <w:p w14:paraId="324C4E40" w14:textId="77777777" w:rsidR="00D40777" w:rsidRDefault="00C77F36">
      <w:pPr>
        <w:pStyle w:val="ab"/>
        <w:tabs>
          <w:tab w:val="center" w:pos="4153"/>
          <w:tab w:val="left" w:pos="7275"/>
        </w:tabs>
        <w:spacing w:line="600" w:lineRule="exact"/>
        <w:ind w:firstLine="640"/>
        <w:rPr>
          <w:rFonts w:ascii="方正仿宋_GBK" w:eastAsia="方正仿宋_GBK" w:hAnsi="宋体" w:cs="宋体"/>
          <w:b/>
          <w:color w:val="000000" w:themeColor="text1"/>
          <w:kern w:val="0"/>
          <w:sz w:val="32"/>
          <w:szCs w:val="32"/>
        </w:rPr>
      </w:pPr>
      <w:r>
        <w:rPr>
          <w:rFonts w:ascii="方正仿宋_GBK" w:eastAsia="方正仿宋_GBK" w:hAnsi="宋体" w:cs="宋体"/>
          <w:b/>
          <w:color w:val="000000" w:themeColor="text1"/>
          <w:kern w:val="0"/>
          <w:sz w:val="32"/>
          <w:szCs w:val="32"/>
        </w:rPr>
        <w:t>1.</w:t>
      </w:r>
      <w:r>
        <w:rPr>
          <w:rFonts w:ascii="方正仿宋_GBK" w:eastAsia="方正仿宋_GBK" w:hAnsi="宋体" w:cs="宋体"/>
          <w:b/>
          <w:color w:val="000000" w:themeColor="text1"/>
          <w:kern w:val="0"/>
          <w:sz w:val="32"/>
          <w:szCs w:val="32"/>
        </w:rPr>
        <w:t>绩效自评表</w:t>
      </w:r>
    </w:p>
    <w:tbl>
      <w:tblPr>
        <w:tblW w:w="0" w:type="auto"/>
        <w:tblInd w:w="108" w:type="dxa"/>
        <w:tblLook w:val="04A0" w:firstRow="1" w:lastRow="0" w:firstColumn="1" w:lastColumn="0" w:noHBand="0" w:noVBand="1"/>
      </w:tblPr>
      <w:tblGrid>
        <w:gridCol w:w="576"/>
        <w:gridCol w:w="576"/>
        <w:gridCol w:w="580"/>
        <w:gridCol w:w="1213"/>
        <w:gridCol w:w="850"/>
        <w:gridCol w:w="850"/>
        <w:gridCol w:w="850"/>
        <w:gridCol w:w="737"/>
        <w:gridCol w:w="756"/>
        <w:gridCol w:w="756"/>
        <w:gridCol w:w="756"/>
      </w:tblGrid>
      <w:tr w:rsidR="00D40777" w14:paraId="4C0F53F1" w14:textId="77777777">
        <w:trPr>
          <w:trHeight w:val="601"/>
        </w:trPr>
        <w:tc>
          <w:tcPr>
            <w:tcW w:w="0" w:type="auto"/>
            <w:gridSpan w:val="11"/>
            <w:tcBorders>
              <w:top w:val="nil"/>
              <w:left w:val="nil"/>
              <w:bottom w:val="nil"/>
              <w:right w:val="nil"/>
            </w:tcBorders>
            <w:shd w:val="clear" w:color="auto" w:fill="auto"/>
            <w:vAlign w:val="center"/>
          </w:tcPr>
          <w:p w14:paraId="3462C43E" w14:textId="77777777" w:rsidR="00D40777" w:rsidRDefault="00C77F36">
            <w:pPr>
              <w:autoSpaceDN w:val="0"/>
              <w:jc w:val="center"/>
              <w:rPr>
                <w:rFonts w:ascii="方正小标宋_GBK" w:eastAsia="方正小标宋_GBK" w:hAnsi="Calibri"/>
                <w:color w:val="000000"/>
                <w:sz w:val="36"/>
                <w:szCs w:val="36"/>
              </w:rPr>
            </w:pPr>
            <w:r>
              <w:rPr>
                <w:rFonts w:ascii="Times New Roman" w:hAnsi="Times New Roman" w:cs="Times New Roman"/>
                <w:b/>
                <w:bCs/>
                <w:color w:val="000000"/>
                <w:sz w:val="29"/>
              </w:rPr>
              <w:t>20</w:t>
            </w:r>
            <w:r>
              <w:rPr>
                <w:rFonts w:ascii="Times New Roman" w:hAnsi="Times New Roman" w:cs="Times New Roman" w:hint="eastAsia"/>
                <w:b/>
                <w:bCs/>
                <w:color w:val="000000"/>
                <w:sz w:val="29"/>
              </w:rPr>
              <w:t>20</w:t>
            </w:r>
            <w:r>
              <w:rPr>
                <w:b/>
                <w:bCs/>
                <w:color w:val="000000"/>
                <w:sz w:val="29"/>
              </w:rPr>
              <w:t>年度项目绩效目标自评表</w:t>
            </w:r>
          </w:p>
        </w:tc>
      </w:tr>
      <w:tr w:rsidR="00D40777" w14:paraId="0EDE73D3" w14:textId="77777777">
        <w:trPr>
          <w:trHeight w:val="6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142117"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项目名称</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36462F58"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废弃农膜回收</w:t>
            </w:r>
          </w:p>
        </w:tc>
        <w:tc>
          <w:tcPr>
            <w:tcW w:w="0" w:type="auto"/>
            <w:tcBorders>
              <w:top w:val="single" w:sz="4" w:space="0" w:color="auto"/>
              <w:left w:val="nil"/>
              <w:bottom w:val="single" w:sz="4" w:space="0" w:color="auto"/>
              <w:right w:val="single" w:sz="4" w:space="0" w:color="auto"/>
            </w:tcBorders>
            <w:shd w:val="clear" w:color="auto" w:fill="auto"/>
            <w:vAlign w:val="center"/>
          </w:tcPr>
          <w:p w14:paraId="3D932175"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项目编码</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507751DB" w14:textId="77777777" w:rsidR="00D40777" w:rsidRDefault="00C77F36">
            <w:pPr>
              <w:autoSpaceDN w:val="0"/>
              <w:rPr>
                <w:rFonts w:ascii="方正仿宋_GBK" w:eastAsia="方正仿宋_GBK" w:hAnsi="Calibri"/>
                <w:color w:val="000000"/>
                <w:sz w:val="18"/>
                <w:szCs w:val="18"/>
              </w:rPr>
            </w:pPr>
            <w:r>
              <w:rPr>
                <w:rFonts w:ascii="方正仿宋_GBK" w:eastAsia="方正仿宋_GBK" w:hAnsi="Calibri" w:hint="eastAsia"/>
                <w:color w:val="000000"/>
                <w:sz w:val="18"/>
                <w:szCs w:val="18"/>
              </w:rPr>
              <w:t>重庆市南岸区供销合作社</w:t>
            </w:r>
          </w:p>
        </w:tc>
        <w:tc>
          <w:tcPr>
            <w:tcW w:w="0" w:type="auto"/>
            <w:tcBorders>
              <w:top w:val="single" w:sz="4" w:space="0" w:color="auto"/>
              <w:left w:val="nil"/>
              <w:bottom w:val="single" w:sz="4" w:space="0" w:color="auto"/>
              <w:right w:val="single" w:sz="4" w:space="0" w:color="auto"/>
            </w:tcBorders>
            <w:shd w:val="clear" w:color="auto" w:fill="auto"/>
            <w:vAlign w:val="center"/>
          </w:tcPr>
          <w:p w14:paraId="0C8C1BEC"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自评总分</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（分）</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14:paraId="7617ECA5"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r>
      <w:tr w:rsidR="00D40777" w14:paraId="782A0DC8" w14:textId="77777777">
        <w:trPr>
          <w:trHeight w:val="601"/>
        </w:trPr>
        <w:tc>
          <w:tcPr>
            <w:tcW w:w="0" w:type="auto"/>
            <w:tcBorders>
              <w:top w:val="nil"/>
              <w:left w:val="single" w:sz="4" w:space="0" w:color="auto"/>
              <w:bottom w:val="single" w:sz="4" w:space="0" w:color="auto"/>
              <w:right w:val="single" w:sz="4" w:space="0" w:color="auto"/>
            </w:tcBorders>
            <w:shd w:val="clear" w:color="auto" w:fill="auto"/>
            <w:vAlign w:val="center"/>
          </w:tcPr>
          <w:p w14:paraId="070E1F20"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主管部门</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43CCCE50"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重庆市南岸区供销合作社</w:t>
            </w:r>
          </w:p>
        </w:tc>
        <w:tc>
          <w:tcPr>
            <w:tcW w:w="0" w:type="auto"/>
            <w:tcBorders>
              <w:top w:val="nil"/>
              <w:left w:val="nil"/>
              <w:bottom w:val="single" w:sz="4" w:space="0" w:color="auto"/>
              <w:right w:val="single" w:sz="4" w:space="0" w:color="auto"/>
            </w:tcBorders>
            <w:shd w:val="clear" w:color="auto" w:fill="auto"/>
            <w:vAlign w:val="center"/>
          </w:tcPr>
          <w:p w14:paraId="2313BC0A"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财政处室</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47219177"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农业科</w:t>
            </w:r>
          </w:p>
        </w:tc>
        <w:tc>
          <w:tcPr>
            <w:tcW w:w="0" w:type="auto"/>
            <w:tcBorders>
              <w:top w:val="nil"/>
              <w:left w:val="nil"/>
              <w:bottom w:val="single" w:sz="4" w:space="0" w:color="auto"/>
              <w:right w:val="single" w:sz="4" w:space="0" w:color="auto"/>
            </w:tcBorders>
            <w:shd w:val="clear" w:color="auto" w:fill="auto"/>
            <w:vAlign w:val="center"/>
          </w:tcPr>
          <w:p w14:paraId="6DD66728"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联系人</w:t>
            </w:r>
          </w:p>
        </w:tc>
        <w:tc>
          <w:tcPr>
            <w:tcW w:w="0" w:type="auto"/>
            <w:tcBorders>
              <w:top w:val="nil"/>
              <w:left w:val="nil"/>
              <w:bottom w:val="single" w:sz="4" w:space="0" w:color="auto"/>
              <w:right w:val="single" w:sz="4" w:space="0" w:color="auto"/>
            </w:tcBorders>
            <w:shd w:val="clear" w:color="auto" w:fill="auto"/>
            <w:vAlign w:val="center"/>
          </w:tcPr>
          <w:p w14:paraId="55405D12"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赵炳南　</w:t>
            </w:r>
          </w:p>
        </w:tc>
        <w:tc>
          <w:tcPr>
            <w:tcW w:w="0" w:type="auto"/>
            <w:tcBorders>
              <w:top w:val="nil"/>
              <w:left w:val="nil"/>
              <w:bottom w:val="single" w:sz="4" w:space="0" w:color="auto"/>
              <w:right w:val="single" w:sz="4" w:space="0" w:color="auto"/>
            </w:tcBorders>
            <w:shd w:val="clear" w:color="auto" w:fill="auto"/>
            <w:vAlign w:val="center"/>
          </w:tcPr>
          <w:p w14:paraId="213F58FA"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联系电话</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14:paraId="164535B5" w14:textId="77777777" w:rsidR="00D40777" w:rsidRDefault="00C77F36">
            <w:pPr>
              <w:autoSpaceDN w:val="0"/>
              <w:rPr>
                <w:rFonts w:ascii="方正仿宋_GBK" w:eastAsia="方正仿宋_GBK" w:hAnsi="Calibri"/>
                <w:color w:val="000000"/>
                <w:sz w:val="18"/>
                <w:szCs w:val="18"/>
              </w:rPr>
            </w:pPr>
            <w:r>
              <w:rPr>
                <w:rFonts w:ascii="方正仿宋_GBK" w:eastAsia="方正仿宋_GBK" w:hint="eastAsia"/>
                <w:color w:val="000000"/>
                <w:sz w:val="18"/>
                <w:szCs w:val="18"/>
              </w:rPr>
              <w:t>62802084</w:t>
            </w:r>
          </w:p>
        </w:tc>
      </w:tr>
      <w:tr w:rsidR="00D40777" w14:paraId="339B0466" w14:textId="77777777">
        <w:trPr>
          <w:cantSplit/>
          <w:trHeight w:val="601"/>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005FB83B"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项目资金（万元）</w:t>
            </w:r>
          </w:p>
        </w:tc>
        <w:tc>
          <w:tcPr>
            <w:tcW w:w="0" w:type="auto"/>
            <w:tcBorders>
              <w:top w:val="nil"/>
              <w:left w:val="nil"/>
              <w:bottom w:val="single" w:sz="4" w:space="0" w:color="auto"/>
              <w:right w:val="nil"/>
            </w:tcBorders>
            <w:shd w:val="clear" w:color="auto" w:fill="auto"/>
            <w:vAlign w:val="center"/>
          </w:tcPr>
          <w:p w14:paraId="732B6B99"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3CBC750"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年初预算数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1BAA4485"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E1370D7"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全年执行数</w:t>
            </w:r>
          </w:p>
        </w:tc>
        <w:tc>
          <w:tcPr>
            <w:tcW w:w="0" w:type="auto"/>
            <w:tcBorders>
              <w:top w:val="nil"/>
              <w:left w:val="nil"/>
              <w:bottom w:val="single" w:sz="4" w:space="0" w:color="auto"/>
              <w:right w:val="single" w:sz="4" w:space="0" w:color="auto"/>
            </w:tcBorders>
            <w:shd w:val="clear" w:color="auto" w:fill="auto"/>
            <w:vAlign w:val="center"/>
          </w:tcPr>
          <w:p w14:paraId="7ADCCFBA"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执行率</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w:t>
            </w:r>
            <w:r>
              <w:rPr>
                <w:rFonts w:ascii="方正仿宋_GBK" w:eastAsia="方正仿宋_GBK" w:hint="eastAsia"/>
                <w:color w:val="000000"/>
                <w:sz w:val="18"/>
                <w:szCs w:val="18"/>
              </w:rPr>
              <w:t>%</w:t>
            </w:r>
            <w:r>
              <w:rPr>
                <w:rFonts w:ascii="方正仿宋_GBK" w:eastAsia="方正仿宋_GBK" w:hint="eastAsia"/>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041A1ADE"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执行率</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权重</w:t>
            </w:r>
          </w:p>
        </w:tc>
        <w:tc>
          <w:tcPr>
            <w:tcW w:w="0" w:type="auto"/>
            <w:tcBorders>
              <w:top w:val="nil"/>
              <w:left w:val="nil"/>
              <w:bottom w:val="single" w:sz="4" w:space="0" w:color="auto"/>
              <w:right w:val="single" w:sz="4" w:space="0" w:color="auto"/>
            </w:tcBorders>
            <w:shd w:val="clear" w:color="auto" w:fill="auto"/>
            <w:vAlign w:val="center"/>
          </w:tcPr>
          <w:p w14:paraId="788579B5"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执行率得分</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（分）</w:t>
            </w:r>
          </w:p>
        </w:tc>
      </w:tr>
      <w:tr w:rsidR="00D40777" w14:paraId="5C8A4ED5" w14:textId="77777777">
        <w:trPr>
          <w:cantSplit/>
          <w:trHeight w:val="601"/>
        </w:trPr>
        <w:tc>
          <w:tcPr>
            <w:tcW w:w="0" w:type="auto"/>
            <w:vMerge/>
            <w:tcBorders>
              <w:top w:val="nil"/>
              <w:left w:val="single" w:sz="4" w:space="0" w:color="auto"/>
              <w:bottom w:val="single" w:sz="4" w:space="0" w:color="auto"/>
              <w:right w:val="single" w:sz="4" w:space="0" w:color="auto"/>
            </w:tcBorders>
            <w:vAlign w:val="center"/>
          </w:tcPr>
          <w:p w14:paraId="5D048968" w14:textId="77777777" w:rsidR="00D40777" w:rsidRDefault="00D4077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12183825"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年度总金额</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62EA35B"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8.9</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63DB194"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8.9</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07D2343D"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8.9</w:t>
            </w:r>
          </w:p>
        </w:tc>
        <w:tc>
          <w:tcPr>
            <w:tcW w:w="0" w:type="auto"/>
            <w:tcBorders>
              <w:top w:val="nil"/>
              <w:left w:val="nil"/>
              <w:bottom w:val="single" w:sz="4" w:space="0" w:color="auto"/>
              <w:right w:val="single" w:sz="4" w:space="0" w:color="auto"/>
            </w:tcBorders>
            <w:shd w:val="clear" w:color="auto" w:fill="auto"/>
            <w:vAlign w:val="center"/>
          </w:tcPr>
          <w:p w14:paraId="262AC7DA"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14:paraId="5241B8CE" w14:textId="77777777" w:rsidR="00D40777" w:rsidRDefault="00C77F36">
            <w:pPr>
              <w:autoSpaceDN w:val="0"/>
              <w:jc w:val="center"/>
              <w:rPr>
                <w:rFonts w:ascii="方正仿宋_GBK" w:eastAsia="方正仿宋_GBK" w:hAnsi="Calibri"/>
                <w:sz w:val="18"/>
                <w:szCs w:val="18"/>
              </w:rPr>
            </w:pPr>
            <w:r>
              <w:rPr>
                <w:rFonts w:ascii="方正仿宋_GBK" w:eastAsia="方正仿宋_GBK" w:hint="eastAsia"/>
                <w:sz w:val="18"/>
                <w:szCs w:val="18"/>
              </w:rPr>
              <w:t xml:space="preserve">　</w:t>
            </w:r>
            <w:r>
              <w:rPr>
                <w:rFonts w:ascii="方正仿宋_GBK" w:eastAsia="方正仿宋_GBK" w:hint="eastAsia"/>
                <w:sz w:val="18"/>
                <w:szCs w:val="18"/>
              </w:rPr>
              <w:t>100</w:t>
            </w:r>
          </w:p>
        </w:tc>
        <w:tc>
          <w:tcPr>
            <w:tcW w:w="0" w:type="auto"/>
            <w:tcBorders>
              <w:top w:val="nil"/>
              <w:left w:val="nil"/>
              <w:bottom w:val="single" w:sz="4" w:space="0" w:color="auto"/>
              <w:right w:val="single" w:sz="4" w:space="0" w:color="auto"/>
            </w:tcBorders>
            <w:shd w:val="clear" w:color="auto" w:fill="auto"/>
            <w:vAlign w:val="center"/>
          </w:tcPr>
          <w:p w14:paraId="3E5BA308"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r>
              <w:rPr>
                <w:rFonts w:ascii="方正仿宋_GBK" w:eastAsia="方正仿宋_GBK" w:hint="eastAsia"/>
                <w:color w:val="000000"/>
                <w:sz w:val="18"/>
                <w:szCs w:val="18"/>
              </w:rPr>
              <w:t xml:space="preserve">　</w:t>
            </w:r>
          </w:p>
        </w:tc>
      </w:tr>
      <w:tr w:rsidR="00D40777" w14:paraId="5EA87130" w14:textId="77777777">
        <w:trPr>
          <w:cantSplit/>
          <w:trHeight w:val="601"/>
        </w:trPr>
        <w:tc>
          <w:tcPr>
            <w:tcW w:w="0" w:type="auto"/>
            <w:vMerge/>
            <w:tcBorders>
              <w:top w:val="nil"/>
              <w:left w:val="single" w:sz="4" w:space="0" w:color="auto"/>
              <w:bottom w:val="single" w:sz="4" w:space="0" w:color="auto"/>
              <w:right w:val="single" w:sz="4" w:space="0" w:color="auto"/>
            </w:tcBorders>
            <w:vAlign w:val="center"/>
          </w:tcPr>
          <w:p w14:paraId="40FF34EB" w14:textId="77777777" w:rsidR="00D40777" w:rsidRDefault="00D4077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199DF8A9" w14:textId="77777777" w:rsidR="00D40777" w:rsidRDefault="00C77F36">
            <w:pPr>
              <w:wordWrap w:val="0"/>
              <w:autoSpaceDN w:val="0"/>
              <w:jc w:val="right"/>
              <w:rPr>
                <w:rFonts w:ascii="方正仿宋_GBK" w:eastAsia="方正仿宋_GBK" w:hAnsi="Calibri"/>
                <w:color w:val="000000"/>
                <w:sz w:val="18"/>
                <w:szCs w:val="18"/>
              </w:rPr>
            </w:pPr>
            <w:r>
              <w:rPr>
                <w:rFonts w:ascii="方正仿宋_GBK" w:eastAsia="方正仿宋_GBK" w:hint="eastAsia"/>
                <w:color w:val="000000"/>
                <w:sz w:val="18"/>
                <w:szCs w:val="18"/>
              </w:rPr>
              <w:t>其中：区级支出</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C592457"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8.9</w:t>
            </w:r>
            <w:r>
              <w:rPr>
                <w:rFonts w:ascii="方正仿宋_GBK" w:eastAsia="方正仿宋_GBK" w:hint="eastAsia"/>
                <w:color w:val="000000"/>
                <w:sz w:val="18"/>
                <w:szCs w:val="18"/>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62D3F93E"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8.9</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14:paraId="790D9EFB"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8.9</w:t>
            </w:r>
          </w:p>
        </w:tc>
        <w:tc>
          <w:tcPr>
            <w:tcW w:w="0" w:type="auto"/>
            <w:tcBorders>
              <w:top w:val="nil"/>
              <w:left w:val="nil"/>
              <w:bottom w:val="single" w:sz="4" w:space="0" w:color="auto"/>
              <w:right w:val="single" w:sz="4" w:space="0" w:color="auto"/>
            </w:tcBorders>
            <w:shd w:val="clear" w:color="auto" w:fill="auto"/>
            <w:vAlign w:val="center"/>
          </w:tcPr>
          <w:p w14:paraId="1A98ECC3"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14:paraId="77BFA5C4"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hint="eastAsia"/>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14:paraId="0E474180"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100</w:t>
            </w:r>
          </w:p>
        </w:tc>
      </w:tr>
      <w:tr w:rsidR="00D40777" w14:paraId="694B6D8E" w14:textId="77777777">
        <w:trPr>
          <w:cantSplit/>
          <w:trHeight w:val="601"/>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14:paraId="7F0B2649"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当年绩效目标</w:t>
            </w: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14:paraId="69C8B547"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年初绩效目标</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14:paraId="53DF613F"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全年（调整）绩效目标</w:t>
            </w: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14:paraId="3BA2A2C7"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全年目标实际完成情况</w:t>
            </w:r>
          </w:p>
        </w:tc>
      </w:tr>
      <w:tr w:rsidR="00D40777" w14:paraId="58DE612B" w14:textId="77777777">
        <w:trPr>
          <w:cantSplit/>
          <w:trHeight w:val="1352"/>
        </w:trPr>
        <w:tc>
          <w:tcPr>
            <w:tcW w:w="0" w:type="auto"/>
            <w:vMerge/>
            <w:tcBorders>
              <w:top w:val="nil"/>
              <w:left w:val="single" w:sz="4" w:space="0" w:color="auto"/>
              <w:bottom w:val="single" w:sz="4" w:space="0" w:color="auto"/>
              <w:right w:val="single" w:sz="4" w:space="0" w:color="auto"/>
            </w:tcBorders>
            <w:vAlign w:val="center"/>
          </w:tcPr>
          <w:p w14:paraId="0DB6C272" w14:textId="77777777" w:rsidR="00D40777" w:rsidRDefault="00D40777">
            <w:pPr>
              <w:rPr>
                <w:rFonts w:ascii="方正仿宋_GBK" w:eastAsia="方正仿宋_GBK" w:hAnsi="Calibri"/>
                <w:color w:val="000000"/>
                <w:sz w:val="18"/>
                <w:szCs w:val="18"/>
              </w:rPr>
            </w:pP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14:paraId="374E4B6F"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color w:val="000000"/>
                <w:sz w:val="18"/>
                <w:szCs w:val="18"/>
              </w:rPr>
              <w:t>2020</w:t>
            </w:r>
            <w:r>
              <w:rPr>
                <w:rFonts w:ascii="方正仿宋_GBK" w:eastAsia="方正仿宋_GBK"/>
                <w:color w:val="000000"/>
                <w:sz w:val="18"/>
                <w:szCs w:val="18"/>
              </w:rPr>
              <w:t>年回收覆盖全区所有乡镇（街道）回收率达</w:t>
            </w:r>
            <w:r>
              <w:rPr>
                <w:rFonts w:ascii="方正仿宋_GBK" w:eastAsia="方正仿宋_GBK"/>
                <w:color w:val="000000"/>
                <w:sz w:val="18"/>
                <w:szCs w:val="18"/>
              </w:rPr>
              <w:t>82%</w:t>
            </w:r>
            <w:r>
              <w:rPr>
                <w:rFonts w:ascii="方正仿宋_GBK" w:eastAsia="方正仿宋_GBK"/>
                <w:color w:val="000000"/>
                <w:sz w:val="18"/>
                <w:szCs w:val="18"/>
              </w:rPr>
              <w:t>以上。并初步建立废旧农膜捡拾、收购、加工利用的运作体系，农田和环境污染得到有效控制。</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14:paraId="51B0A7C2"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无</w:t>
            </w: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14:paraId="01208D6E"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color w:val="000000"/>
                <w:sz w:val="18"/>
                <w:szCs w:val="18"/>
              </w:rPr>
              <w:t>2020</w:t>
            </w:r>
            <w:r>
              <w:rPr>
                <w:rFonts w:ascii="方正仿宋_GBK" w:eastAsia="方正仿宋_GBK"/>
                <w:color w:val="000000"/>
                <w:sz w:val="18"/>
                <w:szCs w:val="18"/>
              </w:rPr>
              <w:t>年回收覆盖全区所有乡镇（街道）回收率达</w:t>
            </w:r>
            <w:r>
              <w:rPr>
                <w:rFonts w:ascii="方正仿宋_GBK" w:eastAsia="方正仿宋_GBK" w:hint="eastAsia"/>
                <w:color w:val="000000"/>
                <w:sz w:val="18"/>
                <w:szCs w:val="18"/>
              </w:rPr>
              <w:t>100%</w:t>
            </w:r>
            <w:r>
              <w:rPr>
                <w:rFonts w:ascii="方正仿宋_GBK" w:eastAsia="方正仿宋_GBK"/>
                <w:color w:val="000000"/>
                <w:sz w:val="18"/>
                <w:szCs w:val="18"/>
              </w:rPr>
              <w:t>。并初步建立废旧农膜捡拾、收购、加工利用的运作体系，农田和环境污染得到有效控制。</w:t>
            </w:r>
          </w:p>
        </w:tc>
      </w:tr>
      <w:tr w:rsidR="00D40777" w14:paraId="5D433489" w14:textId="77777777">
        <w:trPr>
          <w:cantSplit/>
          <w:trHeight w:val="601"/>
        </w:trPr>
        <w:tc>
          <w:tcPr>
            <w:tcW w:w="0" w:type="auto"/>
            <w:vMerge w:val="restart"/>
            <w:tcBorders>
              <w:top w:val="nil"/>
              <w:left w:val="single" w:sz="4" w:space="0" w:color="auto"/>
              <w:bottom w:val="single" w:sz="4" w:space="0" w:color="auto"/>
              <w:right w:val="single" w:sz="4" w:space="0" w:color="auto"/>
            </w:tcBorders>
            <w:shd w:val="clear" w:color="auto" w:fill="auto"/>
            <w:textDirection w:val="tbRlV"/>
            <w:vAlign w:val="center"/>
          </w:tcPr>
          <w:p w14:paraId="66428EE7"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绩效指标</w:t>
            </w:r>
          </w:p>
        </w:tc>
        <w:tc>
          <w:tcPr>
            <w:tcW w:w="0" w:type="auto"/>
            <w:tcBorders>
              <w:top w:val="nil"/>
              <w:left w:val="nil"/>
              <w:bottom w:val="single" w:sz="4" w:space="0" w:color="auto"/>
              <w:right w:val="nil"/>
            </w:tcBorders>
            <w:shd w:val="clear" w:color="auto" w:fill="auto"/>
            <w:vAlign w:val="center"/>
          </w:tcPr>
          <w:p w14:paraId="227128E2"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指标名称</w:t>
            </w:r>
          </w:p>
        </w:tc>
        <w:tc>
          <w:tcPr>
            <w:tcW w:w="699" w:type="dxa"/>
            <w:tcBorders>
              <w:top w:val="nil"/>
              <w:left w:val="single" w:sz="4" w:space="0" w:color="auto"/>
              <w:bottom w:val="single" w:sz="4" w:space="0" w:color="auto"/>
              <w:right w:val="single" w:sz="4" w:space="0" w:color="auto"/>
            </w:tcBorders>
            <w:shd w:val="clear" w:color="auto" w:fill="auto"/>
            <w:vAlign w:val="center"/>
          </w:tcPr>
          <w:p w14:paraId="6A3A2E55"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计量</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单位</w:t>
            </w:r>
          </w:p>
        </w:tc>
        <w:tc>
          <w:tcPr>
            <w:tcW w:w="1404" w:type="dxa"/>
            <w:tcBorders>
              <w:top w:val="nil"/>
              <w:left w:val="nil"/>
              <w:bottom w:val="single" w:sz="4" w:space="0" w:color="auto"/>
              <w:right w:val="single" w:sz="4" w:space="0" w:color="auto"/>
            </w:tcBorders>
            <w:shd w:val="clear" w:color="auto" w:fill="auto"/>
            <w:vAlign w:val="center"/>
          </w:tcPr>
          <w:p w14:paraId="5510509D"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性质</w:t>
            </w:r>
          </w:p>
        </w:tc>
        <w:tc>
          <w:tcPr>
            <w:tcW w:w="0" w:type="auto"/>
            <w:tcBorders>
              <w:top w:val="nil"/>
              <w:left w:val="nil"/>
              <w:bottom w:val="single" w:sz="4" w:space="0" w:color="auto"/>
              <w:right w:val="single" w:sz="4" w:space="0" w:color="auto"/>
            </w:tcBorders>
            <w:shd w:val="clear" w:color="auto" w:fill="auto"/>
            <w:vAlign w:val="center"/>
          </w:tcPr>
          <w:p w14:paraId="6DF179CA"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年初</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指标值</w:t>
            </w:r>
          </w:p>
        </w:tc>
        <w:tc>
          <w:tcPr>
            <w:tcW w:w="0" w:type="auto"/>
            <w:tcBorders>
              <w:top w:val="nil"/>
              <w:left w:val="nil"/>
              <w:bottom w:val="single" w:sz="4" w:space="0" w:color="auto"/>
              <w:right w:val="single" w:sz="4" w:space="0" w:color="auto"/>
            </w:tcBorders>
            <w:shd w:val="clear" w:color="auto" w:fill="auto"/>
            <w:vAlign w:val="center"/>
          </w:tcPr>
          <w:p w14:paraId="63DA23A8"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调整</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指标值</w:t>
            </w:r>
          </w:p>
        </w:tc>
        <w:tc>
          <w:tcPr>
            <w:tcW w:w="0" w:type="auto"/>
            <w:tcBorders>
              <w:top w:val="nil"/>
              <w:left w:val="nil"/>
              <w:bottom w:val="single" w:sz="4" w:space="0" w:color="auto"/>
              <w:right w:val="single" w:sz="4" w:space="0" w:color="auto"/>
            </w:tcBorders>
            <w:shd w:val="clear" w:color="auto" w:fill="auto"/>
            <w:vAlign w:val="center"/>
          </w:tcPr>
          <w:p w14:paraId="4296C5D0"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完成值</w:t>
            </w:r>
          </w:p>
        </w:tc>
        <w:tc>
          <w:tcPr>
            <w:tcW w:w="0" w:type="auto"/>
            <w:tcBorders>
              <w:top w:val="nil"/>
              <w:left w:val="nil"/>
              <w:bottom w:val="single" w:sz="4" w:space="0" w:color="auto"/>
              <w:right w:val="single" w:sz="4" w:space="0" w:color="auto"/>
            </w:tcBorders>
            <w:shd w:val="clear" w:color="auto" w:fill="auto"/>
            <w:vAlign w:val="center"/>
          </w:tcPr>
          <w:p w14:paraId="2D2F97FA"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得分系数</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w:t>
            </w:r>
            <w:r>
              <w:rPr>
                <w:rFonts w:ascii="方正仿宋_GBK" w:eastAsia="方正仿宋_GBK" w:hint="eastAsia"/>
                <w:color w:val="000000"/>
                <w:sz w:val="18"/>
                <w:szCs w:val="18"/>
              </w:rPr>
              <w:t>%</w:t>
            </w:r>
            <w:r>
              <w:rPr>
                <w:rFonts w:ascii="方正仿宋_GBK" w:eastAsia="方正仿宋_GBK" w:hint="eastAsia"/>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15E61C60"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指标权重</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（分）</w:t>
            </w:r>
          </w:p>
        </w:tc>
        <w:tc>
          <w:tcPr>
            <w:tcW w:w="0" w:type="auto"/>
            <w:tcBorders>
              <w:top w:val="nil"/>
              <w:left w:val="nil"/>
              <w:bottom w:val="single" w:sz="4" w:space="0" w:color="auto"/>
              <w:right w:val="single" w:sz="4" w:space="0" w:color="auto"/>
            </w:tcBorders>
            <w:shd w:val="clear" w:color="auto" w:fill="auto"/>
            <w:vAlign w:val="center"/>
          </w:tcPr>
          <w:p w14:paraId="37DB5E73"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指标得分</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（分）</w:t>
            </w:r>
          </w:p>
        </w:tc>
        <w:tc>
          <w:tcPr>
            <w:tcW w:w="0" w:type="auto"/>
            <w:tcBorders>
              <w:top w:val="nil"/>
              <w:left w:val="nil"/>
              <w:bottom w:val="single" w:sz="4" w:space="0" w:color="auto"/>
              <w:right w:val="single" w:sz="4" w:space="0" w:color="auto"/>
            </w:tcBorders>
            <w:shd w:val="clear" w:color="auto" w:fill="auto"/>
            <w:vAlign w:val="center"/>
          </w:tcPr>
          <w:p w14:paraId="75C337DE"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是否核心</w:t>
            </w:r>
            <w:r>
              <w:rPr>
                <w:rFonts w:ascii="方正仿宋_GBK" w:eastAsia="方正仿宋_GBK" w:hint="eastAsia"/>
                <w:color w:val="000000"/>
                <w:sz w:val="18"/>
                <w:szCs w:val="18"/>
              </w:rPr>
              <w:br w:type="textWrapping" w:clear="all"/>
            </w:r>
            <w:r>
              <w:rPr>
                <w:rFonts w:ascii="方正仿宋_GBK" w:eastAsia="方正仿宋_GBK" w:hint="eastAsia"/>
                <w:color w:val="000000"/>
                <w:sz w:val="18"/>
                <w:szCs w:val="18"/>
              </w:rPr>
              <w:t>指标</w:t>
            </w:r>
          </w:p>
        </w:tc>
      </w:tr>
      <w:tr w:rsidR="00D40777" w14:paraId="7674C239"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76435364" w14:textId="77777777" w:rsidR="00D40777" w:rsidRDefault="00D4077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0FE32B8D"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回收吨数</w:t>
            </w:r>
          </w:p>
        </w:tc>
        <w:tc>
          <w:tcPr>
            <w:tcW w:w="699" w:type="dxa"/>
            <w:tcBorders>
              <w:top w:val="nil"/>
              <w:left w:val="single" w:sz="4" w:space="0" w:color="auto"/>
              <w:bottom w:val="single" w:sz="4" w:space="0" w:color="auto"/>
              <w:right w:val="nil"/>
            </w:tcBorders>
            <w:shd w:val="clear" w:color="auto" w:fill="auto"/>
            <w:vAlign w:val="center"/>
          </w:tcPr>
          <w:p w14:paraId="190A7C65"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吨</w:t>
            </w:r>
          </w:p>
        </w:tc>
        <w:tc>
          <w:tcPr>
            <w:tcW w:w="1404" w:type="dxa"/>
            <w:tcBorders>
              <w:top w:val="nil"/>
              <w:left w:val="single" w:sz="4" w:space="0" w:color="auto"/>
              <w:bottom w:val="single" w:sz="4" w:space="0" w:color="auto"/>
              <w:right w:val="nil"/>
            </w:tcBorders>
            <w:shd w:val="clear" w:color="auto" w:fill="auto"/>
            <w:vAlign w:val="center"/>
          </w:tcPr>
          <w:p w14:paraId="4252DCB3"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w:t>
            </w:r>
          </w:p>
        </w:tc>
        <w:tc>
          <w:tcPr>
            <w:tcW w:w="0" w:type="auto"/>
            <w:tcBorders>
              <w:top w:val="nil"/>
              <w:left w:val="single" w:sz="4" w:space="0" w:color="auto"/>
              <w:bottom w:val="single" w:sz="4" w:space="0" w:color="auto"/>
              <w:right w:val="nil"/>
            </w:tcBorders>
            <w:shd w:val="clear" w:color="auto" w:fill="auto"/>
            <w:vAlign w:val="center"/>
          </w:tcPr>
          <w:p w14:paraId="7FE986BB"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19</w:t>
            </w:r>
          </w:p>
        </w:tc>
        <w:tc>
          <w:tcPr>
            <w:tcW w:w="0" w:type="auto"/>
            <w:tcBorders>
              <w:top w:val="nil"/>
              <w:left w:val="single" w:sz="4" w:space="0" w:color="auto"/>
              <w:bottom w:val="single" w:sz="4" w:space="0" w:color="auto"/>
              <w:right w:val="nil"/>
            </w:tcBorders>
            <w:shd w:val="clear" w:color="auto" w:fill="auto"/>
            <w:vAlign w:val="center"/>
          </w:tcPr>
          <w:p w14:paraId="3CE2AD9E"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19</w:t>
            </w:r>
          </w:p>
        </w:tc>
        <w:tc>
          <w:tcPr>
            <w:tcW w:w="0" w:type="auto"/>
            <w:tcBorders>
              <w:top w:val="nil"/>
              <w:left w:val="single" w:sz="4" w:space="0" w:color="auto"/>
              <w:bottom w:val="single" w:sz="4" w:space="0" w:color="auto"/>
              <w:right w:val="nil"/>
            </w:tcBorders>
            <w:shd w:val="clear" w:color="auto" w:fill="auto"/>
            <w:vAlign w:val="center"/>
          </w:tcPr>
          <w:p w14:paraId="5F2B5FA3"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19</w:t>
            </w:r>
          </w:p>
        </w:tc>
        <w:tc>
          <w:tcPr>
            <w:tcW w:w="0" w:type="auto"/>
            <w:tcBorders>
              <w:top w:val="nil"/>
              <w:left w:val="single" w:sz="4" w:space="0" w:color="auto"/>
              <w:bottom w:val="single" w:sz="4" w:space="0" w:color="auto"/>
              <w:right w:val="nil"/>
            </w:tcBorders>
            <w:shd w:val="clear" w:color="auto" w:fill="auto"/>
            <w:vAlign w:val="center"/>
          </w:tcPr>
          <w:p w14:paraId="1E00D6DE"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213FD6A5"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20</w:t>
            </w:r>
          </w:p>
        </w:tc>
        <w:tc>
          <w:tcPr>
            <w:tcW w:w="0" w:type="auto"/>
            <w:tcBorders>
              <w:top w:val="nil"/>
              <w:left w:val="single" w:sz="4" w:space="0" w:color="auto"/>
              <w:bottom w:val="single" w:sz="4" w:space="0" w:color="auto"/>
              <w:right w:val="nil"/>
            </w:tcBorders>
            <w:shd w:val="clear" w:color="auto" w:fill="auto"/>
            <w:vAlign w:val="center"/>
          </w:tcPr>
          <w:p w14:paraId="291A432C"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20</w:t>
            </w:r>
          </w:p>
        </w:tc>
        <w:tc>
          <w:tcPr>
            <w:tcW w:w="0" w:type="auto"/>
            <w:tcBorders>
              <w:top w:val="nil"/>
              <w:left w:val="single" w:sz="4" w:space="0" w:color="auto"/>
              <w:bottom w:val="single" w:sz="4" w:space="0" w:color="auto"/>
              <w:right w:val="single" w:sz="4" w:space="0" w:color="auto"/>
            </w:tcBorders>
            <w:shd w:val="clear" w:color="auto" w:fill="auto"/>
            <w:vAlign w:val="center"/>
          </w:tcPr>
          <w:p w14:paraId="6F8FB08B"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否</w:t>
            </w:r>
          </w:p>
        </w:tc>
      </w:tr>
      <w:tr w:rsidR="00D40777" w14:paraId="17946084"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784BFD1D" w14:textId="77777777" w:rsidR="00D40777" w:rsidRDefault="00D4077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163A3DD8"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回收废旧农膜面积数</w:t>
            </w:r>
          </w:p>
        </w:tc>
        <w:tc>
          <w:tcPr>
            <w:tcW w:w="699" w:type="dxa"/>
            <w:tcBorders>
              <w:top w:val="nil"/>
              <w:left w:val="single" w:sz="4" w:space="0" w:color="auto"/>
              <w:bottom w:val="single" w:sz="4" w:space="0" w:color="auto"/>
              <w:right w:val="nil"/>
            </w:tcBorders>
            <w:shd w:val="clear" w:color="auto" w:fill="auto"/>
            <w:vAlign w:val="center"/>
          </w:tcPr>
          <w:p w14:paraId="53634822"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平方米</w:t>
            </w:r>
          </w:p>
        </w:tc>
        <w:tc>
          <w:tcPr>
            <w:tcW w:w="1404" w:type="dxa"/>
            <w:tcBorders>
              <w:top w:val="nil"/>
              <w:left w:val="single" w:sz="4" w:space="0" w:color="auto"/>
              <w:bottom w:val="single" w:sz="4" w:space="0" w:color="auto"/>
              <w:right w:val="nil"/>
            </w:tcBorders>
            <w:shd w:val="clear" w:color="auto" w:fill="auto"/>
            <w:vAlign w:val="center"/>
          </w:tcPr>
          <w:p w14:paraId="22D310D4"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20000</w:t>
            </w:r>
          </w:p>
        </w:tc>
        <w:tc>
          <w:tcPr>
            <w:tcW w:w="0" w:type="auto"/>
            <w:tcBorders>
              <w:top w:val="nil"/>
              <w:left w:val="single" w:sz="4" w:space="0" w:color="auto"/>
              <w:bottom w:val="single" w:sz="4" w:space="0" w:color="auto"/>
              <w:right w:val="nil"/>
            </w:tcBorders>
            <w:shd w:val="clear" w:color="auto" w:fill="auto"/>
            <w:vAlign w:val="center"/>
          </w:tcPr>
          <w:p w14:paraId="16394BA4"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20000</w:t>
            </w:r>
          </w:p>
        </w:tc>
        <w:tc>
          <w:tcPr>
            <w:tcW w:w="0" w:type="auto"/>
            <w:tcBorders>
              <w:top w:val="nil"/>
              <w:left w:val="single" w:sz="4" w:space="0" w:color="auto"/>
              <w:bottom w:val="single" w:sz="4" w:space="0" w:color="auto"/>
              <w:right w:val="nil"/>
            </w:tcBorders>
            <w:shd w:val="clear" w:color="auto" w:fill="auto"/>
            <w:vAlign w:val="center"/>
          </w:tcPr>
          <w:p w14:paraId="2F179604"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20000</w:t>
            </w:r>
          </w:p>
        </w:tc>
        <w:tc>
          <w:tcPr>
            <w:tcW w:w="0" w:type="auto"/>
            <w:tcBorders>
              <w:top w:val="nil"/>
              <w:left w:val="single" w:sz="4" w:space="0" w:color="auto"/>
              <w:bottom w:val="single" w:sz="4" w:space="0" w:color="auto"/>
              <w:right w:val="nil"/>
            </w:tcBorders>
            <w:shd w:val="clear" w:color="auto" w:fill="auto"/>
            <w:vAlign w:val="center"/>
          </w:tcPr>
          <w:p w14:paraId="36E2DD36"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20000</w:t>
            </w:r>
          </w:p>
        </w:tc>
        <w:tc>
          <w:tcPr>
            <w:tcW w:w="0" w:type="auto"/>
            <w:tcBorders>
              <w:top w:val="nil"/>
              <w:left w:val="single" w:sz="4" w:space="0" w:color="auto"/>
              <w:bottom w:val="single" w:sz="4" w:space="0" w:color="auto"/>
              <w:right w:val="nil"/>
            </w:tcBorders>
            <w:shd w:val="clear" w:color="auto" w:fill="auto"/>
            <w:vAlign w:val="center"/>
          </w:tcPr>
          <w:p w14:paraId="384D3E94"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06668511"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20</w:t>
            </w:r>
          </w:p>
        </w:tc>
        <w:tc>
          <w:tcPr>
            <w:tcW w:w="0" w:type="auto"/>
            <w:tcBorders>
              <w:top w:val="nil"/>
              <w:left w:val="single" w:sz="4" w:space="0" w:color="auto"/>
              <w:bottom w:val="single" w:sz="4" w:space="0" w:color="auto"/>
              <w:right w:val="nil"/>
            </w:tcBorders>
            <w:shd w:val="clear" w:color="auto" w:fill="auto"/>
            <w:vAlign w:val="center"/>
          </w:tcPr>
          <w:p w14:paraId="260B93BA"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20</w:t>
            </w:r>
          </w:p>
        </w:tc>
        <w:tc>
          <w:tcPr>
            <w:tcW w:w="0" w:type="auto"/>
            <w:tcBorders>
              <w:top w:val="nil"/>
              <w:left w:val="single" w:sz="4" w:space="0" w:color="auto"/>
              <w:bottom w:val="single" w:sz="4" w:space="0" w:color="auto"/>
              <w:right w:val="single" w:sz="4" w:space="0" w:color="auto"/>
            </w:tcBorders>
            <w:shd w:val="clear" w:color="auto" w:fill="auto"/>
            <w:vAlign w:val="center"/>
          </w:tcPr>
          <w:p w14:paraId="252F030A"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否</w:t>
            </w:r>
          </w:p>
        </w:tc>
      </w:tr>
      <w:tr w:rsidR="00D40777" w14:paraId="3BFC9BE9"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32475F2D" w14:textId="77777777" w:rsidR="00D40777" w:rsidRDefault="00D4077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771B162A" w14:textId="77777777" w:rsidR="00D40777" w:rsidRDefault="00C77F36">
            <w:pPr>
              <w:autoSpaceDN w:val="0"/>
              <w:jc w:val="center"/>
              <w:rPr>
                <w:color w:val="000000"/>
                <w:sz w:val="18"/>
                <w:szCs w:val="18"/>
              </w:rPr>
            </w:pPr>
            <w:r>
              <w:rPr>
                <w:rFonts w:ascii="方正仿宋_GBK" w:eastAsia="方正仿宋_GBK" w:hAnsi="Calibri" w:hint="eastAsia"/>
                <w:color w:val="000000"/>
                <w:sz w:val="18"/>
                <w:szCs w:val="18"/>
              </w:rPr>
              <w:t>覆盖废旧农膜面积数</w:t>
            </w:r>
          </w:p>
        </w:tc>
        <w:tc>
          <w:tcPr>
            <w:tcW w:w="699" w:type="dxa"/>
            <w:tcBorders>
              <w:top w:val="nil"/>
              <w:left w:val="single" w:sz="4" w:space="0" w:color="auto"/>
              <w:bottom w:val="single" w:sz="4" w:space="0" w:color="auto"/>
              <w:right w:val="nil"/>
            </w:tcBorders>
            <w:shd w:val="clear" w:color="auto" w:fill="auto"/>
            <w:vAlign w:val="center"/>
          </w:tcPr>
          <w:p w14:paraId="652E3AC6"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平方米</w:t>
            </w:r>
          </w:p>
        </w:tc>
        <w:tc>
          <w:tcPr>
            <w:tcW w:w="1404" w:type="dxa"/>
            <w:tcBorders>
              <w:top w:val="nil"/>
              <w:left w:val="single" w:sz="4" w:space="0" w:color="auto"/>
              <w:bottom w:val="single" w:sz="4" w:space="0" w:color="auto"/>
              <w:right w:val="nil"/>
            </w:tcBorders>
            <w:shd w:val="clear" w:color="auto" w:fill="auto"/>
            <w:vAlign w:val="center"/>
          </w:tcPr>
          <w:p w14:paraId="39919EF6"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100000</w:t>
            </w:r>
          </w:p>
        </w:tc>
        <w:tc>
          <w:tcPr>
            <w:tcW w:w="0" w:type="auto"/>
            <w:tcBorders>
              <w:top w:val="nil"/>
              <w:left w:val="single" w:sz="4" w:space="0" w:color="auto"/>
              <w:bottom w:val="single" w:sz="4" w:space="0" w:color="auto"/>
              <w:right w:val="nil"/>
            </w:tcBorders>
            <w:shd w:val="clear" w:color="auto" w:fill="auto"/>
            <w:vAlign w:val="center"/>
          </w:tcPr>
          <w:p w14:paraId="228C25D3"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100000</w:t>
            </w:r>
          </w:p>
        </w:tc>
        <w:tc>
          <w:tcPr>
            <w:tcW w:w="0" w:type="auto"/>
            <w:tcBorders>
              <w:top w:val="nil"/>
              <w:left w:val="single" w:sz="4" w:space="0" w:color="auto"/>
              <w:bottom w:val="single" w:sz="4" w:space="0" w:color="auto"/>
              <w:right w:val="nil"/>
            </w:tcBorders>
            <w:shd w:val="clear" w:color="auto" w:fill="auto"/>
            <w:vAlign w:val="center"/>
          </w:tcPr>
          <w:p w14:paraId="7593DD0D"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100000</w:t>
            </w:r>
          </w:p>
        </w:tc>
        <w:tc>
          <w:tcPr>
            <w:tcW w:w="0" w:type="auto"/>
            <w:tcBorders>
              <w:top w:val="nil"/>
              <w:left w:val="single" w:sz="4" w:space="0" w:color="auto"/>
              <w:bottom w:val="single" w:sz="4" w:space="0" w:color="auto"/>
              <w:right w:val="nil"/>
            </w:tcBorders>
            <w:shd w:val="clear" w:color="auto" w:fill="auto"/>
            <w:vAlign w:val="center"/>
          </w:tcPr>
          <w:p w14:paraId="44942DEA"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100000</w:t>
            </w:r>
          </w:p>
        </w:tc>
        <w:tc>
          <w:tcPr>
            <w:tcW w:w="0" w:type="auto"/>
            <w:tcBorders>
              <w:top w:val="nil"/>
              <w:left w:val="single" w:sz="4" w:space="0" w:color="auto"/>
              <w:bottom w:val="single" w:sz="4" w:space="0" w:color="auto"/>
              <w:right w:val="nil"/>
            </w:tcBorders>
            <w:shd w:val="clear" w:color="auto" w:fill="auto"/>
            <w:vAlign w:val="center"/>
          </w:tcPr>
          <w:p w14:paraId="03B23CF5"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67D93966"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20</w:t>
            </w:r>
          </w:p>
        </w:tc>
        <w:tc>
          <w:tcPr>
            <w:tcW w:w="0" w:type="auto"/>
            <w:tcBorders>
              <w:top w:val="nil"/>
              <w:left w:val="single" w:sz="4" w:space="0" w:color="auto"/>
              <w:bottom w:val="single" w:sz="4" w:space="0" w:color="auto"/>
              <w:right w:val="nil"/>
            </w:tcBorders>
            <w:shd w:val="clear" w:color="auto" w:fill="auto"/>
            <w:vAlign w:val="center"/>
          </w:tcPr>
          <w:p w14:paraId="137BF951"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20</w:t>
            </w:r>
          </w:p>
        </w:tc>
        <w:tc>
          <w:tcPr>
            <w:tcW w:w="0" w:type="auto"/>
            <w:tcBorders>
              <w:top w:val="nil"/>
              <w:left w:val="single" w:sz="4" w:space="0" w:color="auto"/>
              <w:bottom w:val="single" w:sz="4" w:space="0" w:color="auto"/>
              <w:right w:val="single" w:sz="4" w:space="0" w:color="auto"/>
            </w:tcBorders>
            <w:shd w:val="clear" w:color="auto" w:fill="auto"/>
            <w:vAlign w:val="center"/>
          </w:tcPr>
          <w:p w14:paraId="16184430"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否</w:t>
            </w:r>
          </w:p>
        </w:tc>
      </w:tr>
      <w:tr w:rsidR="00D40777" w14:paraId="38DC6BD7"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64F61581" w14:textId="77777777" w:rsidR="00D40777" w:rsidRDefault="00D4077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4FA3EA3A"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环境保护面积数</w:t>
            </w:r>
          </w:p>
        </w:tc>
        <w:tc>
          <w:tcPr>
            <w:tcW w:w="699" w:type="dxa"/>
            <w:tcBorders>
              <w:top w:val="nil"/>
              <w:left w:val="single" w:sz="4" w:space="0" w:color="auto"/>
              <w:bottom w:val="single" w:sz="4" w:space="0" w:color="auto"/>
              <w:right w:val="nil"/>
            </w:tcBorders>
            <w:shd w:val="clear" w:color="auto" w:fill="auto"/>
            <w:vAlign w:val="center"/>
          </w:tcPr>
          <w:p w14:paraId="5E5D9048"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平方米</w:t>
            </w:r>
          </w:p>
        </w:tc>
        <w:tc>
          <w:tcPr>
            <w:tcW w:w="1404" w:type="dxa"/>
            <w:tcBorders>
              <w:top w:val="nil"/>
              <w:left w:val="single" w:sz="4" w:space="0" w:color="auto"/>
              <w:bottom w:val="single" w:sz="4" w:space="0" w:color="auto"/>
              <w:right w:val="nil"/>
            </w:tcBorders>
            <w:shd w:val="clear" w:color="auto" w:fill="auto"/>
            <w:vAlign w:val="center"/>
          </w:tcPr>
          <w:p w14:paraId="4674F27F"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100000</w:t>
            </w:r>
          </w:p>
        </w:tc>
        <w:tc>
          <w:tcPr>
            <w:tcW w:w="0" w:type="auto"/>
            <w:tcBorders>
              <w:top w:val="nil"/>
              <w:left w:val="single" w:sz="4" w:space="0" w:color="auto"/>
              <w:bottom w:val="single" w:sz="4" w:space="0" w:color="auto"/>
              <w:right w:val="nil"/>
            </w:tcBorders>
            <w:shd w:val="clear" w:color="auto" w:fill="auto"/>
            <w:vAlign w:val="center"/>
          </w:tcPr>
          <w:p w14:paraId="0F87D1E6"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100000</w:t>
            </w:r>
          </w:p>
        </w:tc>
        <w:tc>
          <w:tcPr>
            <w:tcW w:w="0" w:type="auto"/>
            <w:tcBorders>
              <w:top w:val="nil"/>
              <w:left w:val="single" w:sz="4" w:space="0" w:color="auto"/>
              <w:bottom w:val="single" w:sz="4" w:space="0" w:color="auto"/>
              <w:right w:val="nil"/>
            </w:tcBorders>
            <w:shd w:val="clear" w:color="auto" w:fill="auto"/>
            <w:vAlign w:val="center"/>
          </w:tcPr>
          <w:p w14:paraId="688C1D46"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100000</w:t>
            </w:r>
          </w:p>
        </w:tc>
        <w:tc>
          <w:tcPr>
            <w:tcW w:w="0" w:type="auto"/>
            <w:tcBorders>
              <w:top w:val="nil"/>
              <w:left w:val="single" w:sz="4" w:space="0" w:color="auto"/>
              <w:bottom w:val="single" w:sz="4" w:space="0" w:color="auto"/>
              <w:right w:val="nil"/>
            </w:tcBorders>
            <w:shd w:val="clear" w:color="auto" w:fill="auto"/>
            <w:vAlign w:val="center"/>
          </w:tcPr>
          <w:p w14:paraId="624BF386"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100000</w:t>
            </w:r>
          </w:p>
        </w:tc>
        <w:tc>
          <w:tcPr>
            <w:tcW w:w="0" w:type="auto"/>
            <w:tcBorders>
              <w:top w:val="nil"/>
              <w:left w:val="single" w:sz="4" w:space="0" w:color="auto"/>
              <w:bottom w:val="single" w:sz="4" w:space="0" w:color="auto"/>
              <w:right w:val="nil"/>
            </w:tcBorders>
            <w:shd w:val="clear" w:color="auto" w:fill="auto"/>
            <w:vAlign w:val="center"/>
          </w:tcPr>
          <w:p w14:paraId="16CA4781"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6925E1F3"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15</w:t>
            </w:r>
          </w:p>
        </w:tc>
        <w:tc>
          <w:tcPr>
            <w:tcW w:w="0" w:type="auto"/>
            <w:tcBorders>
              <w:top w:val="nil"/>
              <w:left w:val="single" w:sz="4" w:space="0" w:color="auto"/>
              <w:bottom w:val="single" w:sz="4" w:space="0" w:color="auto"/>
              <w:right w:val="nil"/>
            </w:tcBorders>
            <w:shd w:val="clear" w:color="auto" w:fill="auto"/>
            <w:vAlign w:val="center"/>
          </w:tcPr>
          <w:p w14:paraId="6D5A090E" w14:textId="77777777" w:rsidR="00D40777" w:rsidRDefault="00C77F36">
            <w:pPr>
              <w:autoSpaceDN w:val="0"/>
              <w:ind w:firstLineChars="100" w:firstLine="180"/>
              <w:rPr>
                <w:rFonts w:ascii="方正仿宋_GBK" w:eastAsia="方正仿宋_GBK" w:hAnsi="Calibri"/>
                <w:color w:val="000000"/>
                <w:sz w:val="18"/>
                <w:szCs w:val="18"/>
              </w:rPr>
            </w:pPr>
            <w:r>
              <w:rPr>
                <w:rFonts w:ascii="方正仿宋_GBK" w:eastAsia="方正仿宋_GBK" w:hAnsi="Calibri" w:hint="eastAsia"/>
                <w:color w:val="000000"/>
                <w:sz w:val="18"/>
                <w:szCs w:val="18"/>
              </w:rPr>
              <w:t>15</w:t>
            </w:r>
          </w:p>
        </w:tc>
        <w:tc>
          <w:tcPr>
            <w:tcW w:w="0" w:type="auto"/>
            <w:tcBorders>
              <w:top w:val="nil"/>
              <w:left w:val="single" w:sz="4" w:space="0" w:color="auto"/>
              <w:bottom w:val="single" w:sz="4" w:space="0" w:color="auto"/>
              <w:right w:val="single" w:sz="4" w:space="0" w:color="auto"/>
            </w:tcBorders>
            <w:shd w:val="clear" w:color="auto" w:fill="auto"/>
            <w:vAlign w:val="center"/>
          </w:tcPr>
          <w:p w14:paraId="321A5FDD"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否</w:t>
            </w:r>
          </w:p>
        </w:tc>
      </w:tr>
      <w:tr w:rsidR="00D40777" w14:paraId="60DBE78B"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7B21E6AD" w14:textId="77777777" w:rsidR="00D40777" w:rsidRDefault="00D4077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5E9B774D"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农户满意度</w:t>
            </w:r>
          </w:p>
        </w:tc>
        <w:tc>
          <w:tcPr>
            <w:tcW w:w="699" w:type="dxa"/>
            <w:tcBorders>
              <w:top w:val="nil"/>
              <w:left w:val="single" w:sz="4" w:space="0" w:color="auto"/>
              <w:bottom w:val="single" w:sz="4" w:space="0" w:color="auto"/>
              <w:right w:val="nil"/>
            </w:tcBorders>
            <w:shd w:val="clear" w:color="auto" w:fill="auto"/>
            <w:vAlign w:val="center"/>
          </w:tcPr>
          <w:p w14:paraId="0D3CB9F0"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w:t>
            </w:r>
          </w:p>
        </w:tc>
        <w:tc>
          <w:tcPr>
            <w:tcW w:w="1404" w:type="dxa"/>
            <w:tcBorders>
              <w:top w:val="nil"/>
              <w:left w:val="single" w:sz="4" w:space="0" w:color="auto"/>
              <w:bottom w:val="single" w:sz="4" w:space="0" w:color="auto"/>
              <w:right w:val="nil"/>
            </w:tcBorders>
            <w:shd w:val="clear" w:color="auto" w:fill="auto"/>
            <w:vAlign w:val="center"/>
          </w:tcPr>
          <w:p w14:paraId="6DB5F46A"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786E8A9A"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43C83F24"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742B1208"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335FA176"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76C1FCB6"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15</w:t>
            </w:r>
          </w:p>
        </w:tc>
        <w:tc>
          <w:tcPr>
            <w:tcW w:w="0" w:type="auto"/>
            <w:tcBorders>
              <w:top w:val="nil"/>
              <w:left w:val="single" w:sz="4" w:space="0" w:color="auto"/>
              <w:bottom w:val="single" w:sz="4" w:space="0" w:color="auto"/>
              <w:right w:val="nil"/>
            </w:tcBorders>
            <w:shd w:val="clear" w:color="auto" w:fill="auto"/>
            <w:vAlign w:val="center"/>
          </w:tcPr>
          <w:p w14:paraId="0B08D1F3"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15</w:t>
            </w:r>
          </w:p>
        </w:tc>
        <w:tc>
          <w:tcPr>
            <w:tcW w:w="0" w:type="auto"/>
            <w:tcBorders>
              <w:top w:val="nil"/>
              <w:left w:val="single" w:sz="4" w:space="0" w:color="auto"/>
              <w:bottom w:val="single" w:sz="4" w:space="0" w:color="auto"/>
              <w:right w:val="single" w:sz="4" w:space="0" w:color="auto"/>
            </w:tcBorders>
            <w:shd w:val="clear" w:color="auto" w:fill="auto"/>
            <w:vAlign w:val="center"/>
          </w:tcPr>
          <w:p w14:paraId="6C6B0641"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否</w:t>
            </w:r>
          </w:p>
        </w:tc>
      </w:tr>
      <w:tr w:rsidR="00D40777" w14:paraId="5B4C28B0" w14:textId="77777777">
        <w:trPr>
          <w:cantSplit/>
          <w:trHeight w:val="523"/>
        </w:trPr>
        <w:tc>
          <w:tcPr>
            <w:tcW w:w="0" w:type="auto"/>
            <w:vMerge/>
            <w:tcBorders>
              <w:top w:val="nil"/>
              <w:left w:val="single" w:sz="4" w:space="0" w:color="auto"/>
              <w:bottom w:val="single" w:sz="4" w:space="0" w:color="auto"/>
              <w:right w:val="single" w:sz="4" w:space="0" w:color="auto"/>
            </w:tcBorders>
            <w:vAlign w:val="center"/>
          </w:tcPr>
          <w:p w14:paraId="6F4EAA1E" w14:textId="77777777" w:rsidR="00D40777" w:rsidRDefault="00D40777">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14:paraId="37E12CF2" w14:textId="77777777" w:rsidR="00D40777" w:rsidRDefault="00C77F36">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资金执行率指标</w:t>
            </w:r>
          </w:p>
        </w:tc>
        <w:tc>
          <w:tcPr>
            <w:tcW w:w="699" w:type="dxa"/>
            <w:tcBorders>
              <w:top w:val="nil"/>
              <w:left w:val="single" w:sz="4" w:space="0" w:color="auto"/>
              <w:bottom w:val="single" w:sz="4" w:space="0" w:color="auto"/>
              <w:right w:val="nil"/>
            </w:tcBorders>
            <w:shd w:val="clear" w:color="auto" w:fill="auto"/>
            <w:vAlign w:val="center"/>
          </w:tcPr>
          <w:p w14:paraId="5486170E"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w:t>
            </w:r>
          </w:p>
        </w:tc>
        <w:tc>
          <w:tcPr>
            <w:tcW w:w="1404" w:type="dxa"/>
            <w:tcBorders>
              <w:top w:val="nil"/>
              <w:left w:val="single" w:sz="4" w:space="0" w:color="auto"/>
              <w:bottom w:val="single" w:sz="4" w:space="0" w:color="auto"/>
              <w:right w:val="nil"/>
            </w:tcBorders>
            <w:shd w:val="clear" w:color="auto" w:fill="auto"/>
            <w:vAlign w:val="center"/>
          </w:tcPr>
          <w:p w14:paraId="372F5771"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2E3A5E59"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Ansi="Calibri"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10423D13" w14:textId="77777777" w:rsidR="00D40777" w:rsidRDefault="00C77F36">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582DB2FB" w14:textId="77777777" w:rsidR="00D40777" w:rsidRDefault="00C77F36">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6C38200C" w14:textId="77777777" w:rsidR="00D40777" w:rsidRDefault="00C77F36">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14:paraId="40325688" w14:textId="77777777" w:rsidR="00D40777" w:rsidRDefault="00C77F36">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w:t>
            </w:r>
          </w:p>
        </w:tc>
        <w:tc>
          <w:tcPr>
            <w:tcW w:w="0" w:type="auto"/>
            <w:tcBorders>
              <w:top w:val="nil"/>
              <w:left w:val="single" w:sz="4" w:space="0" w:color="auto"/>
              <w:bottom w:val="single" w:sz="4" w:space="0" w:color="auto"/>
              <w:right w:val="nil"/>
            </w:tcBorders>
            <w:shd w:val="clear" w:color="auto" w:fill="auto"/>
            <w:vAlign w:val="center"/>
          </w:tcPr>
          <w:p w14:paraId="662E8814" w14:textId="77777777" w:rsidR="00D40777" w:rsidRDefault="00C77F36">
            <w:pPr>
              <w:autoSpaceDN w:val="0"/>
              <w:jc w:val="center"/>
              <w:rPr>
                <w:rFonts w:ascii="方正仿宋_GBK" w:eastAsia="方正仿宋_GBK"/>
                <w:color w:val="000000"/>
                <w:sz w:val="18"/>
                <w:szCs w:val="18"/>
              </w:rPr>
            </w:pPr>
            <w:r>
              <w:rPr>
                <w:rFonts w:ascii="方正仿宋_GBK" w:eastAsia="方正仿宋_GBK" w:hint="eastAsia"/>
                <w:color w:val="000000"/>
                <w:sz w:val="18"/>
                <w:szCs w:val="18"/>
              </w:rPr>
              <w:t>10</w:t>
            </w:r>
          </w:p>
        </w:tc>
        <w:tc>
          <w:tcPr>
            <w:tcW w:w="0" w:type="auto"/>
            <w:tcBorders>
              <w:top w:val="nil"/>
              <w:left w:val="single" w:sz="4" w:space="0" w:color="auto"/>
              <w:bottom w:val="single" w:sz="4" w:space="0" w:color="auto"/>
              <w:right w:val="single" w:sz="4" w:space="0" w:color="auto"/>
            </w:tcBorders>
            <w:shd w:val="clear" w:color="auto" w:fill="auto"/>
            <w:vAlign w:val="center"/>
          </w:tcPr>
          <w:p w14:paraId="22275DF4" w14:textId="77777777" w:rsidR="00D40777" w:rsidRDefault="00C77F36">
            <w:pPr>
              <w:autoSpaceDN w:val="0"/>
              <w:jc w:val="center"/>
              <w:rPr>
                <w:rFonts w:ascii="方正仿宋_GBK" w:eastAsia="方正仿宋_GBK"/>
                <w:color w:val="000000"/>
                <w:sz w:val="18"/>
                <w:szCs w:val="18"/>
              </w:rPr>
            </w:pPr>
            <w:r>
              <w:rPr>
                <w:rFonts w:ascii="方正仿宋_GBK" w:eastAsia="方正仿宋_GBK" w:hAnsi="Calibri" w:hint="eastAsia"/>
                <w:color w:val="000000"/>
                <w:sz w:val="18"/>
                <w:szCs w:val="18"/>
              </w:rPr>
              <w:t>否</w:t>
            </w:r>
          </w:p>
        </w:tc>
      </w:tr>
      <w:tr w:rsidR="00D40777" w14:paraId="7E5637CD" w14:textId="77777777">
        <w:trPr>
          <w:trHeight w:val="755"/>
        </w:trPr>
        <w:tc>
          <w:tcPr>
            <w:tcW w:w="0" w:type="auto"/>
            <w:tcBorders>
              <w:top w:val="nil"/>
              <w:left w:val="single" w:sz="4" w:space="0" w:color="auto"/>
              <w:bottom w:val="single" w:sz="4" w:space="0" w:color="auto"/>
              <w:right w:val="single" w:sz="4" w:space="0" w:color="auto"/>
            </w:tcBorders>
            <w:shd w:val="clear" w:color="auto" w:fill="auto"/>
            <w:vAlign w:val="center"/>
          </w:tcPr>
          <w:p w14:paraId="13C1D9FB" w14:textId="77777777" w:rsidR="00D40777" w:rsidRDefault="00C77F36">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说明</w:t>
            </w:r>
          </w:p>
        </w:tc>
        <w:tc>
          <w:tcPr>
            <w:tcW w:w="0" w:type="auto"/>
            <w:gridSpan w:val="10"/>
            <w:tcBorders>
              <w:top w:val="single" w:sz="4" w:space="0" w:color="auto"/>
              <w:left w:val="nil"/>
              <w:bottom w:val="single" w:sz="4" w:space="0" w:color="auto"/>
              <w:right w:val="single" w:sz="4" w:space="0" w:color="auto"/>
            </w:tcBorders>
            <w:shd w:val="clear" w:color="auto" w:fill="auto"/>
            <w:vAlign w:val="center"/>
          </w:tcPr>
          <w:p w14:paraId="0ED43732" w14:textId="77777777" w:rsidR="00D40777" w:rsidRDefault="00C77F36">
            <w:pPr>
              <w:autoSpaceDN w:val="0"/>
              <w:rPr>
                <w:rFonts w:ascii="方正仿宋_GBK" w:eastAsia="方正仿宋_GBK" w:hAnsi="Calibri"/>
                <w:color w:val="000000"/>
                <w:sz w:val="18"/>
                <w:szCs w:val="18"/>
              </w:rPr>
            </w:pPr>
            <w:r>
              <w:rPr>
                <w:rFonts w:hint="eastAsia"/>
                <w:color w:val="000000"/>
                <w:sz w:val="18"/>
                <w:szCs w:val="18"/>
              </w:rPr>
              <w:t>无</w:t>
            </w:r>
          </w:p>
        </w:tc>
      </w:tr>
    </w:tbl>
    <w:p w14:paraId="4CA7ADFB" w14:textId="77777777" w:rsidR="00D40777" w:rsidRDefault="00D40777">
      <w:pPr>
        <w:tabs>
          <w:tab w:val="center" w:pos="4153"/>
          <w:tab w:val="left" w:pos="7275"/>
        </w:tabs>
        <w:spacing w:line="600" w:lineRule="exact"/>
        <w:rPr>
          <w:rFonts w:ascii="Times New Roman" w:eastAsia="方正仿宋_GBK" w:hAnsi="Times New Roman"/>
          <w:sz w:val="32"/>
          <w:szCs w:val="32"/>
        </w:rPr>
      </w:pPr>
    </w:p>
    <w:p w14:paraId="57CA4F6C" w14:textId="77777777" w:rsidR="00D40777" w:rsidRDefault="00C77F36">
      <w:pPr>
        <w:pStyle w:val="a9"/>
        <w:shd w:val="clear" w:color="auto" w:fill="FFFFFF"/>
        <w:spacing w:before="0" w:beforeAutospacing="0" w:after="0" w:afterAutospacing="0" w:line="600" w:lineRule="exact"/>
        <w:ind w:firstLineChars="200" w:firstLine="640"/>
        <w:jc w:val="both"/>
        <w:outlineLvl w:val="0"/>
        <w:rPr>
          <w:rStyle w:val="aa"/>
          <w:rFonts w:ascii="方正黑体_GBK" w:eastAsia="方正黑体_GBK"/>
          <w:color w:val="000000" w:themeColor="text1"/>
        </w:rPr>
      </w:pPr>
      <w:r>
        <w:rPr>
          <w:rStyle w:val="aa"/>
          <w:rFonts w:ascii="方正黑体_GBK" w:eastAsia="方正黑体_GBK" w:hint="eastAsia"/>
          <w:b w:val="0"/>
          <w:color w:val="000000" w:themeColor="text1"/>
          <w:sz w:val="32"/>
          <w:szCs w:val="32"/>
        </w:rPr>
        <w:t>六、专业名词解释</w:t>
      </w:r>
    </w:p>
    <w:p w14:paraId="0755C8E4"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（一）财政拨款收入</w:t>
      </w:r>
      <w:r>
        <w:rPr>
          <w:rFonts w:ascii="方正仿宋_GBK" w:eastAsia="方正仿宋_GBK" w:hint="eastAsia"/>
          <w:color w:val="000000" w:themeColor="text1"/>
          <w:sz w:val="32"/>
          <w:szCs w:val="32"/>
        </w:rPr>
        <w:t>：指本年度从本级财政部门取得的财政拨款，包括一般公共预算财政拨款和政府性基金预算财政拨款。</w:t>
      </w:r>
    </w:p>
    <w:p w14:paraId="01088077"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（二）事业收入</w:t>
      </w:r>
      <w:r>
        <w:rPr>
          <w:rFonts w:ascii="方正仿宋_GBK" w:eastAsia="方正仿宋_GBK" w:hint="eastAsia"/>
          <w:color w:val="000000" w:themeColor="text1"/>
          <w:sz w:val="32"/>
          <w:szCs w:val="32"/>
        </w:rPr>
        <w:t>：指事业单位开展专业业务活动及其辅助活动取得的现金流入；事业单位收到的财政专户实际核拨的教育收费等资金在此反映。</w:t>
      </w:r>
    </w:p>
    <w:p w14:paraId="3E34FA18"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lastRenderedPageBreak/>
        <w:t>（三）经营收入</w:t>
      </w:r>
      <w:r>
        <w:rPr>
          <w:rFonts w:ascii="方正仿宋_GBK" w:eastAsia="方正仿宋_GBK" w:hint="eastAsia"/>
          <w:color w:val="000000" w:themeColor="text1"/>
          <w:sz w:val="32"/>
          <w:szCs w:val="32"/>
        </w:rPr>
        <w:t>：指事业单位在专业业务活动及其辅助活动之外开展非独立核算经营活动取得的现金流入。</w:t>
      </w:r>
    </w:p>
    <w:p w14:paraId="116B52A6"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（四）其他收入</w:t>
      </w:r>
      <w:r>
        <w:rPr>
          <w:rFonts w:ascii="方正仿宋_GBK" w:eastAsia="方正仿宋_GBK" w:hint="eastAsia"/>
          <w:color w:val="000000" w:themeColor="text1"/>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D4E66C5"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（五）用事业基金弥补收支差额</w:t>
      </w:r>
      <w:r>
        <w:rPr>
          <w:rFonts w:ascii="方正仿宋_GBK" w:eastAsia="方正仿宋_GBK" w:hint="eastAsia"/>
          <w:color w:val="000000" w:themeColor="text1"/>
          <w:sz w:val="32"/>
          <w:szCs w:val="32"/>
        </w:rPr>
        <w:t>：指事业单位在当年的“财政拨款收入”、“事业收入”、“经营收入”、“其他收入”等不足以安排当年支出的情况下，使用以前年度</w:t>
      </w:r>
      <w:r>
        <w:rPr>
          <w:rFonts w:ascii="方正仿宋_GBK" w:eastAsia="方正仿宋_GBK" w:hint="eastAsia"/>
          <w:color w:val="000000" w:themeColor="text1"/>
          <w:sz w:val="32"/>
          <w:szCs w:val="32"/>
        </w:rPr>
        <w:t>积累的事业基金（事业单位当年收支相抵后按国家规定提取、用于弥补以后年度收支差额的基金）弥补本年度收支缺口的资金。</w:t>
      </w:r>
    </w:p>
    <w:p w14:paraId="23C983D0"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（六）年初结转和结余</w:t>
      </w:r>
      <w:r>
        <w:rPr>
          <w:rFonts w:ascii="方正仿宋_GBK" w:eastAsia="方正仿宋_GBK" w:hint="eastAsia"/>
          <w:color w:val="000000" w:themeColor="text1"/>
          <w:sz w:val="32"/>
          <w:szCs w:val="32"/>
        </w:rPr>
        <w:t>：指单位上年结转本年使用的基本支出结转、项目支出结转和结余、经营结余。</w:t>
      </w:r>
    </w:p>
    <w:p w14:paraId="04D279CA"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（七）结余分配</w:t>
      </w:r>
      <w:r>
        <w:rPr>
          <w:rFonts w:ascii="方正仿宋_GBK" w:eastAsia="方正仿宋_GBK" w:hint="eastAsia"/>
          <w:color w:val="000000" w:themeColor="text1"/>
          <w:sz w:val="32"/>
          <w:szCs w:val="32"/>
        </w:rPr>
        <w:t>：指单位按照国家有关规定，缴纳所得税、提取专用基金、转入事业基金等当年结余的分配情况。</w:t>
      </w:r>
    </w:p>
    <w:p w14:paraId="1996E8D7"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lastRenderedPageBreak/>
        <w:t>（八）年末结转和结余</w:t>
      </w:r>
      <w:r>
        <w:rPr>
          <w:rFonts w:ascii="方正仿宋_GBK" w:eastAsia="方正仿宋_GBK" w:hint="eastAsia"/>
          <w:color w:val="000000" w:themeColor="text1"/>
          <w:sz w:val="32"/>
          <w:szCs w:val="32"/>
        </w:rPr>
        <w:t>：指单位结转下年的基本支出结转、项目支出结转和结余、经营结余。</w:t>
      </w:r>
    </w:p>
    <w:p w14:paraId="4D6F4B42"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（九）基本支出</w:t>
      </w:r>
      <w:r>
        <w:rPr>
          <w:rFonts w:ascii="方正仿宋_GBK" w:eastAsia="方正仿宋_GBK" w:hint="eastAsia"/>
          <w:color w:val="000000" w:themeColor="text1"/>
          <w:sz w:val="32"/>
          <w:szCs w:val="32"/>
        </w:rPr>
        <w:t>：指为保障机构正常运转、完成日常工作任务而发生的人员经费和公用经费。其中：人员经费指政府收支分类经济科目中</w:t>
      </w:r>
      <w:r>
        <w:rPr>
          <w:rFonts w:ascii="方正仿宋_GBK" w:eastAsia="方正仿宋_GBK" w:hint="eastAsia"/>
          <w:color w:val="000000" w:themeColor="text1"/>
          <w:sz w:val="32"/>
          <w:szCs w:val="32"/>
        </w:rPr>
        <w:t>的“工资福利支出”和“对个人和家庭的补助”；公用经费指政府收支分类经济科目中除“工资福利支出”和“对个人和家庭的补助”外的其他支出。</w:t>
      </w:r>
    </w:p>
    <w:p w14:paraId="41A703EF"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（十）项目支出</w:t>
      </w:r>
      <w:r>
        <w:rPr>
          <w:rFonts w:ascii="方正仿宋_GBK" w:eastAsia="方正仿宋_GBK" w:hint="eastAsia"/>
          <w:color w:val="000000" w:themeColor="text1"/>
          <w:sz w:val="32"/>
          <w:szCs w:val="32"/>
        </w:rPr>
        <w:t>：指在基本支出之外为完成特定行政任务和事业发展目标所发生的支出。</w:t>
      </w:r>
    </w:p>
    <w:p w14:paraId="3F4EC350"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（十一）经营支出</w:t>
      </w:r>
      <w:r>
        <w:rPr>
          <w:rFonts w:ascii="方正仿宋_GBK" w:eastAsia="方正仿宋_GBK" w:hint="eastAsia"/>
          <w:color w:val="000000" w:themeColor="text1"/>
          <w:sz w:val="32"/>
          <w:szCs w:val="32"/>
        </w:rPr>
        <w:t>：指事业单位在专业业务活动及其辅助活动之外开展非独立核算经营活动发生的支出。</w:t>
      </w:r>
    </w:p>
    <w:p w14:paraId="4BA7A596"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（十二）“三公”经费</w:t>
      </w:r>
      <w:r>
        <w:rPr>
          <w:rFonts w:ascii="方正仿宋_GBK" w:eastAsia="方正仿宋_GBK" w:hint="eastAsia"/>
          <w:color w:val="000000" w:themeColor="text1"/>
          <w:sz w:val="32"/>
          <w:szCs w:val="32"/>
        </w:rPr>
        <w:t>：指用一般公共预算财政拨款安排的因公出国（境）费、公务用车购置及运行维护费、公务接待费。其中，因公出国（境）</w:t>
      </w:r>
      <w:proofErr w:type="gramStart"/>
      <w:r>
        <w:rPr>
          <w:rFonts w:ascii="方正仿宋_GBK" w:eastAsia="方正仿宋_GBK" w:hint="eastAsia"/>
          <w:color w:val="000000" w:themeColor="text1"/>
          <w:sz w:val="32"/>
          <w:szCs w:val="32"/>
        </w:rPr>
        <w:t>费反映</w:t>
      </w:r>
      <w:proofErr w:type="gramEnd"/>
      <w:r>
        <w:rPr>
          <w:rFonts w:ascii="方正仿宋_GBK" w:eastAsia="方正仿宋_GBK" w:hint="eastAsia"/>
          <w:color w:val="000000" w:themeColor="text1"/>
          <w:sz w:val="32"/>
          <w:szCs w:val="32"/>
        </w:rPr>
        <w:t>单位公务出国（境）的国际旅费、国外城市间交通费、住宿费、伙食费、培训费、公杂费等支出；公务用车购置</w:t>
      </w:r>
      <w:proofErr w:type="gramStart"/>
      <w:r>
        <w:rPr>
          <w:rFonts w:ascii="方正仿宋_GBK" w:eastAsia="方正仿宋_GBK" w:hint="eastAsia"/>
          <w:color w:val="000000" w:themeColor="text1"/>
          <w:sz w:val="32"/>
          <w:szCs w:val="32"/>
        </w:rPr>
        <w:t>费反映</w:t>
      </w:r>
      <w:proofErr w:type="gramEnd"/>
      <w:r>
        <w:rPr>
          <w:rFonts w:ascii="方正仿宋_GBK" w:eastAsia="方正仿宋_GBK" w:hint="eastAsia"/>
          <w:color w:val="000000" w:themeColor="text1"/>
          <w:sz w:val="32"/>
          <w:szCs w:val="32"/>
        </w:rPr>
        <w:t>单位公务用车购置支出（</w:t>
      </w:r>
      <w:proofErr w:type="gramStart"/>
      <w:r>
        <w:rPr>
          <w:rFonts w:ascii="方正仿宋_GBK" w:eastAsia="方正仿宋_GBK" w:hint="eastAsia"/>
          <w:color w:val="000000" w:themeColor="text1"/>
          <w:sz w:val="32"/>
          <w:szCs w:val="32"/>
        </w:rPr>
        <w:t>含车辆</w:t>
      </w:r>
      <w:proofErr w:type="gramEnd"/>
      <w:r>
        <w:rPr>
          <w:rFonts w:ascii="方正仿宋_GBK" w:eastAsia="方正仿宋_GBK" w:hint="eastAsia"/>
          <w:color w:val="000000" w:themeColor="text1"/>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color w:val="000000" w:themeColor="text1"/>
          <w:sz w:val="32"/>
          <w:szCs w:val="32"/>
        </w:rPr>
        <w:t>费反映</w:t>
      </w:r>
      <w:proofErr w:type="gramEnd"/>
      <w:r>
        <w:rPr>
          <w:rFonts w:ascii="方正仿宋_GBK" w:eastAsia="方正仿宋_GBK" w:hint="eastAsia"/>
          <w:color w:val="000000" w:themeColor="text1"/>
          <w:sz w:val="32"/>
          <w:szCs w:val="32"/>
        </w:rPr>
        <w:t>单位按规定开支的各类公务接待（含外宾接待）支出。</w:t>
      </w:r>
    </w:p>
    <w:p w14:paraId="798836F1"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lastRenderedPageBreak/>
        <w:t>（十三）机关运行经费</w:t>
      </w:r>
      <w:r>
        <w:rPr>
          <w:rFonts w:ascii="方正仿宋_GBK" w:eastAsia="方正仿宋_GBK" w:hint="eastAsia"/>
          <w:color w:val="000000" w:themeColor="text1"/>
          <w:sz w:val="32"/>
          <w:szCs w:val="32"/>
        </w:rPr>
        <w:t>：为保障行政单位（含参照公务员法管理的事业单位）运行用于购买货物和服务</w:t>
      </w:r>
      <w:r>
        <w:rPr>
          <w:rFonts w:ascii="方正仿宋_GBK" w:eastAsia="方正仿宋_GBK" w:hint="eastAsia"/>
          <w:color w:val="000000" w:themeColor="text1"/>
          <w:sz w:val="32"/>
          <w:szCs w:val="32"/>
        </w:rPr>
        <w:t>等的各项公用经费，包括办公及印刷费、邮电费、差旅费、会议费、福利费、日常维护费、专用材料及一般设备购置费、办公用房水电费、办公用房取暖费、办公用房物业管理费、公务用车运行维护费以及其他费用。</w:t>
      </w:r>
    </w:p>
    <w:p w14:paraId="79B0B861" w14:textId="77777777" w:rsidR="00D40777" w:rsidRDefault="00C77F36">
      <w:pPr>
        <w:pStyle w:val="a9"/>
        <w:widowControl w:val="0"/>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（十四）工资福利支出（支出经济分类科目类级）</w:t>
      </w:r>
      <w:r>
        <w:rPr>
          <w:rFonts w:ascii="方正仿宋_GBK" w:eastAsia="方正仿宋_GBK" w:hint="eastAsia"/>
          <w:color w:val="000000" w:themeColor="text1"/>
          <w:sz w:val="32"/>
          <w:szCs w:val="32"/>
        </w:rPr>
        <w:t>：反映单位开支的在职职工和编制</w:t>
      </w:r>
      <w:proofErr w:type="gramStart"/>
      <w:r>
        <w:rPr>
          <w:rFonts w:ascii="方正仿宋_GBK" w:eastAsia="方正仿宋_GBK" w:hint="eastAsia"/>
          <w:color w:val="000000" w:themeColor="text1"/>
          <w:sz w:val="32"/>
          <w:szCs w:val="32"/>
        </w:rPr>
        <w:t>外长期</w:t>
      </w:r>
      <w:proofErr w:type="gramEnd"/>
      <w:r>
        <w:rPr>
          <w:rFonts w:ascii="方正仿宋_GBK" w:eastAsia="方正仿宋_GBK" w:hint="eastAsia"/>
          <w:color w:val="000000" w:themeColor="text1"/>
          <w:sz w:val="32"/>
          <w:szCs w:val="32"/>
        </w:rPr>
        <w:t>聘用人员的各类劳动报酬，以及为上述人员缴纳的各项社会保险费等。</w:t>
      </w:r>
    </w:p>
    <w:p w14:paraId="0B9E52C2" w14:textId="77777777" w:rsidR="00D40777" w:rsidRDefault="00C77F36">
      <w:pPr>
        <w:pStyle w:val="a9"/>
        <w:widowControl w:val="0"/>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（十五）商品和服务支出（支出经济分类科目类级）</w:t>
      </w:r>
      <w:r>
        <w:rPr>
          <w:rFonts w:ascii="方正仿宋_GBK" w:eastAsia="方正仿宋_GBK" w:hint="eastAsia"/>
          <w:color w:val="000000" w:themeColor="text1"/>
          <w:sz w:val="32"/>
          <w:szCs w:val="32"/>
        </w:rPr>
        <w:t>：反映单位购买商品和服务的支出（不包括用于购置固定资产的支出、战略性和应急储备支出）。</w:t>
      </w:r>
    </w:p>
    <w:p w14:paraId="53D99725"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（十六）对个人和家庭的补助（支出经济分类科</w:t>
      </w:r>
      <w:r>
        <w:rPr>
          <w:rStyle w:val="aa"/>
          <w:rFonts w:ascii="方正仿宋_GBK" w:eastAsia="方正仿宋_GBK" w:hint="eastAsia"/>
          <w:color w:val="000000" w:themeColor="text1"/>
          <w:sz w:val="32"/>
          <w:szCs w:val="32"/>
        </w:rPr>
        <w:t>目类级）</w:t>
      </w:r>
      <w:r>
        <w:rPr>
          <w:rFonts w:ascii="方正仿宋_GBK" w:eastAsia="方正仿宋_GBK" w:hint="eastAsia"/>
          <w:color w:val="000000" w:themeColor="text1"/>
          <w:sz w:val="32"/>
          <w:szCs w:val="32"/>
        </w:rPr>
        <w:t>：反映用于对个人和家庭的补助支出。</w:t>
      </w:r>
    </w:p>
    <w:p w14:paraId="5D8848E5"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Style w:val="aa"/>
          <w:rFonts w:ascii="方正仿宋_GBK" w:eastAsia="方正仿宋_GBK" w:hint="eastAsia"/>
          <w:color w:val="000000" w:themeColor="text1"/>
          <w:sz w:val="32"/>
          <w:szCs w:val="32"/>
        </w:rPr>
        <w:t>（十七）其他资本性支出（支出经济分类科目类级）</w:t>
      </w:r>
      <w:r>
        <w:rPr>
          <w:rFonts w:ascii="方正仿宋_GBK" w:eastAsia="方正仿宋_GBK" w:hint="eastAsia"/>
          <w:color w:val="000000" w:themeColor="text1"/>
          <w:sz w:val="32"/>
          <w:szCs w:val="32"/>
        </w:rPr>
        <w:t>：反映</w:t>
      </w:r>
      <w:proofErr w:type="gramStart"/>
      <w:r>
        <w:rPr>
          <w:rFonts w:ascii="方正仿宋_GBK" w:eastAsia="方正仿宋_GBK" w:hint="eastAsia"/>
          <w:color w:val="000000" w:themeColor="text1"/>
          <w:sz w:val="32"/>
          <w:szCs w:val="32"/>
        </w:rPr>
        <w:t>非各级</w:t>
      </w:r>
      <w:proofErr w:type="gramEnd"/>
      <w:r>
        <w:rPr>
          <w:rFonts w:ascii="方正仿宋_GBK" w:eastAsia="方正仿宋_GBK" w:hint="eastAsia"/>
          <w:color w:val="000000" w:themeColor="text1"/>
          <w:sz w:val="32"/>
          <w:szCs w:val="32"/>
        </w:rPr>
        <w:t>发展与改革部门集中安排的用于购置固定资产、战略性和应急性储备、土地和无形资产，以及构建基础设施、大型修缮和财政支持企业更新改造所发生的支出。</w:t>
      </w:r>
    </w:p>
    <w:p w14:paraId="50616CF4" w14:textId="77777777" w:rsidR="00D40777" w:rsidRDefault="00C77F36">
      <w:pPr>
        <w:pStyle w:val="a9"/>
        <w:shd w:val="clear" w:color="auto" w:fill="FFFFFF"/>
        <w:spacing w:before="0" w:beforeAutospacing="0" w:after="0" w:afterAutospacing="0" w:line="600" w:lineRule="exact"/>
        <w:ind w:firstLineChars="200" w:firstLine="640"/>
        <w:jc w:val="both"/>
        <w:outlineLvl w:val="0"/>
        <w:rPr>
          <w:rFonts w:ascii="方正黑体_GBK" w:eastAsia="方正黑体_GBK"/>
          <w:b/>
          <w:color w:val="000000" w:themeColor="text1"/>
          <w:sz w:val="32"/>
          <w:szCs w:val="32"/>
        </w:rPr>
      </w:pPr>
      <w:r>
        <w:rPr>
          <w:rStyle w:val="aa"/>
          <w:rFonts w:ascii="方正黑体_GBK" w:eastAsia="方正黑体_GBK" w:hint="eastAsia"/>
          <w:b w:val="0"/>
          <w:color w:val="000000" w:themeColor="text1"/>
          <w:sz w:val="32"/>
          <w:szCs w:val="32"/>
        </w:rPr>
        <w:t>七、决算公开联系方式及信息反馈渠道</w:t>
      </w:r>
    </w:p>
    <w:p w14:paraId="449DBED5" w14:textId="77777777" w:rsidR="00D40777" w:rsidRDefault="00C77F36">
      <w:pPr>
        <w:pStyle w:val="a9"/>
        <w:shd w:val="clear" w:color="auto" w:fill="FFFFFF"/>
        <w:spacing w:before="0" w:beforeAutospacing="0" w:after="0" w:afterAutospacing="0" w:line="600" w:lineRule="exact"/>
        <w:ind w:firstLineChars="200" w:firstLine="640"/>
        <w:jc w:val="both"/>
        <w:rPr>
          <w:rFonts w:ascii="方正仿宋_GBK" w:eastAsia="方正仿宋_GBK"/>
          <w:color w:val="000000" w:themeColor="text1"/>
          <w:sz w:val="32"/>
          <w:szCs w:val="32"/>
        </w:rPr>
      </w:pPr>
      <w:r>
        <w:rPr>
          <w:rFonts w:ascii="方正仿宋_GBK" w:eastAsia="方正仿宋_GBK" w:hint="eastAsia"/>
          <w:color w:val="000000" w:themeColor="text1"/>
          <w:sz w:val="32"/>
          <w:szCs w:val="32"/>
        </w:rPr>
        <w:t>本单位决算公开信息反馈和联系方式：</w:t>
      </w:r>
      <w:r>
        <w:rPr>
          <w:rFonts w:ascii="方正仿宋_GBK" w:eastAsia="方正仿宋_GBK" w:hint="eastAsia"/>
          <w:color w:val="000000" w:themeColor="text1"/>
          <w:sz w:val="32"/>
          <w:szCs w:val="32"/>
        </w:rPr>
        <w:t xml:space="preserve"> 023-62801439</w:t>
      </w:r>
      <w:r>
        <w:rPr>
          <w:rFonts w:ascii="方正仿宋_GBK" w:eastAsia="方正仿宋_GBK" w:hint="eastAsia"/>
          <w:color w:val="000000" w:themeColor="text1"/>
          <w:sz w:val="32"/>
          <w:szCs w:val="32"/>
        </w:rPr>
        <w:t>。</w:t>
      </w:r>
    </w:p>
    <w:p w14:paraId="72AEC452" w14:textId="77777777" w:rsidR="00D40777" w:rsidRDefault="00D40777">
      <w:pPr>
        <w:pStyle w:val="a9"/>
        <w:shd w:val="clear" w:color="auto" w:fill="FFFFFF"/>
        <w:spacing w:before="0" w:beforeAutospacing="0" w:after="0" w:afterAutospacing="0" w:line="600" w:lineRule="exact"/>
        <w:jc w:val="both"/>
        <w:rPr>
          <w:rFonts w:ascii="方正仿宋_GBK" w:eastAsia="方正仿宋_GBK"/>
          <w:color w:val="000000" w:themeColor="text1"/>
          <w:sz w:val="32"/>
          <w:szCs w:val="32"/>
        </w:rPr>
      </w:pPr>
    </w:p>
    <w:sectPr w:rsidR="00D40777">
      <w:footerReference w:type="default" r:id="rId8"/>
      <w:pgSz w:w="11907" w:h="16840"/>
      <w:pgMar w:top="2098" w:right="1701" w:bottom="1985" w:left="181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3541E" w14:textId="77777777" w:rsidR="00C77F36" w:rsidRDefault="00C77F36">
      <w:r>
        <w:separator/>
      </w:r>
    </w:p>
  </w:endnote>
  <w:endnote w:type="continuationSeparator" w:id="0">
    <w:p w14:paraId="288FCF3A" w14:textId="77777777" w:rsidR="00C77F36" w:rsidRDefault="00C7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2487"/>
      <w:docPartObj>
        <w:docPartGallery w:val="AutoText"/>
      </w:docPartObj>
    </w:sdtPr>
    <w:sdtEndPr/>
    <w:sdtContent>
      <w:p w14:paraId="398FD348" w14:textId="77777777" w:rsidR="00D40777" w:rsidRDefault="00D40777">
        <w:pPr>
          <w:pStyle w:val="a5"/>
          <w:jc w:val="center"/>
        </w:pPr>
      </w:p>
      <w:p w14:paraId="5DA94201" w14:textId="77777777" w:rsidR="00D40777" w:rsidRDefault="00C77F36">
        <w:pPr>
          <w:pStyle w:val="a5"/>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7</w:t>
        </w:r>
        <w:r>
          <w:rPr>
            <w:rFonts w:ascii="Times New Roman" w:hAnsi="Times New Roman" w:cs="Times New Roman"/>
            <w:sz w:val="21"/>
            <w:szCs w:val="21"/>
          </w:rPr>
          <w:fldChar w:fldCharType="end"/>
        </w:r>
      </w:p>
    </w:sdtContent>
  </w:sdt>
  <w:p w14:paraId="4155F9D4" w14:textId="77777777" w:rsidR="00D40777" w:rsidRDefault="00D407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4DB3E" w14:textId="77777777" w:rsidR="00C77F36" w:rsidRDefault="00C77F36">
      <w:r>
        <w:separator/>
      </w:r>
    </w:p>
  </w:footnote>
  <w:footnote w:type="continuationSeparator" w:id="0">
    <w:p w14:paraId="361A7BAC" w14:textId="77777777" w:rsidR="00C77F36" w:rsidRDefault="00C77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A41FA"/>
    <w:rsid w:val="0000736E"/>
    <w:rsid w:val="00010A76"/>
    <w:rsid w:val="00010BF8"/>
    <w:rsid w:val="00021FB0"/>
    <w:rsid w:val="0002562C"/>
    <w:rsid w:val="00034EDA"/>
    <w:rsid w:val="000478A4"/>
    <w:rsid w:val="00065022"/>
    <w:rsid w:val="0007167B"/>
    <w:rsid w:val="00077358"/>
    <w:rsid w:val="000873BD"/>
    <w:rsid w:val="00092887"/>
    <w:rsid w:val="00095BFF"/>
    <w:rsid w:val="000A1026"/>
    <w:rsid w:val="000A4819"/>
    <w:rsid w:val="000D10C9"/>
    <w:rsid w:val="000E121D"/>
    <w:rsid w:val="000E43ED"/>
    <w:rsid w:val="001114B9"/>
    <w:rsid w:val="00115962"/>
    <w:rsid w:val="00135746"/>
    <w:rsid w:val="0013673C"/>
    <w:rsid w:val="00144761"/>
    <w:rsid w:val="00146876"/>
    <w:rsid w:val="00150F23"/>
    <w:rsid w:val="0015193E"/>
    <w:rsid w:val="00152A34"/>
    <w:rsid w:val="001735FC"/>
    <w:rsid w:val="00191D8C"/>
    <w:rsid w:val="001B21BB"/>
    <w:rsid w:val="001C38E1"/>
    <w:rsid w:val="001F54B6"/>
    <w:rsid w:val="001F7371"/>
    <w:rsid w:val="00221A09"/>
    <w:rsid w:val="0023055D"/>
    <w:rsid w:val="002335CF"/>
    <w:rsid w:val="002358A6"/>
    <w:rsid w:val="00242845"/>
    <w:rsid w:val="00252CF1"/>
    <w:rsid w:val="00256F7B"/>
    <w:rsid w:val="00283CF8"/>
    <w:rsid w:val="00285BD1"/>
    <w:rsid w:val="00292598"/>
    <w:rsid w:val="00294010"/>
    <w:rsid w:val="00297BD2"/>
    <w:rsid w:val="002C191B"/>
    <w:rsid w:val="002D0862"/>
    <w:rsid w:val="002E437E"/>
    <w:rsid w:val="002F2763"/>
    <w:rsid w:val="0030314B"/>
    <w:rsid w:val="0030438F"/>
    <w:rsid w:val="00315BC2"/>
    <w:rsid w:val="00316F52"/>
    <w:rsid w:val="00317DE3"/>
    <w:rsid w:val="00323DC8"/>
    <w:rsid w:val="003269CF"/>
    <w:rsid w:val="00332115"/>
    <w:rsid w:val="003463D8"/>
    <w:rsid w:val="00352EFD"/>
    <w:rsid w:val="00377587"/>
    <w:rsid w:val="00393F82"/>
    <w:rsid w:val="003C1A85"/>
    <w:rsid w:val="003D556F"/>
    <w:rsid w:val="003E2D41"/>
    <w:rsid w:val="003F128B"/>
    <w:rsid w:val="003F2B97"/>
    <w:rsid w:val="004032E3"/>
    <w:rsid w:val="0041475D"/>
    <w:rsid w:val="0041745D"/>
    <w:rsid w:val="00417DBE"/>
    <w:rsid w:val="00420E29"/>
    <w:rsid w:val="00431DD5"/>
    <w:rsid w:val="0043236C"/>
    <w:rsid w:val="0046244A"/>
    <w:rsid w:val="00486EB6"/>
    <w:rsid w:val="004965B4"/>
    <w:rsid w:val="004B16F7"/>
    <w:rsid w:val="004B518C"/>
    <w:rsid w:val="004D62F6"/>
    <w:rsid w:val="004F36AF"/>
    <w:rsid w:val="00531FDF"/>
    <w:rsid w:val="00533292"/>
    <w:rsid w:val="00547CA1"/>
    <w:rsid w:val="00556833"/>
    <w:rsid w:val="0056427C"/>
    <w:rsid w:val="00574A38"/>
    <w:rsid w:val="00594B93"/>
    <w:rsid w:val="00595DDB"/>
    <w:rsid w:val="005A21FB"/>
    <w:rsid w:val="005D072A"/>
    <w:rsid w:val="005D2D33"/>
    <w:rsid w:val="005D5D7E"/>
    <w:rsid w:val="005E4229"/>
    <w:rsid w:val="005E79DD"/>
    <w:rsid w:val="005F0A0F"/>
    <w:rsid w:val="006046D3"/>
    <w:rsid w:val="006214D5"/>
    <w:rsid w:val="00630F72"/>
    <w:rsid w:val="0063459A"/>
    <w:rsid w:val="006349EE"/>
    <w:rsid w:val="006643E2"/>
    <w:rsid w:val="00672825"/>
    <w:rsid w:val="00694489"/>
    <w:rsid w:val="006B3A67"/>
    <w:rsid w:val="006B5C02"/>
    <w:rsid w:val="006B65AD"/>
    <w:rsid w:val="006C6E14"/>
    <w:rsid w:val="006D4CEC"/>
    <w:rsid w:val="006F08AE"/>
    <w:rsid w:val="006F55A2"/>
    <w:rsid w:val="00702065"/>
    <w:rsid w:val="007037BF"/>
    <w:rsid w:val="007040E3"/>
    <w:rsid w:val="00733DBE"/>
    <w:rsid w:val="007449B4"/>
    <w:rsid w:val="00746B14"/>
    <w:rsid w:val="0074767B"/>
    <w:rsid w:val="00747A9B"/>
    <w:rsid w:val="0076231B"/>
    <w:rsid w:val="00776F21"/>
    <w:rsid w:val="007813B9"/>
    <w:rsid w:val="0079235C"/>
    <w:rsid w:val="00795340"/>
    <w:rsid w:val="007A1833"/>
    <w:rsid w:val="007A3C22"/>
    <w:rsid w:val="007C0BCC"/>
    <w:rsid w:val="007C2AE8"/>
    <w:rsid w:val="007C494B"/>
    <w:rsid w:val="007E1035"/>
    <w:rsid w:val="007E7E08"/>
    <w:rsid w:val="007F2B95"/>
    <w:rsid w:val="007F511B"/>
    <w:rsid w:val="00805E9B"/>
    <w:rsid w:val="00810264"/>
    <w:rsid w:val="00811B9B"/>
    <w:rsid w:val="00811EC9"/>
    <w:rsid w:val="0081227E"/>
    <w:rsid w:val="00817701"/>
    <w:rsid w:val="00826726"/>
    <w:rsid w:val="008319C2"/>
    <w:rsid w:val="008321C3"/>
    <w:rsid w:val="00833CC6"/>
    <w:rsid w:val="008351DB"/>
    <w:rsid w:val="0084774C"/>
    <w:rsid w:val="008536C4"/>
    <w:rsid w:val="00865721"/>
    <w:rsid w:val="00875D35"/>
    <w:rsid w:val="0087676C"/>
    <w:rsid w:val="00881FE1"/>
    <w:rsid w:val="008856B5"/>
    <w:rsid w:val="008902CD"/>
    <w:rsid w:val="008949C6"/>
    <w:rsid w:val="008A23F8"/>
    <w:rsid w:val="008A74BC"/>
    <w:rsid w:val="008B07D6"/>
    <w:rsid w:val="008C0A8B"/>
    <w:rsid w:val="008D1E93"/>
    <w:rsid w:val="008D3C5B"/>
    <w:rsid w:val="008E0B05"/>
    <w:rsid w:val="008F5B7E"/>
    <w:rsid w:val="008F7655"/>
    <w:rsid w:val="00915D36"/>
    <w:rsid w:val="00954E53"/>
    <w:rsid w:val="00956D24"/>
    <w:rsid w:val="009663F8"/>
    <w:rsid w:val="0097425C"/>
    <w:rsid w:val="00980C77"/>
    <w:rsid w:val="0098236A"/>
    <w:rsid w:val="009860AA"/>
    <w:rsid w:val="0099448A"/>
    <w:rsid w:val="00997F8C"/>
    <w:rsid w:val="009A41E7"/>
    <w:rsid w:val="009A41FA"/>
    <w:rsid w:val="009A46A8"/>
    <w:rsid w:val="009B3245"/>
    <w:rsid w:val="009D46BC"/>
    <w:rsid w:val="009D65BE"/>
    <w:rsid w:val="009D6A2C"/>
    <w:rsid w:val="009F29C1"/>
    <w:rsid w:val="00A162B0"/>
    <w:rsid w:val="00A24C7B"/>
    <w:rsid w:val="00A432DD"/>
    <w:rsid w:val="00A46CD0"/>
    <w:rsid w:val="00A53AAD"/>
    <w:rsid w:val="00A53B01"/>
    <w:rsid w:val="00A60B18"/>
    <w:rsid w:val="00A635FD"/>
    <w:rsid w:val="00A6408F"/>
    <w:rsid w:val="00A71BC8"/>
    <w:rsid w:val="00A75203"/>
    <w:rsid w:val="00A84E37"/>
    <w:rsid w:val="00A95092"/>
    <w:rsid w:val="00AB1C14"/>
    <w:rsid w:val="00AD1884"/>
    <w:rsid w:val="00AE0DF5"/>
    <w:rsid w:val="00B008A1"/>
    <w:rsid w:val="00B037A5"/>
    <w:rsid w:val="00B108DE"/>
    <w:rsid w:val="00B177CB"/>
    <w:rsid w:val="00B21015"/>
    <w:rsid w:val="00B43241"/>
    <w:rsid w:val="00B57560"/>
    <w:rsid w:val="00B60959"/>
    <w:rsid w:val="00B61C9F"/>
    <w:rsid w:val="00B65CEF"/>
    <w:rsid w:val="00B6634F"/>
    <w:rsid w:val="00B70DBE"/>
    <w:rsid w:val="00B773AD"/>
    <w:rsid w:val="00B82516"/>
    <w:rsid w:val="00B865A4"/>
    <w:rsid w:val="00B978E7"/>
    <w:rsid w:val="00BA3995"/>
    <w:rsid w:val="00BB5E99"/>
    <w:rsid w:val="00BC1D1B"/>
    <w:rsid w:val="00BD1D18"/>
    <w:rsid w:val="00BF0BE2"/>
    <w:rsid w:val="00C45765"/>
    <w:rsid w:val="00C5264E"/>
    <w:rsid w:val="00C56C01"/>
    <w:rsid w:val="00C66213"/>
    <w:rsid w:val="00C70851"/>
    <w:rsid w:val="00C70BF8"/>
    <w:rsid w:val="00C77F36"/>
    <w:rsid w:val="00C86C7E"/>
    <w:rsid w:val="00C947A8"/>
    <w:rsid w:val="00CE31C7"/>
    <w:rsid w:val="00CF0177"/>
    <w:rsid w:val="00CF2203"/>
    <w:rsid w:val="00D128AC"/>
    <w:rsid w:val="00D22033"/>
    <w:rsid w:val="00D25315"/>
    <w:rsid w:val="00D33E16"/>
    <w:rsid w:val="00D34AA7"/>
    <w:rsid w:val="00D364ED"/>
    <w:rsid w:val="00D36EC2"/>
    <w:rsid w:val="00D40777"/>
    <w:rsid w:val="00D56ABE"/>
    <w:rsid w:val="00D73116"/>
    <w:rsid w:val="00D76FC1"/>
    <w:rsid w:val="00D827CE"/>
    <w:rsid w:val="00DB33C5"/>
    <w:rsid w:val="00DC0273"/>
    <w:rsid w:val="00DE3D08"/>
    <w:rsid w:val="00DF6ACC"/>
    <w:rsid w:val="00E0606F"/>
    <w:rsid w:val="00E07898"/>
    <w:rsid w:val="00E15A8E"/>
    <w:rsid w:val="00E236CB"/>
    <w:rsid w:val="00E268C2"/>
    <w:rsid w:val="00E41613"/>
    <w:rsid w:val="00E41EAE"/>
    <w:rsid w:val="00E422C4"/>
    <w:rsid w:val="00E433C3"/>
    <w:rsid w:val="00E4393A"/>
    <w:rsid w:val="00E50040"/>
    <w:rsid w:val="00E664C7"/>
    <w:rsid w:val="00E72663"/>
    <w:rsid w:val="00E830B6"/>
    <w:rsid w:val="00EA1244"/>
    <w:rsid w:val="00EA304C"/>
    <w:rsid w:val="00EB0525"/>
    <w:rsid w:val="00EB799C"/>
    <w:rsid w:val="00EC6400"/>
    <w:rsid w:val="00ED58E8"/>
    <w:rsid w:val="00F13EFB"/>
    <w:rsid w:val="00F15450"/>
    <w:rsid w:val="00F364CA"/>
    <w:rsid w:val="00F45344"/>
    <w:rsid w:val="00F52346"/>
    <w:rsid w:val="00F62195"/>
    <w:rsid w:val="00F709FA"/>
    <w:rsid w:val="00F87C23"/>
    <w:rsid w:val="00F939F2"/>
    <w:rsid w:val="00FC2580"/>
    <w:rsid w:val="00FC2EEC"/>
    <w:rsid w:val="00FD0030"/>
    <w:rsid w:val="00FD16FD"/>
    <w:rsid w:val="00FD59BC"/>
    <w:rsid w:val="00FF0736"/>
    <w:rsid w:val="5358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8C4A4F"/>
  <w15:docId w15:val="{4B96A955-A301-4E69-A43B-7B3BA82E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character" w:styleId="aa">
    <w:name w:val="Strong"/>
    <w:basedOn w:val="a0"/>
    <w:uiPriority w:val="22"/>
    <w:qFormat/>
    <w:rPr>
      <w:b/>
      <w:bCs/>
    </w:rPr>
  </w:style>
  <w:style w:type="character" w:customStyle="1" w:styleId="a8">
    <w:name w:val="页眉 字符"/>
    <w:basedOn w:val="a0"/>
    <w:link w:val="a7"/>
    <w:uiPriority w:val="99"/>
    <w:semiHidden/>
    <w:locked/>
    <w:rPr>
      <w:rFonts w:ascii="宋体" w:eastAsia="宋体" w:hAnsi="宋体" w:cs="宋体" w:hint="eastAsia"/>
      <w:sz w:val="18"/>
      <w:szCs w:val="18"/>
    </w:rPr>
  </w:style>
  <w:style w:type="character" w:customStyle="1" w:styleId="a6">
    <w:name w:val="页脚 字符"/>
    <w:basedOn w:val="a0"/>
    <w:link w:val="a5"/>
    <w:uiPriority w:val="99"/>
    <w:locked/>
    <w:rPr>
      <w:rFonts w:ascii="宋体" w:eastAsia="宋体" w:hAnsi="宋体" w:cs="宋体" w:hint="eastAsia"/>
      <w:sz w:val="18"/>
      <w:szCs w:val="18"/>
    </w:rPr>
  </w:style>
  <w:style w:type="character" w:customStyle="1" w:styleId="a4">
    <w:name w:val="文档结构图 字符"/>
    <w:basedOn w:val="a0"/>
    <w:link w:val="a3"/>
    <w:uiPriority w:val="99"/>
    <w:semiHidden/>
    <w:locked/>
    <w:rPr>
      <w:rFonts w:ascii="宋体" w:eastAsia="宋体" w:hAnsi="宋体" w:cs="宋体" w:hint="eastAsia"/>
      <w:sz w:val="18"/>
      <w:szCs w:val="18"/>
    </w:rPr>
  </w:style>
  <w:style w:type="paragraph" w:styleId="ab">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msonormal0">
    <w:name w:val="msonormal"/>
    <w:basedOn w:val="a"/>
    <w:uiPriority w:val="99"/>
    <w:semiHidden/>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C2E348-09B2-4B48-A47C-B7EB1E564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TotalTime>
  <Pages>1</Pages>
  <Words>934</Words>
  <Characters>5324</Characters>
  <Application>Microsoft Office Word</Application>
  <DocSecurity>0</DocSecurity>
  <Lines>44</Lines>
  <Paragraphs>12</Paragraphs>
  <ScaleCrop>false</ScaleCrop>
  <Company>P R C</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Administrator</dc:creator>
  <cp:lastModifiedBy>雷 帅文</cp:lastModifiedBy>
  <cp:revision>218</cp:revision>
  <cp:lastPrinted>2021-11-19T06:19:00Z</cp:lastPrinted>
  <dcterms:created xsi:type="dcterms:W3CDTF">2021-09-08T03:29:00Z</dcterms:created>
  <dcterms:modified xsi:type="dcterms:W3CDTF">2022-01-21T07:10:00Z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413C97F7ED7D40CF80CDAB6C968BC000</vt:lpwstr>
  </property>
</Properties>
</file>